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FB48C7" w:rsidRPr="00BF27A0" w:rsidP="005B4C0E">
      <w:pPr>
        <w:spacing w:before="240" w:after="0" w:line="240" w:lineRule="auto"/>
        <w:jc w:val="center"/>
        <w:rPr>
          <w:rFonts w:ascii="Times New Roman" w:hAnsi="Times New Roman" w:cs="Times New Roman"/>
          <w:b/>
          <w:sz w:val="22"/>
          <w:szCs w:val="22"/>
        </w:rPr>
      </w:pPr>
      <w:r w:rsidRPr="00BF27A0">
        <w:rPr>
          <w:rFonts w:ascii="Times New Roman" w:hAnsi="Times New Roman" w:cs="Times New Roman"/>
          <w:b/>
          <w:sz w:val="22"/>
          <w:szCs w:val="22"/>
        </w:rPr>
        <w:t>PROTECTION AND ENFORCEMENT OF INTELLECTUAL PROPERTY</w:t>
      </w:r>
    </w:p>
    <w:p w:rsidR="006462CB" w:rsidRPr="00BF27A0" w:rsidP="00BF27A0">
      <w:pPr>
        <w:spacing w:before="240" w:line="240" w:lineRule="auto"/>
        <w:rPr>
          <w:rFonts w:ascii="Times New Roman" w:hAnsi="Times New Roman" w:cs="Times New Roman"/>
          <w:b/>
          <w:sz w:val="22"/>
          <w:szCs w:val="22"/>
        </w:rPr>
      </w:pPr>
    </w:p>
    <w:p w:rsidR="006462CB" w:rsidP="00BF27A0">
      <w:pPr>
        <w:pStyle w:val="ListParagraph"/>
        <w:numPr>
          <w:ilvl w:val="0"/>
          <w:numId w:val="1"/>
        </w:numPr>
        <w:spacing w:before="240" w:line="240" w:lineRule="auto"/>
        <w:rPr>
          <w:rFonts w:ascii="Times New Roman" w:hAnsi="Times New Roman" w:cs="Times New Roman"/>
          <w:b/>
          <w:sz w:val="22"/>
          <w:szCs w:val="22"/>
          <w:u w:val="single"/>
        </w:rPr>
      </w:pPr>
      <w:r w:rsidRPr="00BF27A0">
        <w:rPr>
          <w:rFonts w:ascii="Times New Roman" w:hAnsi="Times New Roman" w:cs="Times New Roman"/>
          <w:b/>
          <w:sz w:val="22"/>
          <w:szCs w:val="22"/>
          <w:u w:val="single"/>
        </w:rPr>
        <w:t>PATENT VS TRADE SECRET</w:t>
      </w:r>
      <w:r w:rsidRPr="00BF27A0" w:rsidR="003B11BE">
        <w:rPr>
          <w:rFonts w:ascii="Times New Roman" w:hAnsi="Times New Roman" w:cs="Times New Roman"/>
          <w:b/>
          <w:sz w:val="22"/>
          <w:szCs w:val="22"/>
          <w:u w:val="single"/>
        </w:rPr>
        <w:t xml:space="preserve"> - TO PATENT OR NOT TO PATENT?</w:t>
      </w:r>
    </w:p>
    <w:p w:rsidR="00AC0C24" w:rsidP="00AC0C24">
      <w:pPr>
        <w:pStyle w:val="ListParagraph"/>
        <w:numPr>
          <w:ilvl w:val="1"/>
          <w:numId w:val="1"/>
        </w:numPr>
        <w:spacing w:before="240" w:line="240" w:lineRule="auto"/>
        <w:rPr>
          <w:rFonts w:ascii="Times New Roman" w:hAnsi="Times New Roman" w:cs="Times New Roman"/>
          <w:sz w:val="22"/>
          <w:szCs w:val="22"/>
        </w:rPr>
      </w:pPr>
      <w:r w:rsidRPr="00BF27A0">
        <w:rPr>
          <w:rFonts w:ascii="Times New Roman" w:hAnsi="Times New Roman" w:cs="Times New Roman"/>
          <w:b/>
          <w:sz w:val="22"/>
          <w:szCs w:val="22"/>
          <w:u w:val="single"/>
        </w:rPr>
        <w:t>Patent</w:t>
      </w:r>
      <w:r w:rsidRPr="00BF27A0">
        <w:rPr>
          <w:rFonts w:ascii="Times New Roman" w:hAnsi="Times New Roman" w:cs="Times New Roman"/>
          <w:sz w:val="22"/>
          <w:szCs w:val="22"/>
        </w:rPr>
        <w:t>:</w:t>
      </w:r>
    </w:p>
    <w:p w:rsidR="00AC0C24" w:rsidRPr="00BF27A0" w:rsidP="00AC0C24">
      <w:pPr>
        <w:pStyle w:val="ListParagraph"/>
        <w:spacing w:before="240" w:line="240" w:lineRule="auto"/>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Subject matter</w:t>
      </w:r>
      <w:r w:rsidRPr="00BF27A0">
        <w:rPr>
          <w:rFonts w:ascii="Times New Roman" w:hAnsi="Times New Roman" w:cs="Times New Roman"/>
          <w:sz w:val="22"/>
          <w:szCs w:val="22"/>
        </w:rPr>
        <w:t xml:space="preserve">: </w:t>
      </w:r>
    </w:p>
    <w:p w:rsidR="00AC0C24" w:rsidRPr="00BF27A0" w:rsidP="00AC0C24">
      <w:pPr>
        <w:pStyle w:val="ListParagraph"/>
        <w:spacing w:before="240" w:line="240" w:lineRule="auto"/>
        <w:ind w:left="108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Utility patents</w:t>
      </w:r>
      <w:r w:rsidRPr="00BF27A0">
        <w:rPr>
          <w:rFonts w:ascii="Times New Roman" w:hAnsi="Times New Roman" w:cs="Times New Roman"/>
          <w:sz w:val="22"/>
          <w:szCs w:val="22"/>
        </w:rPr>
        <w:t xml:space="preserve">: To be patentable, an invention must be directed to one of the four statutory categories, namely: processes, machines, manufactures and compositions of matter.  35 U.S.C. § 101.  Additionally, the invention must not be directed to a judicially recognized exception to patent eligible subject matter unless the claim </w:t>
      </w:r>
      <w:r w:rsidRPr="00BF27A0">
        <w:rPr>
          <w:rFonts w:ascii="Times New Roman" w:hAnsi="Times New Roman" w:cs="Times New Roman"/>
          <w:sz w:val="22"/>
          <w:szCs w:val="22"/>
        </w:rPr>
        <w:t>as a whole includes</w:t>
      </w:r>
      <w:r w:rsidRPr="00BF27A0">
        <w:rPr>
          <w:rFonts w:ascii="Times New Roman" w:hAnsi="Times New Roman" w:cs="Times New Roman"/>
          <w:sz w:val="22"/>
          <w:szCs w:val="22"/>
        </w:rPr>
        <w:t xml:space="preserve"> additional limitations amounting to significantly more than the exception. The judicial exceptions are subject matter that the federal courts, most notably the Supreme Court, have found to be outside of, or exceptions to, the four statutory categories of invention, and include laws of nature, natural phenomena, and abstract ideas. See </w:t>
      </w:r>
      <w:r w:rsidRPr="00BF27A0">
        <w:rPr>
          <w:rFonts w:ascii="Times New Roman" w:hAnsi="Times New Roman" w:cs="Times New Roman"/>
          <w:sz w:val="22"/>
          <w:szCs w:val="22"/>
          <w:u w:val="single"/>
        </w:rPr>
        <w:t>Alice Corp. Pty. v. CLS Bank Int’l</w:t>
      </w:r>
      <w:r w:rsidRPr="00BF27A0">
        <w:rPr>
          <w:rFonts w:ascii="Times New Roman" w:hAnsi="Times New Roman" w:cs="Times New Roman"/>
          <w:sz w:val="22"/>
          <w:szCs w:val="22"/>
        </w:rPr>
        <w:t>, 573 U.S. 208, 134 S. Ct. 2347, 2354 (2014). In this regard, Congress is currently looking to reform Section 101 of the Patent Act to eliminate some of the judicial exceptions.</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Design Patents</w:t>
      </w:r>
      <w:r w:rsidRPr="00BF27A0">
        <w:rPr>
          <w:rFonts w:ascii="Times New Roman" w:hAnsi="Times New Roman" w:cs="Times New Roman"/>
          <w:sz w:val="22"/>
          <w:szCs w:val="22"/>
        </w:rPr>
        <w:t>: A design patent protects the aesthetic appearance of the non-functional appearance of an article of manufacture.  35 U.S.C. § 171.</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Plant Patents</w:t>
      </w:r>
      <w:r w:rsidRPr="00BF27A0">
        <w:rPr>
          <w:rFonts w:ascii="Times New Roman" w:hAnsi="Times New Roman" w:cs="Times New Roman"/>
          <w:sz w:val="22"/>
          <w:szCs w:val="22"/>
        </w:rPr>
        <w:t>: A plant patent protects an asexually reproduced distinct and new variety of plants, other than a tuber propagated plant or a plant found in an uncultivated state. 35 U.S.C. § 161.</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Protection</w:t>
      </w:r>
      <w:r w:rsidRPr="00BF27A0">
        <w:rPr>
          <w:rFonts w:ascii="Times New Roman" w:hAnsi="Times New Roman" w:cs="Times New Roman"/>
          <w:sz w:val="22"/>
          <w:szCs w:val="22"/>
        </w:rPr>
        <w:t>: United States patent law is codified in Title 35 of the United States Code, and authorized by the U.S. Constitution, in Article One, Section 8, Clause 8, which states “Congress shall have power ... to promote the progress of science and useful arts, by securing for limited times to authors and inventors the exclusive right to their respective writings and discoveries.”</w:t>
      </w:r>
    </w:p>
    <w:p w:rsidR="00AC0C24" w:rsidRPr="00BF27A0" w:rsidP="00AC0C24">
      <w:pPr>
        <w:pStyle w:val="ListParagraph"/>
        <w:spacing w:before="240" w:line="240" w:lineRule="auto"/>
        <w:ind w:left="1080"/>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Requirements for Patentability</w:t>
      </w:r>
      <w:r w:rsidRPr="00BF27A0">
        <w:rPr>
          <w:rFonts w:ascii="Times New Roman" w:hAnsi="Times New Roman" w:cs="Times New Roman"/>
          <w:sz w:val="22"/>
          <w:szCs w:val="22"/>
        </w:rPr>
        <w:t xml:space="preserve">:  Generally, for an invention to be patentable it must meet the eligibility requirements of Section 101 discussed above; be “novel” over the prior art; and not be “obvious” to a person having ordinary skill in the art at the time the application is filed.  “Prior art” is information that has been made available to the public in any form (e.g., issued patents, published patent applications, publications, sales, offers for sale, public uses, etc.) before the date of a patent application.  In general, an inventor has one year from the time he or she discloses, sells, or offers to sell an invention within which to file a patent application.  35 U.S.C. § 102(b)(1).   In this regard, note that sales and offers for sale don’t need to be public to be a bar to patentability.  </w:t>
      </w:r>
      <w:r w:rsidRPr="00BF27A0">
        <w:rPr>
          <w:rFonts w:ascii="Times New Roman" w:hAnsi="Times New Roman" w:cs="Times New Roman"/>
          <w:sz w:val="22"/>
          <w:szCs w:val="22"/>
          <w:u w:val="single"/>
        </w:rPr>
        <w:t>Helsinn</w:t>
      </w:r>
      <w:r w:rsidRPr="00BF27A0">
        <w:rPr>
          <w:rFonts w:ascii="Times New Roman" w:hAnsi="Times New Roman" w:cs="Times New Roman"/>
          <w:sz w:val="22"/>
          <w:szCs w:val="22"/>
          <w:u w:val="single"/>
        </w:rPr>
        <w:t xml:space="preserve"> Healthcare S.A. v. Teva Pharmaceuticals USA, Inc.</w:t>
      </w:r>
      <w:r w:rsidRPr="00BF27A0">
        <w:rPr>
          <w:rFonts w:ascii="Times New Roman" w:hAnsi="Times New Roman" w:cs="Times New Roman"/>
          <w:sz w:val="22"/>
          <w:szCs w:val="22"/>
        </w:rPr>
        <w:t xml:space="preserve">, 586 US ___ (2019).  </w:t>
      </w:r>
    </w:p>
    <w:p w:rsidR="00AC0C24" w:rsidRPr="00BF27A0" w:rsidP="00AC0C24">
      <w:pPr>
        <w:pStyle w:val="ListParagraph"/>
        <w:spacing w:before="240" w:line="240" w:lineRule="auto"/>
        <w:ind w:left="1080"/>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Process</w:t>
      </w:r>
      <w:r w:rsidRPr="00BF27A0">
        <w:rPr>
          <w:rFonts w:ascii="Times New Roman" w:hAnsi="Times New Roman" w:cs="Times New Roman"/>
          <w:sz w:val="22"/>
          <w:szCs w:val="22"/>
        </w:rPr>
        <w:t>:</w:t>
      </w:r>
    </w:p>
    <w:p w:rsidR="00AC0C24" w:rsidRPr="00BF27A0" w:rsidP="00AC0C24">
      <w:pPr>
        <w:pStyle w:val="ListParagraph"/>
        <w:spacing w:before="240" w:line="240" w:lineRule="auto"/>
        <w:ind w:left="108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Patentability/Novelty Search (optional)</w:t>
      </w:r>
      <w:r w:rsidRPr="00BF27A0">
        <w:rPr>
          <w:rFonts w:ascii="Times New Roman" w:hAnsi="Times New Roman" w:cs="Times New Roman"/>
          <w:sz w:val="22"/>
          <w:szCs w:val="22"/>
        </w:rPr>
        <w:t xml:space="preserve">: Although not required, a patentability search to identify “prior art” is often recommended.  A patentability search looks for prior art that would prevent an invention from being patented and can help formulate a patent </w:t>
      </w:r>
      <w:r w:rsidRPr="00BF27A0">
        <w:rPr>
          <w:rFonts w:ascii="Times New Roman" w:hAnsi="Times New Roman" w:cs="Times New Roman"/>
          <w:sz w:val="22"/>
          <w:szCs w:val="22"/>
        </w:rPr>
        <w:t xml:space="preserve">preparation strategy that avoids potentially problematic prior art. Such a search may uncover relevant documents including U.S. and foreign patents, published patent applications and non-patent printed publications such as journals, thesis papers, and dissertations that may be relevant to patentability of an invention.  A patentability search typically is not limited to active (unexpired) patents and pending applications; rather, it also includes expired patents and abandoned published applications, which are in the public domain.  It is worth noting that a patentability search is inherently limited because US patent applications are maintained secret for 18 months, and thus cannot </w:t>
      </w:r>
      <w:r w:rsidRPr="00BF27A0">
        <w:rPr>
          <w:rFonts w:ascii="Times New Roman" w:hAnsi="Times New Roman" w:cs="Times New Roman"/>
          <w:sz w:val="22"/>
          <w:szCs w:val="22"/>
        </w:rPr>
        <w:t>be located in</w:t>
      </w:r>
      <w:r w:rsidRPr="00BF27A0">
        <w:rPr>
          <w:rFonts w:ascii="Times New Roman" w:hAnsi="Times New Roman" w:cs="Times New Roman"/>
          <w:sz w:val="22"/>
          <w:szCs w:val="22"/>
        </w:rPr>
        <w:t xml:space="preserve"> a search.  </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Freedom-to-Operate Search (optional)</w:t>
      </w:r>
      <w:r w:rsidRPr="00BF27A0">
        <w:rPr>
          <w:rFonts w:ascii="Times New Roman" w:hAnsi="Times New Roman" w:cs="Times New Roman"/>
          <w:sz w:val="22"/>
          <w:szCs w:val="22"/>
        </w:rPr>
        <w:t xml:space="preserve">:  A patent provides its owner with the right to exclude others from making, using, offering for sale, or selling a patented invention in the United States or importing a patentable invention into the United States, among other rights.  However, a patent does not provide the owner with a right to use or practice the claimed invention.  Rather, the device or method (such as to an improvement) claimed in one patent may infringe the claims of another patent.  Thus, a patentability search won’t necessarily include information as to whether an invention can be practiced.  A clearance (or freedom-to-operate) search would need to be done to determine whether an invention can be practiced; i.e., commercialized. A clearance search focuses on patent claims that may cover the invention. </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Inventorship and ownership</w:t>
      </w:r>
      <w:r w:rsidRPr="00BF27A0">
        <w:rPr>
          <w:rFonts w:ascii="Times New Roman" w:hAnsi="Times New Roman" w:cs="Times New Roman"/>
          <w:sz w:val="22"/>
          <w:szCs w:val="22"/>
        </w:rPr>
        <w:t xml:space="preserve">: Under U.S. law, an inventor is the person, or persons, who contribute to the claimed subject matter of a patent application. Joint inventors exist even where one inventor contributes </w:t>
      </w:r>
      <w:r w:rsidRPr="00BF27A0">
        <w:rPr>
          <w:rFonts w:ascii="Times New Roman" w:hAnsi="Times New Roman" w:cs="Times New Roman"/>
          <w:sz w:val="22"/>
          <w:szCs w:val="22"/>
        </w:rPr>
        <w:t>a majority of</w:t>
      </w:r>
      <w:r w:rsidRPr="00BF27A0">
        <w:rPr>
          <w:rFonts w:ascii="Times New Roman" w:hAnsi="Times New Roman" w:cs="Times New Roman"/>
          <w:sz w:val="22"/>
          <w:szCs w:val="22"/>
        </w:rPr>
        <w:t xml:space="preserve"> the work.  35 U.S.C. § 116.  In the U.S., although inventors must be named, patent applications can be filed in the name of an entity to whom the invention has been assigned 35 U.S.C. § 118.  It is important to note that, in the absence of an agreement, the inventors own their invention by default, except in situations in which the inventor was hired by a company </w:t>
      </w:r>
      <w:r w:rsidRPr="00BF27A0">
        <w:rPr>
          <w:rFonts w:ascii="Times New Roman" w:hAnsi="Times New Roman" w:cs="Times New Roman"/>
          <w:sz w:val="22"/>
          <w:szCs w:val="22"/>
        </w:rPr>
        <w:t>for the purpose of</w:t>
      </w:r>
      <w:r w:rsidRPr="00BF27A0">
        <w:rPr>
          <w:rFonts w:ascii="Times New Roman" w:hAnsi="Times New Roman" w:cs="Times New Roman"/>
          <w:sz w:val="22"/>
          <w:szCs w:val="22"/>
        </w:rPr>
        <w:t xml:space="preserve"> inventing, although this is a highly fact-driven determination that can lead to expensive litigation to resolve.  Therefore, assignments or employment agreements are recommended to transfer ownership of inventions. </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Drafting (preparing) and filing</w:t>
      </w:r>
      <w:r w:rsidRPr="00BF27A0">
        <w:rPr>
          <w:rFonts w:ascii="Times New Roman" w:hAnsi="Times New Roman" w:cs="Times New Roman"/>
          <w:i/>
          <w:sz w:val="22"/>
          <w:szCs w:val="22"/>
        </w:rPr>
        <w:t>:</w:t>
      </w:r>
      <w:r w:rsidRPr="00BF27A0">
        <w:rPr>
          <w:rFonts w:ascii="Times New Roman" w:hAnsi="Times New Roman" w:cs="Times New Roman"/>
          <w:sz w:val="22"/>
          <w:szCs w:val="22"/>
        </w:rPr>
        <w:t xml:space="preserve"> The first step to patent an invention is preparing the patent application.  In general, for a utility patent application, this requires preparing a written description, drawings and claims. 35 U.S.C. § 112. The patent’s specification must provide a written description of the invention, enable the invention (allow a person of ordinary skill in the art to make and use the invention without undue experimentation), and describe the best mode (or most preferred embodiment) of making and using the invention. For a design patent, the description involves a set of drawings that clearly show the features of the invention.  Once the patent application has been drafted and approved by the inventor(s), the next step is the filing. Filing strategy will depend on the type of patent (utility, design, plant) and whether domestic and/or foreign rights are sought. There are various treaties, e.g., Paris Convention for the Protection of Industrial Property, Patent Cooperation Treaty (</w:t>
      </w:r>
      <w:r w:rsidRPr="00BF27A0">
        <w:rPr>
          <w:rFonts w:ascii="Times New Roman" w:hAnsi="Times New Roman" w:cs="Times New Roman"/>
          <w:sz w:val="22"/>
          <w:szCs w:val="22"/>
        </w:rPr>
        <w:t>PCT</w:t>
      </w:r>
      <w:r w:rsidRPr="00BF27A0">
        <w:rPr>
          <w:rFonts w:ascii="Times New Roman" w:hAnsi="Times New Roman" w:cs="Times New Roman"/>
          <w:sz w:val="22"/>
          <w:szCs w:val="22"/>
        </w:rPr>
        <w:t>), etc. that can facilitate foreign filing. Moreover, if a utility patent is sought, one can initially file a provisional application (which is a placeholder of sorts) and follow up with a non-provisional application within a year.</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Examination (prosecution)</w:t>
      </w:r>
      <w:r w:rsidRPr="00BF27A0">
        <w:rPr>
          <w:rFonts w:ascii="Times New Roman" w:hAnsi="Times New Roman" w:cs="Times New Roman"/>
          <w:sz w:val="22"/>
          <w:szCs w:val="22"/>
        </w:rPr>
        <w:t xml:space="preserve">:  Once the patent application has been filed, the United States Patent and Trademark Office (USPTO) assigns the application to a patent examiner who is responsible for reviewing the application, searching for relevant prior art, and making </w:t>
      </w:r>
      <w:r w:rsidRPr="00BF27A0">
        <w:rPr>
          <w:rFonts w:ascii="Times New Roman" w:hAnsi="Times New Roman" w:cs="Times New Roman"/>
          <w:sz w:val="22"/>
          <w:szCs w:val="22"/>
        </w:rPr>
        <w:t xml:space="preserve">any objections and rejections that can be made against the patent application in a written communication known as an office action.  It is then up to the applicant to respond to the examiner’s objections and rejections to demonstrate that the claims of the patent application meet all the requirements of patentability, including certain formalities (35 U.S.C. § 112), subject matter eligibility (35 </w:t>
      </w:r>
      <w:r w:rsidRPr="00BF27A0">
        <w:rPr>
          <w:rFonts w:ascii="Times New Roman" w:hAnsi="Times New Roman" w:cs="Times New Roman"/>
          <w:sz w:val="22"/>
          <w:szCs w:val="22"/>
        </w:rPr>
        <w:t>U.S.C</w:t>
      </w:r>
      <w:r w:rsidRPr="00BF27A0">
        <w:rPr>
          <w:rFonts w:ascii="Times New Roman" w:hAnsi="Times New Roman" w:cs="Times New Roman"/>
          <w:sz w:val="22"/>
          <w:szCs w:val="22"/>
        </w:rPr>
        <w:t xml:space="preserve"> § 101), novelty (35 U.S.C. § 102), and non-obviousness (35 U.S.C. §103).  This stage of the process often involves several rounds of back and forth with the patent examiner before the application is determined to be patentable and in condition for allowance, abandoned by the applicant, or appealable after a final rejection or any twice-rejected claims.</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Allowance, issuance and maintenance</w:t>
      </w:r>
      <w:r w:rsidRPr="00BF27A0">
        <w:rPr>
          <w:rFonts w:ascii="Times New Roman" w:hAnsi="Times New Roman" w:cs="Times New Roman"/>
          <w:sz w:val="22"/>
          <w:szCs w:val="22"/>
        </w:rPr>
        <w:t xml:space="preserve">:  Assuming an application is allowed, the USPTO issues a Notice of Allowance/Allowability, which prompts payment of an issue fee.  After receiving the issue fee payment for the allowed patent application, the USPTO assigns a patent number and issues the patent.  After a utility patent has issued, the USPTO requires payment of maintenance fees to maintain the patent in force.  Design and plant patents do not require any maintenance fees.  37 CFR 1.362(b). The maintenance fees for utility patents are due 3.5, 7.5 and 11.5 years from the date of the original patent grant to maintain the patent in-force.  </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Remedies</w:t>
      </w:r>
      <w:r w:rsidRPr="00BF27A0">
        <w:rPr>
          <w:rFonts w:ascii="Times New Roman" w:hAnsi="Times New Roman" w:cs="Times New Roman"/>
          <w:sz w:val="22"/>
          <w:szCs w:val="22"/>
        </w:rPr>
        <w:t>: Remedies for patent infringement include:</w:t>
      </w:r>
    </w:p>
    <w:p w:rsidR="00AC0C24" w:rsidRPr="00BF27A0" w:rsidP="00AC0C24">
      <w:pPr>
        <w:pStyle w:val="ListParagraph"/>
        <w:spacing w:before="240" w:line="240" w:lineRule="auto"/>
        <w:ind w:left="108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Equitable relief</w:t>
      </w:r>
      <w:r w:rsidRPr="00BF27A0">
        <w:rPr>
          <w:rFonts w:ascii="Times New Roman" w:hAnsi="Times New Roman" w:cs="Times New Roman"/>
          <w:sz w:val="22"/>
          <w:szCs w:val="22"/>
        </w:rPr>
        <w:t>: Injunctions, both preliminary and permanent, can be granted to prevent continued infringement.  35 U.S.C. § 283.</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Monetary relief</w:t>
      </w:r>
      <w:r w:rsidRPr="00BF27A0">
        <w:rPr>
          <w:rFonts w:ascii="Times New Roman" w:hAnsi="Times New Roman" w:cs="Times New Roman"/>
          <w:sz w:val="22"/>
          <w:szCs w:val="22"/>
        </w:rPr>
        <w:t>: Monetary relief for infringement is also available. 35 U.S.C. § 284.  Additionally, up to three times the compensatory damages can be recovered in cases where the infringement is found to be exceptional. There are traditionally three models for calculating damages: lost profits, established royalties, and reasonable royalties.</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Costs and attorney’s fees</w:t>
      </w:r>
      <w:r w:rsidRPr="00BF27A0">
        <w:rPr>
          <w:rFonts w:ascii="Times New Roman" w:hAnsi="Times New Roman" w:cs="Times New Roman"/>
          <w:sz w:val="22"/>
          <w:szCs w:val="22"/>
        </w:rPr>
        <w:t>: Costs are often recoverable and, in cases where the litigation is found to be exceptional, attorney’s fees are also available.  35 U.S.C. § 285.</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International Trade Commission (ITC) remedies</w:t>
      </w:r>
      <w:r w:rsidRPr="00BF27A0">
        <w:rPr>
          <w:rFonts w:ascii="Times New Roman" w:hAnsi="Times New Roman" w:cs="Times New Roman"/>
          <w:sz w:val="22"/>
          <w:szCs w:val="22"/>
        </w:rPr>
        <w:t xml:space="preserve">:  Patent infringement investigations are also available under § 337 of the Tariff Act of 1930.  Under section 337, the ITC determines whether there is unfair competition in the importation of products into, or their subsequent sale in, the United States.  In those cases, remedies include an </w:t>
      </w:r>
      <w:r w:rsidRPr="00BF27A0">
        <w:rPr>
          <w:rFonts w:ascii="Times New Roman" w:hAnsi="Times New Roman" w:cs="Times New Roman"/>
          <w:i/>
          <w:sz w:val="22"/>
          <w:szCs w:val="22"/>
        </w:rPr>
        <w:t>in rem</w:t>
      </w:r>
      <w:r w:rsidRPr="00BF27A0">
        <w:rPr>
          <w:rFonts w:ascii="Times New Roman" w:hAnsi="Times New Roman" w:cs="Times New Roman"/>
          <w:sz w:val="22"/>
          <w:szCs w:val="22"/>
        </w:rPr>
        <w:t xml:space="preserve"> exclusion order preventing importation into the U.S.  19 U.S.C. § 1337(d), (e), (f), (g) and (</w:t>
      </w:r>
      <w:r w:rsidRPr="00BF27A0">
        <w:rPr>
          <w:rFonts w:ascii="Times New Roman" w:hAnsi="Times New Roman" w:cs="Times New Roman"/>
          <w:sz w:val="22"/>
          <w:szCs w:val="22"/>
        </w:rPr>
        <w:t>i</w:t>
      </w:r>
      <w:r w:rsidRPr="00BF27A0">
        <w:rPr>
          <w:rFonts w:ascii="Times New Roman" w:hAnsi="Times New Roman" w:cs="Times New Roman"/>
          <w:sz w:val="22"/>
          <w:szCs w:val="22"/>
        </w:rPr>
        <w:t>).</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Advantages</w:t>
      </w:r>
      <w:r w:rsidRPr="00BF27A0">
        <w:rPr>
          <w:rFonts w:ascii="Times New Roman" w:hAnsi="Times New Roman" w:cs="Times New Roman"/>
          <w:sz w:val="22"/>
          <w:szCs w:val="22"/>
        </w:rPr>
        <w:t>:</w:t>
      </w:r>
    </w:p>
    <w:p w:rsidR="00AC0C24" w:rsidRPr="00BF27A0" w:rsidP="00AC0C24">
      <w:pPr>
        <w:pStyle w:val="ListParagraph"/>
        <w:spacing w:before="240" w:line="240" w:lineRule="auto"/>
        <w:ind w:left="108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 A patent grants an exclusive right (monopoly) to exclude others from making, using, selling, or offering to sell the patented invention in the United States or importing the patented invention into the United States without permission. 35 U.S.C. § 271(a). </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A patent grants protection for a pre-determined period, </w:t>
      </w:r>
      <w:r w:rsidRPr="00BF27A0">
        <w:rPr>
          <w:rFonts w:ascii="Times New Roman" w:hAnsi="Times New Roman" w:cs="Times New Roman"/>
          <w:i/>
          <w:sz w:val="22"/>
          <w:szCs w:val="22"/>
        </w:rPr>
        <w:t>i.e.</w:t>
      </w:r>
      <w:r w:rsidRPr="00BF27A0">
        <w:rPr>
          <w:rFonts w:ascii="Times New Roman" w:hAnsi="Times New Roman" w:cs="Times New Roman"/>
          <w:sz w:val="22"/>
          <w:szCs w:val="22"/>
        </w:rPr>
        <w:t>, 20 years from the earliest effective filing date for utility and plant patents (35 U.S.C. § 154(a)(2)) and 15 years from the date of grant for a design patent (35 U.S.C. § 173).</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Having a patent can deter potential infringers, especially if the product is marked with the patent number. 35 U.S.C. § 287(a).  Marking a product with a patent number provides </w:t>
      </w:r>
      <w:r w:rsidRPr="00BF27A0">
        <w:rPr>
          <w:rFonts w:ascii="Times New Roman" w:hAnsi="Times New Roman" w:cs="Times New Roman"/>
          <w:sz w:val="22"/>
          <w:szCs w:val="22"/>
        </w:rPr>
        <w:t>constructive notice of a patent, which means that damages can be recovered even if the accused infringer had no actual knowledge of the patent.  In the event of failure to mark, no damages can be recovered by the patentee, except upon proof that the infringer was notified of the infringement and continued to infringer thereafter.  Thus, marking is very important to recovering damages, even from accused infringers having no actual knowledge of the patent.</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Patented inventions are protected from independent invention (through reverse engineering or otherwise) and theft.</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Patented products can typically charge a premium because of their monopoly position and restricted competition. Often patented inventions enjoy a higher profit margin due to the right to exclude.</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Patents can protect more than just an embodiment of the invention.  A properly worded patent can confer broad protection and effectively provide a competitive advantage and expand market share.</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A patent can also reduce competition by serving as a barrier to entry or prevent a competitor from improving its product, because a patent is a right to exclude (as opposed to a right to make). For example, a senior patentee owner may own a “dominant” patent covering a certain technology.  A junior competitor (who files its patent application later in time) can seek an “improvement” patent on the technology covered by the dominant patent.  In this instance, the senior patent holder may practice the invention covered by its “dominant” patent, although the senior patent holder cannot practice the improvement patent that the junior patent holder owns the patent to.  Conversely, the junior patent holder cannot practice its improvement until the senior patent holder’s “dominant” patent expires or the parties decide to enter into a cross-licensing agreement.  </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Disadvantages</w:t>
      </w:r>
      <w:r w:rsidRPr="00BF27A0">
        <w:rPr>
          <w:rFonts w:ascii="Times New Roman" w:hAnsi="Times New Roman" w:cs="Times New Roman"/>
          <w:sz w:val="22"/>
          <w:szCs w:val="22"/>
        </w:rPr>
        <w:t>:</w:t>
      </w:r>
    </w:p>
    <w:p w:rsidR="00AC0C24" w:rsidRPr="00BF27A0" w:rsidP="00AC0C24">
      <w:pPr>
        <w:pStyle w:val="ListParagraph"/>
        <w:spacing w:before="240" w:line="240" w:lineRule="auto"/>
        <w:ind w:left="108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Patents require the patent holder to publicly disclose inventions, including how to make and use the invention. 35 U.S.C. § 112(a).  Depending on the invention, some inventors choose to forego patent protection and instead not disclose this information, keeping the details of their product or service confidential as a “trade secret.” </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 Applying for a patent can be a very time-consuming and lengthy process. Once a patent application is filed, it can take 1.5 to 3 years before the USPTO even examines that patent application.  Further, it usually takes several rounds of back and forth with the USPTO before a patent is granted.  This process typically takes three to four years or more for a utility patent, less for a design patent.  During that time, the market can change significantly, or technology can advance by the time a patent is granted, rendering the patented technology obsolete.</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Applying for a patent can be costly, whether a patent is obtained or not.  Prior art searching, application drafting, and prosecution expenses can all contribute to a significant outlay. Also, patent protection is territorial, in that a U.S. patent can only be enforced in the United States, U.S. territories, and U.S. possessions.  If protection is sought outside the United States, additional foreign filings, examination and maintenance costs will be incurred in those countries where protection is sought.  The cost of foreign filing can also substantially add to the overall costs.  Additionally, bringing a patent </w:t>
      </w:r>
      <w:r w:rsidRPr="00BF27A0">
        <w:rPr>
          <w:rFonts w:ascii="Times New Roman" w:hAnsi="Times New Roman" w:cs="Times New Roman"/>
          <w:sz w:val="22"/>
          <w:szCs w:val="22"/>
        </w:rPr>
        <w:t xml:space="preserve">infringement lawsuit and seeing it through to verdict typically costs in the millions.  The potential for making a profit should outweigh the time, effort and money it takes to obtain, maintain and potentially enforce a patent. Not all patents have financial value. </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Patent protection is limited in time, usually lasting no more than 20 years (subject to patent term adjustments and/or patent term extensions), while trade secrets can remain protected indefinitely.</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Maintenance fees are required to maintain a patent for the patent term. If not paid, the patent will lapse.</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Having a patent does not guarantee that no one will challenge or infringe it.  Defending and enforcing a patent against patent infringement can be very expensive and time consuming.</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Patent protection will only be as good as the claims patented. If a patent is too narrow, a competitor can attempt to design around the claims.  If a patent is too broad, a competitor can try to have the patent invalidated.</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1"/>
          <w:numId w:val="1"/>
        </w:numPr>
        <w:spacing w:before="240" w:line="240" w:lineRule="auto"/>
        <w:rPr>
          <w:rFonts w:ascii="Times New Roman" w:hAnsi="Times New Roman" w:cs="Times New Roman"/>
          <w:sz w:val="22"/>
          <w:szCs w:val="22"/>
        </w:rPr>
      </w:pPr>
      <w:r w:rsidRPr="00BF27A0">
        <w:rPr>
          <w:rFonts w:ascii="Times New Roman" w:hAnsi="Times New Roman" w:cs="Times New Roman"/>
          <w:b/>
          <w:sz w:val="22"/>
          <w:szCs w:val="22"/>
          <w:u w:val="single"/>
        </w:rPr>
        <w:t>Trade Secrets</w:t>
      </w:r>
      <w:r w:rsidRPr="00BF27A0">
        <w:rPr>
          <w:rFonts w:ascii="Times New Roman" w:hAnsi="Times New Roman" w:cs="Times New Roman"/>
          <w:sz w:val="22"/>
          <w:szCs w:val="22"/>
        </w:rPr>
        <w:t>:</w:t>
      </w:r>
    </w:p>
    <w:p w:rsidR="00AC0C24" w:rsidRPr="00BF27A0" w:rsidP="00AC0C24">
      <w:pPr>
        <w:pStyle w:val="ListParagraph"/>
        <w:spacing w:before="240" w:line="240" w:lineRule="auto"/>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Subject matter</w:t>
      </w:r>
      <w:r w:rsidRPr="00BF27A0">
        <w:rPr>
          <w:rFonts w:ascii="Times New Roman" w:hAnsi="Times New Roman" w:cs="Times New Roman"/>
          <w:sz w:val="22"/>
          <w:szCs w:val="22"/>
        </w:rPr>
        <w:t xml:space="preserve">: Trade secrets are information and can include a formula, pattern, compilation, program, device, method, technique or process. To meet the most common definition of a trade secret, it must be used in business, and give an opportunity to obtain an economic advantage over competitors who do not know or use it.  Trade secrets can cover subject matter that may not be eligible for patenting, such as customers lists or manufacturing processes or details that are not sufficiently inventive to be granted a patent. However, trade secrets can also cover inventions that would fulfill the patentability criteria and could therefore potentially be protected by patents.  </w:t>
      </w:r>
    </w:p>
    <w:p w:rsidR="00AC0C24" w:rsidRPr="00BF27A0" w:rsidP="00AC0C24">
      <w:pPr>
        <w:pStyle w:val="ListParagraph"/>
        <w:spacing w:before="240" w:line="240" w:lineRule="auto"/>
        <w:ind w:left="1080"/>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Protection</w:t>
      </w:r>
      <w:r w:rsidRPr="00BF27A0">
        <w:rPr>
          <w:rFonts w:ascii="Times New Roman" w:hAnsi="Times New Roman" w:cs="Times New Roman"/>
          <w:sz w:val="22"/>
          <w:szCs w:val="22"/>
        </w:rPr>
        <w:t xml:space="preserve">:  The Defend Trade Secrets Act of 2016 created a federal civil cause of action, strengthening U.S. trade secret protection, with a choice for the parties between localized disputes under state laws and/or disputes under federal law, heard in federal courts.  While state laws differ, there is similarity among the laws because almost all states have adopted some form of the Uniform Trade Secrets Act. </w:t>
      </w:r>
    </w:p>
    <w:p w:rsidR="00AC0C24" w:rsidRPr="00BF27A0" w:rsidP="00AC0C24">
      <w:pPr>
        <w:pStyle w:val="ListParagraph"/>
        <w:spacing w:before="240" w:line="240" w:lineRule="auto"/>
        <w:ind w:left="1080"/>
        <w:rPr>
          <w:rFonts w:ascii="Times New Roman" w:hAnsi="Times New Roman" w:cs="Times New Roman"/>
          <w:sz w:val="22"/>
          <w:szCs w:val="22"/>
        </w:rPr>
      </w:pPr>
    </w:p>
    <w:p w:rsidR="00AC0C24" w:rsidRPr="00BF27A0"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Process</w:t>
      </w:r>
      <w:r w:rsidRPr="00BF27A0">
        <w:rPr>
          <w:rFonts w:ascii="Times New Roman" w:hAnsi="Times New Roman" w:cs="Times New Roman"/>
          <w:sz w:val="22"/>
          <w:szCs w:val="22"/>
        </w:rPr>
        <w:t xml:space="preserve">:  To protect trade secrets, companies should have a written policy in place about how employees and third parties handle confidential information. All employees should be educated about the policy and how to comply with it.  Employees with access to trade secrets should also be required to sign confidentiality agreements.  Third parties, including vendors, computer programmers, financial advisors, and other consultants, should also be required to sign confidentiality agreements. Confidentiality agreements with employees and business partners is one of the most important measure that can be taken to protect trade secrets.  The basic process for establishing trade secrets is as follows: </w:t>
      </w:r>
    </w:p>
    <w:p w:rsidR="00AC0C24" w:rsidRPr="00BF27A0"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Establish a trade secret policy;</w:t>
      </w:r>
    </w:p>
    <w:p w:rsidR="00AC0C24" w:rsidRPr="00BF27A0"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Identify trade secrets in your company;</w:t>
      </w:r>
    </w:p>
    <w:p w:rsidR="00AC0C24" w:rsidRPr="00BF27A0"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Mark them as “confidential”;</w:t>
      </w:r>
    </w:p>
    <w:p w:rsidR="00AC0C24" w:rsidRPr="00BF27A0"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Control access to the secrets both physically (e.g., safety deposit boxes, fireproof safes, etc.) and electronically (e.g., encryption, fire walls, etc.);</w:t>
      </w:r>
    </w:p>
    <w:p w:rsidR="00AC0C24" w:rsidRPr="00BF27A0"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Get Confidentiality Agreements/Non-Disclosure Agreements in place with key people. </w:t>
      </w: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Train employees on the company’s trade secret policies and how to deal with them to keep them safe.</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Remedies</w:t>
      </w:r>
      <w:r w:rsidRPr="00BF27A0">
        <w:rPr>
          <w:rFonts w:ascii="Times New Roman" w:hAnsi="Times New Roman" w:cs="Times New Roman"/>
          <w:sz w:val="22"/>
          <w:szCs w:val="22"/>
        </w:rPr>
        <w:t xml:space="preserve">: Courts can protect trade secrets by enjoining misappropriation, ordering parties that have misappropriated a trade secret to take steps to maintain its secrecy, as well as ordering damages </w:t>
      </w:r>
      <w:r w:rsidRPr="00BF27A0">
        <w:rPr>
          <w:rFonts w:ascii="Times New Roman" w:hAnsi="Times New Roman" w:cs="Times New Roman"/>
          <w:sz w:val="22"/>
          <w:szCs w:val="22"/>
        </w:rPr>
        <w:t>in the nature of compensation</w:t>
      </w:r>
      <w:r w:rsidRPr="00BF27A0">
        <w:rPr>
          <w:rFonts w:ascii="Times New Roman" w:hAnsi="Times New Roman" w:cs="Times New Roman"/>
          <w:sz w:val="22"/>
          <w:szCs w:val="22"/>
        </w:rPr>
        <w:t xml:space="preserve"> to the owner, court costs, and reasonable attorneys’ fees. However, this protection is limited because a trade secret holder is only protected from unauthorized disclosure and use, i.e., misappropriation.  If a trade secret holder fails to maintain secrecy or if the information is independently discovered, becomes released or otherwise becomes generally known, protection as a trade secret is lost. Trade secrets do not expire so protection continues until discovery or loss.</w:t>
      </w:r>
    </w:p>
    <w:p w:rsidR="00AC0C24" w:rsidRPr="00BF27A0" w:rsidP="00AC0C24">
      <w:pPr>
        <w:pStyle w:val="ListParagraph"/>
        <w:spacing w:before="240" w:line="240" w:lineRule="auto"/>
        <w:ind w:left="1080"/>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Advantages</w:t>
      </w:r>
      <w:r w:rsidRPr="00BF27A0">
        <w:rPr>
          <w:rFonts w:ascii="Times New Roman" w:hAnsi="Times New Roman" w:cs="Times New Roman"/>
          <w:sz w:val="22"/>
          <w:szCs w:val="22"/>
        </w:rPr>
        <w:t>:</w:t>
      </w:r>
    </w:p>
    <w:p w:rsidR="00AC0C24" w:rsidRPr="00BF27A0" w:rsidP="00AC0C24">
      <w:pPr>
        <w:pStyle w:val="ListParagraph"/>
        <w:spacing w:before="240" w:line="240" w:lineRule="auto"/>
        <w:ind w:left="108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Trade secret protection has the advantage of not being limited in time (in contrast to utility patents, which last in general for up to 20 years). Trade secret protection may therefore continue indefinitely </w:t>
      </w:r>
      <w:r w:rsidRPr="00BF27A0">
        <w:rPr>
          <w:rFonts w:ascii="Times New Roman" w:hAnsi="Times New Roman" w:cs="Times New Roman"/>
          <w:sz w:val="22"/>
          <w:szCs w:val="22"/>
        </w:rPr>
        <w:t>as long as</w:t>
      </w:r>
      <w:r w:rsidRPr="00BF27A0">
        <w:rPr>
          <w:rFonts w:ascii="Times New Roman" w:hAnsi="Times New Roman" w:cs="Times New Roman"/>
          <w:sz w:val="22"/>
          <w:szCs w:val="22"/>
        </w:rPr>
        <w:t xml:space="preserve"> the secret is not revealed to the public and reasonable efforts are taken to maintain the information secret.</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Trade secrets are generally lower cost.  Trade secrets involve no registration costs.  Although there may be high costs related to keeping the information confidential, such as maintaining information at distinct locations and providing appropriate protection therefor.</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Trade secret protection does not require compliance with the governmental formalities of patent law, such as disclosure of the information to a government authority as in the case of the disclosure requirements to the USPTO for a patent.</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Trade secrets have immediate effect, unlike patents, which can take several years to procure from the USPTO.</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Disadvantages</w:t>
      </w:r>
      <w:r w:rsidRPr="00BF27A0">
        <w:rPr>
          <w:rFonts w:ascii="Times New Roman" w:hAnsi="Times New Roman" w:cs="Times New Roman"/>
          <w:sz w:val="22"/>
          <w:szCs w:val="22"/>
        </w:rPr>
        <w:t>:</w:t>
      </w:r>
    </w:p>
    <w:p w:rsidR="00AC0C24" w:rsidRPr="00BF27A0" w:rsidP="00AC0C24">
      <w:pPr>
        <w:pStyle w:val="ListParagraph"/>
        <w:spacing w:before="240" w:line="240" w:lineRule="auto"/>
        <w:ind w:left="108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If a secret is embodied in an innovative product, others may be able to inspect it, dissect it and analyze it (i.e., “reverse engineer” it) and discover the secret and be thereafter entitled to use it. Trade secret protection of an invention does not provide the exclusive right to exclude third parties from making commercial use of the invention. Only patents can provide this type of protection.</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Once a secret is made public regardless of the means, it is available for third parties to use.  </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A trade secret can be more difficult to enforce than a patent.</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3"/>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A trade secret may be patented by someone else who developed the relevant information by legitimate means.</w:t>
      </w:r>
    </w:p>
    <w:p w:rsidR="00AC0C24" w:rsidRPr="00BF27A0" w:rsidP="00AC0C24">
      <w:pPr>
        <w:pStyle w:val="ListParagraph"/>
        <w:spacing w:before="240" w:line="240" w:lineRule="auto"/>
        <w:ind w:left="1440"/>
        <w:rPr>
          <w:rFonts w:ascii="Times New Roman" w:hAnsi="Times New Roman" w:cs="Times New Roman"/>
          <w:sz w:val="22"/>
          <w:szCs w:val="22"/>
        </w:rPr>
      </w:pPr>
    </w:p>
    <w:p w:rsidR="00AC0C24" w:rsidP="00AC0C24">
      <w:pPr>
        <w:pStyle w:val="ListParagraph"/>
        <w:numPr>
          <w:ilvl w:val="1"/>
          <w:numId w:val="1"/>
        </w:numPr>
        <w:spacing w:before="240" w:line="240" w:lineRule="auto"/>
        <w:rPr>
          <w:rFonts w:ascii="Times New Roman" w:hAnsi="Times New Roman" w:cs="Times New Roman"/>
          <w:sz w:val="22"/>
          <w:szCs w:val="22"/>
        </w:rPr>
      </w:pPr>
      <w:r w:rsidRPr="00BF27A0">
        <w:rPr>
          <w:rFonts w:ascii="Times New Roman" w:hAnsi="Times New Roman" w:cs="Times New Roman"/>
          <w:b/>
          <w:sz w:val="22"/>
          <w:szCs w:val="22"/>
          <w:u w:val="single"/>
        </w:rPr>
        <w:t>Mutually exclusive</w:t>
      </w:r>
      <w:r w:rsidRPr="00BF27A0">
        <w:rPr>
          <w:rFonts w:ascii="Times New Roman" w:hAnsi="Times New Roman" w:cs="Times New Roman"/>
          <w:sz w:val="22"/>
          <w:szCs w:val="22"/>
        </w:rPr>
        <w:t xml:space="preserve">: Patents and trade secrets are not necessarily mutually exclusive.  Trade secret protection can be a complement to patent protection such that some aspects of an innovation can be kept as a trade secret while others can be patented based on factors such as reverse engineering and commercial importance. </w:t>
      </w:r>
    </w:p>
    <w:p w:rsidR="00AC0C24" w:rsidRPr="00BF27A0" w:rsidP="00AC0C24">
      <w:pPr>
        <w:pStyle w:val="ListParagraph"/>
        <w:spacing w:before="240" w:line="240" w:lineRule="auto"/>
        <w:rPr>
          <w:rFonts w:ascii="Times New Roman" w:hAnsi="Times New Roman" w:cs="Times New Roman"/>
          <w:sz w:val="22"/>
          <w:szCs w:val="22"/>
        </w:rPr>
      </w:pPr>
    </w:p>
    <w:p w:rsidR="00AC0C24" w:rsidP="00AC0C24">
      <w:pPr>
        <w:pStyle w:val="ListParagraph"/>
        <w:numPr>
          <w:ilvl w:val="1"/>
          <w:numId w:val="1"/>
        </w:numPr>
        <w:spacing w:before="240" w:line="240" w:lineRule="auto"/>
        <w:rPr>
          <w:rFonts w:ascii="Times New Roman" w:hAnsi="Times New Roman" w:cs="Times New Roman"/>
          <w:sz w:val="22"/>
          <w:szCs w:val="22"/>
        </w:rPr>
      </w:pPr>
      <w:r w:rsidRPr="00BF27A0">
        <w:rPr>
          <w:rFonts w:ascii="Times New Roman" w:hAnsi="Times New Roman" w:cs="Times New Roman"/>
          <w:b/>
          <w:sz w:val="22"/>
          <w:szCs w:val="22"/>
          <w:u w:val="single"/>
        </w:rPr>
        <w:t>Final considerations</w:t>
      </w:r>
      <w:r w:rsidRPr="00BF27A0">
        <w:rPr>
          <w:rFonts w:ascii="Times New Roman" w:hAnsi="Times New Roman" w:cs="Times New Roman"/>
          <w:sz w:val="22"/>
          <w:szCs w:val="22"/>
        </w:rPr>
        <w:t xml:space="preserve">: </w:t>
      </w:r>
    </w:p>
    <w:p w:rsidR="00AC0C24" w:rsidRPr="00BF27A0" w:rsidP="00AC0C24">
      <w:pPr>
        <w:pStyle w:val="ListParagraph"/>
        <w:spacing w:before="240" w:line="240" w:lineRule="auto"/>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A company’s intellectual property is frequently its number one asset. Protecting that property through patents, however, is expensive and doesn’t include certain types of content, including customer lists, which are crucial. A viable alternative for such things is to classify intellectual property as a trade secret. The trade secret designation enjoys protection under U.S. law and the associated costs may be significantly lower.  If a given invention is eligible for either patent or trade secret protection, then the decision on how to protect that invention depends on business considerations and weighing of the relative benefits of each type of intellectual property.  A further consideration is the scope of any patent that might be obtained.  </w:t>
      </w:r>
    </w:p>
    <w:p w:rsidR="00AC0C24" w:rsidRPr="00BF27A0" w:rsidP="00AC0C24">
      <w:pPr>
        <w:pStyle w:val="ListParagraph"/>
        <w:spacing w:before="240" w:line="240" w:lineRule="auto"/>
        <w:ind w:left="1080"/>
        <w:rPr>
          <w:rFonts w:ascii="Times New Roman" w:hAnsi="Times New Roman" w:cs="Times New Roman"/>
          <w:sz w:val="22"/>
          <w:szCs w:val="22"/>
        </w:rPr>
      </w:pPr>
    </w:p>
    <w:p w:rsidR="00AC0C24" w:rsidP="00AC0C24">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rPr>
        <w:t xml:space="preserve">Coca-Cola vs Listerine: Coca-Cola, which does not hold a patent on its secret recipe, chose to protect its secret recipe as a trade secret rather than disclose it in a patent application.  As a result, the Coke formula has been a secret since John Pemberton invented the drink in 1886. Listerine was not so lucky.  Listerine was first formulated in 1879 by Dr. Joseph Lawrence but became generally known well before the license to the formula expired.  </w:t>
      </w:r>
      <w:r w:rsidRPr="00BF27A0">
        <w:rPr>
          <w:rFonts w:ascii="Times New Roman" w:hAnsi="Times New Roman" w:cs="Times New Roman"/>
          <w:sz w:val="22"/>
          <w:szCs w:val="22"/>
          <w:u w:val="single"/>
        </w:rPr>
        <w:t>Warner Lambert Pharm. Co. v. John J. Reynolds, Inc.</w:t>
      </w:r>
      <w:r w:rsidRPr="00BF27A0">
        <w:rPr>
          <w:rFonts w:ascii="Times New Roman" w:hAnsi="Times New Roman" w:cs="Times New Roman"/>
          <w:sz w:val="22"/>
          <w:szCs w:val="22"/>
        </w:rPr>
        <w:t xml:space="preserve">, 178 </w:t>
      </w:r>
      <w:r w:rsidRPr="00BF27A0">
        <w:rPr>
          <w:rFonts w:ascii="Times New Roman" w:hAnsi="Times New Roman" w:cs="Times New Roman"/>
          <w:sz w:val="22"/>
          <w:szCs w:val="22"/>
        </w:rPr>
        <w:t>F.Supp</w:t>
      </w:r>
      <w:r w:rsidRPr="00BF27A0">
        <w:rPr>
          <w:rFonts w:ascii="Times New Roman" w:hAnsi="Times New Roman" w:cs="Times New Roman"/>
          <w:sz w:val="22"/>
          <w:szCs w:val="22"/>
        </w:rPr>
        <w:t>. 655 (S.D. N.Y. 1959), aff’d 280 F.2d 197 (2nd Cir. 1960).</w:t>
      </w:r>
    </w:p>
    <w:p w:rsidR="00AC0C24" w:rsidP="00AC0C24">
      <w:pPr>
        <w:pStyle w:val="ListParagraph"/>
        <w:spacing w:before="240" w:line="240" w:lineRule="auto"/>
        <w:ind w:left="360"/>
        <w:rPr>
          <w:rFonts w:ascii="Times New Roman" w:hAnsi="Times New Roman" w:cs="Times New Roman"/>
          <w:b/>
          <w:sz w:val="22"/>
          <w:szCs w:val="22"/>
          <w:u w:val="single"/>
        </w:rPr>
      </w:pPr>
    </w:p>
    <w:p w:rsidR="00AC0C24" w:rsidP="00BF27A0">
      <w:pPr>
        <w:pStyle w:val="ListParagraph"/>
        <w:numPr>
          <w:ilvl w:val="0"/>
          <w:numId w:val="1"/>
        </w:numPr>
        <w:spacing w:before="240" w:line="240" w:lineRule="auto"/>
        <w:rPr>
          <w:rFonts w:ascii="Times New Roman" w:hAnsi="Times New Roman" w:cs="Times New Roman"/>
          <w:b/>
          <w:sz w:val="22"/>
          <w:szCs w:val="22"/>
          <w:u w:val="single"/>
        </w:rPr>
      </w:pPr>
      <w:r>
        <w:rPr>
          <w:rFonts w:ascii="Times New Roman" w:hAnsi="Times New Roman" w:cs="Times New Roman"/>
          <w:b/>
          <w:sz w:val="22"/>
          <w:szCs w:val="22"/>
          <w:u w:val="single"/>
        </w:rPr>
        <w:t>LITIGATION:  DEVELOPMENTS AFFECTING IP DECISION-MAKING</w:t>
      </w:r>
    </w:p>
    <w:p w:rsidR="00B55FB7" w:rsidRPr="00D070BD" w:rsidP="00B55FB7">
      <w:pPr>
        <w:pStyle w:val="ListParagraph"/>
        <w:spacing w:before="240" w:line="240" w:lineRule="auto"/>
        <w:ind w:left="360"/>
        <w:rPr>
          <w:rFonts w:ascii="Times New Roman" w:hAnsi="Times New Roman" w:cs="Times New Roman"/>
          <w:b/>
          <w:sz w:val="22"/>
          <w:szCs w:val="22"/>
          <w:u w:val="single"/>
        </w:rPr>
      </w:pPr>
    </w:p>
    <w:p w:rsidR="00AC0C24" w:rsidRPr="00D070BD" w:rsidP="00217B50">
      <w:pPr>
        <w:pStyle w:val="ListParagraph"/>
        <w:numPr>
          <w:ilvl w:val="1"/>
          <w:numId w:val="1"/>
        </w:numPr>
        <w:spacing w:before="240" w:line="240" w:lineRule="auto"/>
        <w:rPr>
          <w:rFonts w:ascii="Times New Roman" w:hAnsi="Times New Roman" w:cs="Times New Roman"/>
          <w:sz w:val="22"/>
          <w:szCs w:val="22"/>
        </w:rPr>
      </w:pPr>
      <w:r w:rsidRPr="00D070BD">
        <w:rPr>
          <w:rFonts w:ascii="Times New Roman" w:hAnsi="Times New Roman" w:cs="Times New Roman"/>
          <w:sz w:val="22"/>
          <w:szCs w:val="22"/>
          <w:u w:val="single"/>
        </w:rPr>
        <w:t>The New Frontier</w:t>
      </w:r>
      <w:r w:rsidRPr="00D070BD" w:rsidR="00A62092">
        <w:rPr>
          <w:rFonts w:ascii="Times New Roman" w:hAnsi="Times New Roman" w:cs="Times New Roman"/>
          <w:sz w:val="22"/>
          <w:szCs w:val="22"/>
          <w:u w:val="single"/>
        </w:rPr>
        <w:t xml:space="preserve"> of Litigation</w:t>
      </w:r>
      <w:r w:rsidRPr="00D070BD">
        <w:rPr>
          <w:rFonts w:ascii="Times New Roman" w:hAnsi="Times New Roman" w:cs="Times New Roman"/>
          <w:sz w:val="22"/>
          <w:szCs w:val="22"/>
          <w:u w:val="single"/>
        </w:rPr>
        <w:t xml:space="preserve">:  </w:t>
      </w:r>
      <w:r w:rsidRPr="00D070BD">
        <w:rPr>
          <w:rFonts w:ascii="Times New Roman" w:hAnsi="Times New Roman" w:cs="Times New Roman"/>
          <w:sz w:val="22"/>
          <w:szCs w:val="22"/>
          <w:u w:val="single"/>
        </w:rPr>
        <w:t>the</w:t>
      </w:r>
      <w:r w:rsidRPr="00D070BD">
        <w:rPr>
          <w:rFonts w:ascii="Times New Roman" w:hAnsi="Times New Roman" w:cs="Times New Roman"/>
          <w:sz w:val="22"/>
          <w:szCs w:val="22"/>
          <w:u w:val="single"/>
        </w:rPr>
        <w:t xml:space="preserve"> Defend Trade Secrets Act:</w:t>
      </w:r>
      <w:r w:rsidRPr="00D070BD">
        <w:rPr>
          <w:rFonts w:ascii="Times New Roman" w:hAnsi="Times New Roman" w:cs="Times New Roman"/>
          <w:sz w:val="22"/>
          <w:szCs w:val="22"/>
        </w:rPr>
        <w:t xml:space="preserve"> </w:t>
      </w:r>
      <w:r w:rsidRPr="00D070BD" w:rsidR="008C587F">
        <w:rPr>
          <w:rFonts w:ascii="Times New Roman" w:hAnsi="Times New Roman" w:cs="Times New Roman"/>
          <w:sz w:val="22"/>
          <w:szCs w:val="22"/>
        </w:rPr>
        <w:t>18 U.S.C. § 1839(3)</w:t>
      </w:r>
      <w:r w:rsidRPr="00D070BD" w:rsidR="001B3B32">
        <w:rPr>
          <w:rFonts w:ascii="Times New Roman" w:hAnsi="Times New Roman" w:cs="Times New Roman"/>
          <w:sz w:val="22"/>
          <w:szCs w:val="22"/>
        </w:rPr>
        <w:t>—signed into law on May 11 2016—we are still seeing the first cases under this statute come to fruition and many are resolved at the district court level but currently pending on appeal</w:t>
      </w:r>
    </w:p>
    <w:p w:rsidR="00FB2DFD" w:rsidRPr="00D070BD" w:rsidP="00FB2DFD">
      <w:pPr>
        <w:pStyle w:val="ListParagraph"/>
        <w:spacing w:before="240" w:line="240" w:lineRule="auto"/>
        <w:rPr>
          <w:rFonts w:ascii="Times New Roman" w:hAnsi="Times New Roman" w:cs="Times New Roman"/>
          <w:sz w:val="22"/>
          <w:szCs w:val="22"/>
        </w:rPr>
      </w:pPr>
    </w:p>
    <w:p w:rsidR="00B5189C" w:rsidRPr="00D070BD" w:rsidP="00B5189C">
      <w:pPr>
        <w:pStyle w:val="ListParagraph"/>
        <w:numPr>
          <w:ilvl w:val="1"/>
          <w:numId w:val="1"/>
        </w:numPr>
        <w:spacing w:before="240" w:line="240" w:lineRule="auto"/>
        <w:rPr>
          <w:rFonts w:ascii="Times New Roman" w:hAnsi="Times New Roman" w:cs="Times New Roman"/>
          <w:sz w:val="22"/>
          <w:szCs w:val="22"/>
        </w:rPr>
      </w:pPr>
      <w:r w:rsidRPr="00D070BD">
        <w:rPr>
          <w:rFonts w:ascii="Times New Roman" w:hAnsi="Times New Roman" w:cs="Times New Roman"/>
          <w:sz w:val="22"/>
          <w:szCs w:val="22"/>
        </w:rPr>
        <w:t>Overall points regarding the DTSA and its background/applicability</w:t>
      </w:r>
    </w:p>
    <w:p w:rsidR="00B5189C" w:rsidRPr="00D070BD" w:rsidP="00B5189C">
      <w:pPr>
        <w:pStyle w:val="ListParagraph"/>
        <w:rPr>
          <w:rFonts w:ascii="Times New Roman" w:hAnsi="Times New Roman" w:cs="Times New Roman"/>
          <w:sz w:val="22"/>
          <w:szCs w:val="22"/>
        </w:rPr>
      </w:pPr>
    </w:p>
    <w:p w:rsidR="00B5189C" w:rsidRPr="00D070BD" w:rsidP="00B5189C">
      <w:pPr>
        <w:pStyle w:val="ListParagraph"/>
        <w:numPr>
          <w:ilvl w:val="2"/>
          <w:numId w:val="1"/>
        </w:numPr>
        <w:spacing w:before="240" w:line="240" w:lineRule="auto"/>
        <w:rPr>
          <w:rFonts w:ascii="Times New Roman" w:hAnsi="Times New Roman" w:cs="Times New Roman"/>
          <w:sz w:val="22"/>
          <w:szCs w:val="22"/>
        </w:rPr>
      </w:pPr>
      <w:r w:rsidRPr="00D070BD">
        <w:rPr>
          <w:rFonts w:ascii="Times New Roman" w:hAnsi="Times New Roman" w:cs="Times New Roman"/>
          <w:sz w:val="22"/>
          <w:szCs w:val="22"/>
        </w:rPr>
        <w:t>Its provisions are largely based upon the Uniform Trade Secrets Act which was adopted in some form in 49 states, New York being the exceptions</w:t>
      </w:r>
    </w:p>
    <w:p w:rsidR="00B5189C" w:rsidRPr="00D070BD" w:rsidP="00B5189C">
      <w:pPr>
        <w:pStyle w:val="ListParagraph"/>
        <w:numPr>
          <w:ilvl w:val="2"/>
          <w:numId w:val="1"/>
        </w:numPr>
        <w:spacing w:before="240" w:line="240" w:lineRule="auto"/>
        <w:rPr>
          <w:rFonts w:ascii="Times New Roman" w:hAnsi="Times New Roman" w:cs="Times New Roman"/>
          <w:sz w:val="22"/>
          <w:szCs w:val="22"/>
        </w:rPr>
      </w:pPr>
      <w:r w:rsidRPr="00D070BD">
        <w:rPr>
          <w:rFonts w:ascii="Times New Roman" w:hAnsi="Times New Roman" w:cs="Times New Roman"/>
          <w:sz w:val="22"/>
          <w:szCs w:val="22"/>
        </w:rPr>
        <w:t xml:space="preserve">Many of the states that did adopt the </w:t>
      </w:r>
      <w:r w:rsidRPr="00D070BD">
        <w:rPr>
          <w:rFonts w:ascii="Times New Roman" w:hAnsi="Times New Roman" w:cs="Times New Roman"/>
          <w:sz w:val="22"/>
          <w:szCs w:val="22"/>
        </w:rPr>
        <w:t>UTSA</w:t>
      </w:r>
      <w:r w:rsidRPr="00D070BD">
        <w:rPr>
          <w:rFonts w:ascii="Times New Roman" w:hAnsi="Times New Roman" w:cs="Times New Roman"/>
          <w:sz w:val="22"/>
          <w:szCs w:val="22"/>
        </w:rPr>
        <w:t xml:space="preserve"> did so in selecting parts, not the whole, which lead to inconsistencies in defining what could qualify as a trade secret, what you had to do to prove your thing was in fact a protectable trade secret, and what you needed to prove to show misappropriation</w:t>
      </w:r>
    </w:p>
    <w:p w:rsidR="00B5189C" w:rsidRPr="00D070BD" w:rsidP="0063015B">
      <w:pPr>
        <w:pStyle w:val="ListParagraph"/>
        <w:numPr>
          <w:ilvl w:val="2"/>
          <w:numId w:val="1"/>
        </w:numPr>
        <w:spacing w:before="240" w:line="240" w:lineRule="auto"/>
        <w:rPr>
          <w:rFonts w:ascii="Times New Roman" w:hAnsi="Times New Roman" w:cs="Times New Roman"/>
          <w:sz w:val="22"/>
          <w:szCs w:val="22"/>
        </w:rPr>
      </w:pPr>
      <w:r w:rsidRPr="00D070BD">
        <w:rPr>
          <w:rFonts w:ascii="Times New Roman" w:hAnsi="Times New Roman" w:cs="Times New Roman"/>
          <w:sz w:val="22"/>
          <w:szCs w:val="22"/>
        </w:rPr>
        <w:t>The only way you could get into federal court was to have diversity jurisdiction or try to cobble a trade secret claim on federal action you were also pleadin</w:t>
      </w:r>
      <w:r w:rsidRPr="00D070BD" w:rsidR="00D070BD">
        <w:rPr>
          <w:rFonts w:ascii="Times New Roman" w:hAnsi="Times New Roman" w:cs="Times New Roman"/>
          <w:sz w:val="22"/>
          <w:szCs w:val="22"/>
        </w:rPr>
        <w:t xml:space="preserve">g but now there are </w:t>
      </w:r>
      <w:r w:rsidRPr="00D070BD">
        <w:rPr>
          <w:rFonts w:ascii="Times New Roman" w:hAnsi="Times New Roman" w:cs="Times New Roman"/>
          <w:sz w:val="22"/>
          <w:szCs w:val="22"/>
        </w:rPr>
        <w:t>options, as the Act did not preempt any state laws</w:t>
      </w:r>
    </w:p>
    <w:p w:rsidR="00B5189C" w:rsidRPr="00D070BD" w:rsidP="00B5189C">
      <w:pPr>
        <w:pStyle w:val="ListParagraph"/>
        <w:numPr>
          <w:ilvl w:val="2"/>
          <w:numId w:val="1"/>
        </w:numPr>
        <w:spacing w:before="240" w:line="240" w:lineRule="auto"/>
        <w:rPr>
          <w:rFonts w:ascii="Times New Roman" w:hAnsi="Times New Roman" w:cs="Times New Roman"/>
          <w:sz w:val="22"/>
          <w:szCs w:val="22"/>
        </w:rPr>
      </w:pPr>
      <w:r w:rsidRPr="00D070BD">
        <w:rPr>
          <w:rFonts w:ascii="Times New Roman" w:hAnsi="Times New Roman" w:cs="Times New Roman"/>
          <w:sz w:val="22"/>
          <w:szCs w:val="22"/>
        </w:rPr>
        <w:t xml:space="preserve">Sometimes you may want to stay in state court, whether you have a friendly judge or there are other missing elements in your claim that simply won’t work under the DTSA </w:t>
      </w:r>
    </w:p>
    <w:p w:rsidR="00B5189C" w:rsidRPr="00D070BD" w:rsidP="00B5189C">
      <w:pPr>
        <w:pStyle w:val="ListParagraph"/>
        <w:numPr>
          <w:ilvl w:val="2"/>
          <w:numId w:val="1"/>
        </w:numPr>
        <w:spacing w:before="240" w:line="240" w:lineRule="auto"/>
        <w:rPr>
          <w:rFonts w:ascii="Times New Roman" w:hAnsi="Times New Roman" w:cs="Times New Roman"/>
          <w:sz w:val="22"/>
          <w:szCs w:val="22"/>
        </w:rPr>
      </w:pPr>
      <w:r w:rsidRPr="00D070BD">
        <w:rPr>
          <w:rFonts w:ascii="Times New Roman" w:hAnsi="Times New Roman" w:cs="Times New Roman"/>
          <w:sz w:val="22"/>
          <w:szCs w:val="22"/>
        </w:rPr>
        <w:t xml:space="preserve">The promise of the Act is to provide consistency in how the Courts address trade secrets and their alleged misappropriation and clear up the patchwork of law we </w:t>
      </w:r>
      <w:r w:rsidRPr="00D070BD">
        <w:rPr>
          <w:rFonts w:ascii="Times New Roman" w:hAnsi="Times New Roman" w:cs="Times New Roman"/>
          <w:sz w:val="22"/>
          <w:szCs w:val="22"/>
        </w:rPr>
        <w:t>have to</w:t>
      </w:r>
      <w:r w:rsidRPr="00D070BD">
        <w:rPr>
          <w:rFonts w:ascii="Times New Roman" w:hAnsi="Times New Roman" w:cs="Times New Roman"/>
          <w:sz w:val="22"/>
          <w:szCs w:val="22"/>
        </w:rPr>
        <w:t xml:space="preserve"> deal with on the subject </w:t>
      </w:r>
    </w:p>
    <w:p w:rsidR="00B5189C" w:rsidRPr="00D070BD" w:rsidP="00B5189C">
      <w:pPr>
        <w:pStyle w:val="ListParagraph"/>
        <w:numPr>
          <w:ilvl w:val="2"/>
          <w:numId w:val="1"/>
        </w:numPr>
        <w:spacing w:before="240" w:line="240" w:lineRule="auto"/>
        <w:rPr>
          <w:rFonts w:ascii="Times New Roman" w:hAnsi="Times New Roman" w:cs="Times New Roman"/>
          <w:sz w:val="22"/>
          <w:szCs w:val="22"/>
        </w:rPr>
      </w:pPr>
      <w:r w:rsidRPr="00D070BD">
        <w:rPr>
          <w:rFonts w:ascii="Times New Roman" w:hAnsi="Times New Roman" w:cs="Times New Roman"/>
          <w:sz w:val="22"/>
          <w:szCs w:val="22"/>
        </w:rPr>
        <w:t xml:space="preserve">Congress also gave us some new teeth, providing an ex </w:t>
      </w:r>
      <w:r w:rsidRPr="00D070BD">
        <w:rPr>
          <w:rFonts w:ascii="Times New Roman" w:hAnsi="Times New Roman" w:cs="Times New Roman"/>
          <w:sz w:val="22"/>
          <w:szCs w:val="22"/>
        </w:rPr>
        <w:t>parte</w:t>
      </w:r>
      <w:r w:rsidRPr="00D070BD">
        <w:rPr>
          <w:rFonts w:ascii="Times New Roman" w:hAnsi="Times New Roman" w:cs="Times New Roman"/>
          <w:sz w:val="22"/>
          <w:szCs w:val="22"/>
        </w:rPr>
        <w:t xml:space="preserve"> seizure remedy in extreme circumstances</w:t>
      </w:r>
      <w:r w:rsidR="00D070BD">
        <w:rPr>
          <w:rFonts w:ascii="Times New Roman" w:hAnsi="Times New Roman" w:cs="Times New Roman"/>
          <w:sz w:val="22"/>
          <w:szCs w:val="22"/>
        </w:rPr>
        <w:t>—VERY rare and have not seen effective use yet</w:t>
      </w:r>
    </w:p>
    <w:p w:rsidR="00B5189C" w:rsidP="00B5189C">
      <w:pPr>
        <w:pStyle w:val="ListParagraph"/>
        <w:numPr>
          <w:ilvl w:val="2"/>
          <w:numId w:val="1"/>
        </w:numPr>
        <w:spacing w:before="240" w:line="240" w:lineRule="auto"/>
        <w:rPr>
          <w:rFonts w:ascii="Times New Roman" w:hAnsi="Times New Roman" w:cs="Times New Roman"/>
          <w:sz w:val="22"/>
          <w:szCs w:val="22"/>
        </w:rPr>
      </w:pPr>
      <w:r w:rsidRPr="00D070BD">
        <w:rPr>
          <w:rFonts w:ascii="Times New Roman" w:hAnsi="Times New Roman" w:cs="Times New Roman"/>
          <w:sz w:val="22"/>
          <w:szCs w:val="22"/>
        </w:rPr>
        <w:t>As well as punitive damages, potential attorneys’ fees and nationwide injunctions</w:t>
      </w:r>
    </w:p>
    <w:p w:rsidR="00D070BD" w:rsidRPr="00D070BD" w:rsidP="00D070BD">
      <w:pPr>
        <w:pStyle w:val="ListParagraph"/>
        <w:spacing w:before="240" w:line="240" w:lineRule="auto"/>
        <w:ind w:left="1080"/>
        <w:rPr>
          <w:rFonts w:ascii="Times New Roman" w:hAnsi="Times New Roman" w:cs="Times New Roman"/>
          <w:sz w:val="22"/>
          <w:szCs w:val="22"/>
        </w:rPr>
      </w:pPr>
    </w:p>
    <w:p w:rsidR="00B5189C" w:rsidRPr="00D070BD" w:rsidP="00D070BD">
      <w:pPr>
        <w:pStyle w:val="ListParagraph"/>
        <w:numPr>
          <w:ilvl w:val="1"/>
          <w:numId w:val="1"/>
        </w:numPr>
        <w:spacing w:before="240" w:line="240" w:lineRule="auto"/>
        <w:rPr>
          <w:rFonts w:ascii="Times New Roman" w:hAnsi="Times New Roman" w:cs="Times New Roman"/>
          <w:sz w:val="22"/>
          <w:szCs w:val="22"/>
        </w:rPr>
      </w:pPr>
      <w:r w:rsidRPr="00D070BD">
        <w:rPr>
          <w:rFonts w:ascii="Times New Roman" w:hAnsi="Times New Roman" w:cs="Times New Roman"/>
          <w:sz w:val="22"/>
          <w:szCs w:val="22"/>
        </w:rPr>
        <w:t>But there were also limitations built in to the Act</w:t>
      </w:r>
    </w:p>
    <w:p w:rsidR="00B5189C" w:rsidRPr="00D070BD" w:rsidP="00B5189C">
      <w:pPr>
        <w:pStyle w:val="ListParagraph"/>
        <w:numPr>
          <w:ilvl w:val="2"/>
          <w:numId w:val="1"/>
        </w:numPr>
        <w:spacing w:before="240" w:line="240" w:lineRule="auto"/>
        <w:rPr>
          <w:rFonts w:ascii="Times New Roman" w:hAnsi="Times New Roman" w:cs="Times New Roman"/>
          <w:sz w:val="22"/>
          <w:szCs w:val="22"/>
        </w:rPr>
      </w:pPr>
      <w:r w:rsidRPr="00D070BD">
        <w:rPr>
          <w:rFonts w:ascii="Times New Roman" w:hAnsi="Times New Roman" w:cs="Times New Roman"/>
          <w:sz w:val="22"/>
          <w:szCs w:val="22"/>
        </w:rPr>
        <w:t>First, it appears that the Act will not be applied retroactively --meaning that if the misappropriation took place before May 11, 2016, you may get shut out of the federal court option</w:t>
      </w:r>
      <w:r w:rsidR="00A37728">
        <w:rPr>
          <w:rFonts w:ascii="Times New Roman" w:hAnsi="Times New Roman" w:cs="Times New Roman"/>
          <w:sz w:val="22"/>
          <w:szCs w:val="22"/>
        </w:rPr>
        <w:t>—even if continuing, there is an issue here</w:t>
      </w:r>
    </w:p>
    <w:p w:rsidR="00B5189C" w:rsidRPr="00A37728" w:rsidP="000B3FF0">
      <w:pPr>
        <w:pStyle w:val="ListParagraph"/>
        <w:numPr>
          <w:ilvl w:val="2"/>
          <w:numId w:val="1"/>
        </w:numPr>
        <w:spacing w:before="240" w:line="240" w:lineRule="auto"/>
        <w:rPr>
          <w:rFonts w:ascii="Times New Roman" w:hAnsi="Times New Roman" w:cs="Times New Roman"/>
          <w:sz w:val="22"/>
          <w:szCs w:val="22"/>
        </w:rPr>
      </w:pPr>
      <w:r w:rsidRPr="00A37728">
        <w:rPr>
          <w:rFonts w:ascii="Times New Roman" w:hAnsi="Times New Roman" w:cs="Times New Roman"/>
          <w:sz w:val="22"/>
          <w:szCs w:val="22"/>
        </w:rPr>
        <w:t xml:space="preserve">By and large The new federal act is a lot like the uniform trade secrets act enacted in at least some form in nearly every state in the Union – but there are some difference and new features </w:t>
      </w:r>
    </w:p>
    <w:p w:rsidR="00FB2DFD" w:rsidRPr="00FB2DFD" w:rsidP="00FB2DFD">
      <w:pPr>
        <w:pStyle w:val="ListParagraph"/>
        <w:rPr>
          <w:rFonts w:ascii="Times New Roman" w:hAnsi="Times New Roman" w:cs="Times New Roman"/>
          <w:sz w:val="22"/>
          <w:szCs w:val="22"/>
        </w:rPr>
      </w:pPr>
    </w:p>
    <w:p w:rsidR="00AC0C24" w:rsidRPr="002D30B8" w:rsidP="001F22B7">
      <w:pPr>
        <w:pStyle w:val="ListParagraph"/>
        <w:numPr>
          <w:ilvl w:val="1"/>
          <w:numId w:val="1"/>
        </w:numPr>
        <w:spacing w:before="240" w:line="240" w:lineRule="auto"/>
        <w:rPr>
          <w:rFonts w:ascii="Times New Roman" w:hAnsi="Times New Roman" w:cs="Times New Roman"/>
          <w:sz w:val="22"/>
          <w:szCs w:val="22"/>
          <w:u w:val="single"/>
        </w:rPr>
      </w:pPr>
      <w:r w:rsidRPr="002D30B8">
        <w:rPr>
          <w:rFonts w:ascii="Times New Roman" w:hAnsi="Times New Roman" w:cs="Times New Roman"/>
          <w:i/>
          <w:sz w:val="22"/>
          <w:szCs w:val="22"/>
          <w:u w:val="single"/>
        </w:rPr>
        <w:t>Definition of trade secret</w:t>
      </w:r>
      <w:r w:rsidRPr="002D30B8">
        <w:rPr>
          <w:rFonts w:ascii="Times New Roman" w:hAnsi="Times New Roman" w:cs="Times New Roman"/>
          <w:sz w:val="22"/>
          <w:szCs w:val="22"/>
        </w:rPr>
        <w:t xml:space="preserve">: </w:t>
      </w:r>
      <w:r w:rsidRPr="002D30B8">
        <w:rPr>
          <w:rFonts w:ascii="Times New Roman" w:hAnsi="Times New Roman" w:cs="Times New Roman"/>
          <w:sz w:val="22"/>
          <w:szCs w:val="22"/>
        </w:rPr>
        <w:t xml:space="preserve">all forms and types of financial, business, scientific, technical, economic, or engineering information, including patterns, plans, compilations, program devices, formulas, designs, prototypes, methods, techniques, processes, procedures, programs, or codes, whether tangible or intangible, and whether or how stored, compiled, or memorialized physically, electronically, graphically, photographically, or in writing if </w:t>
      </w:r>
      <w:r w:rsidR="006E64DB">
        <w:rPr>
          <w:rFonts w:ascii="Times New Roman" w:hAnsi="Times New Roman" w:cs="Times New Roman"/>
          <w:sz w:val="22"/>
          <w:szCs w:val="22"/>
        </w:rPr>
        <w:t xml:space="preserve"> (and only if) </w:t>
      </w:r>
      <w:r w:rsidRPr="006E64DB" w:rsidR="006E64DB">
        <w:rPr>
          <w:rFonts w:ascii="Times New Roman" w:hAnsi="Times New Roman" w:cs="Times New Roman"/>
          <w:sz w:val="22"/>
          <w:szCs w:val="22"/>
        </w:rPr>
        <w:t xml:space="preserve">the owner thereof has taken </w:t>
      </w:r>
      <w:r w:rsidRPr="006E64DB" w:rsidR="006E64DB">
        <w:rPr>
          <w:rFonts w:ascii="Times New Roman" w:hAnsi="Times New Roman" w:cs="Times New Roman"/>
          <w:b/>
          <w:bCs/>
          <w:sz w:val="22"/>
          <w:szCs w:val="22"/>
        </w:rPr>
        <w:t>reasonable measures to keep such information secret</w:t>
      </w:r>
      <w:r w:rsidRPr="006E64DB" w:rsidR="006E64DB">
        <w:rPr>
          <w:rFonts w:ascii="Times New Roman" w:hAnsi="Times New Roman" w:cs="Times New Roman"/>
          <w:sz w:val="22"/>
          <w:szCs w:val="22"/>
        </w:rPr>
        <w:t xml:space="preserve">; and the information derives </w:t>
      </w:r>
      <w:r w:rsidRPr="006E64DB" w:rsidR="006E64DB">
        <w:rPr>
          <w:rFonts w:ascii="Times New Roman" w:hAnsi="Times New Roman" w:cs="Times New Roman"/>
          <w:b/>
          <w:bCs/>
          <w:sz w:val="22"/>
          <w:szCs w:val="22"/>
        </w:rPr>
        <w:t>independent economic value</w:t>
      </w:r>
      <w:r w:rsidRPr="006E64DB" w:rsidR="006E64DB">
        <w:rPr>
          <w:rFonts w:ascii="Times New Roman" w:hAnsi="Times New Roman" w:cs="Times New Roman"/>
          <w:sz w:val="22"/>
          <w:szCs w:val="22"/>
        </w:rPr>
        <w:t xml:space="preserve">, actual or potential, from not being generally known to, and </w:t>
      </w:r>
      <w:r w:rsidRPr="006E64DB" w:rsidR="006E64DB">
        <w:rPr>
          <w:rFonts w:ascii="Times New Roman" w:hAnsi="Times New Roman" w:cs="Times New Roman"/>
          <w:b/>
          <w:bCs/>
          <w:sz w:val="22"/>
          <w:szCs w:val="22"/>
        </w:rPr>
        <w:t>not being readily ascertainable through proper means by, the public</w:t>
      </w:r>
      <w:r w:rsidRPr="006E64DB" w:rsidR="006E64DB">
        <w:rPr>
          <w:rFonts w:ascii="Times New Roman" w:hAnsi="Times New Roman" w:cs="Times New Roman"/>
          <w:sz w:val="22"/>
          <w:szCs w:val="22"/>
        </w:rPr>
        <w:t>.</w:t>
      </w:r>
    </w:p>
    <w:p w:rsidR="002D30B8" w:rsidRPr="002D30B8" w:rsidP="002D30B8">
      <w:pPr>
        <w:pStyle w:val="ListParagraph"/>
        <w:spacing w:before="240" w:line="240" w:lineRule="auto"/>
        <w:ind w:left="1440"/>
        <w:rPr>
          <w:rFonts w:ascii="Times New Roman" w:hAnsi="Times New Roman" w:cs="Times New Roman"/>
          <w:sz w:val="22"/>
          <w:szCs w:val="22"/>
          <w:u w:val="single"/>
        </w:rPr>
      </w:pPr>
    </w:p>
    <w:p w:rsidR="00B96E60" w:rsidP="00B96E60">
      <w:pPr>
        <w:pStyle w:val="ListParagraph"/>
        <w:numPr>
          <w:ilvl w:val="2"/>
          <w:numId w:val="1"/>
        </w:numPr>
        <w:spacing w:before="240" w:line="240" w:lineRule="auto"/>
        <w:rPr>
          <w:rFonts w:ascii="Times New Roman" w:hAnsi="Times New Roman" w:cs="Times New Roman"/>
          <w:sz w:val="22"/>
          <w:szCs w:val="22"/>
        </w:rPr>
      </w:pPr>
      <w:r w:rsidRPr="00B96E60">
        <w:rPr>
          <w:rFonts w:ascii="Times New Roman" w:hAnsi="Times New Roman" w:cs="Times New Roman"/>
          <w:i/>
          <w:sz w:val="22"/>
          <w:szCs w:val="22"/>
          <w:u w:val="single"/>
        </w:rPr>
        <w:t>Misappropriation</w:t>
      </w:r>
      <w:r w:rsidRPr="00B96E60" w:rsidR="00AC0C24">
        <w:rPr>
          <w:rFonts w:ascii="Times New Roman" w:hAnsi="Times New Roman" w:cs="Times New Roman"/>
          <w:sz w:val="22"/>
          <w:szCs w:val="22"/>
        </w:rPr>
        <w:t xml:space="preserve">: </w:t>
      </w:r>
      <w:r w:rsidRPr="00B96E60">
        <w:rPr>
          <w:rFonts w:ascii="Times New Roman" w:hAnsi="Times New Roman" w:cs="Times New Roman"/>
          <w:sz w:val="22"/>
          <w:szCs w:val="22"/>
        </w:rPr>
        <w:t>18 U.S.C. §1839(5)(A) and (B)(</w:t>
      </w:r>
      <w:r w:rsidRPr="00B96E60">
        <w:rPr>
          <w:rFonts w:ascii="Times New Roman" w:hAnsi="Times New Roman" w:cs="Times New Roman"/>
          <w:sz w:val="22"/>
          <w:szCs w:val="22"/>
        </w:rPr>
        <w:t>i</w:t>
      </w:r>
      <w:r w:rsidRPr="00B96E60">
        <w:rPr>
          <w:rFonts w:ascii="Times New Roman" w:hAnsi="Times New Roman" w:cs="Times New Roman"/>
          <w:sz w:val="22"/>
          <w:szCs w:val="22"/>
        </w:rPr>
        <w:t>)</w:t>
      </w:r>
      <w:r w:rsidRPr="00B96E60">
        <w:rPr>
          <w:rFonts w:ascii="Times New Roman" w:hAnsi="Times New Roman" w:cs="Times New Roman"/>
          <w:sz w:val="22"/>
          <w:szCs w:val="22"/>
          <w:lang w:val="fr-FR"/>
        </w:rPr>
        <w:t xml:space="preserve">  (</w:t>
      </w:r>
      <w:r w:rsidRPr="00B96E60">
        <w:rPr>
          <w:rFonts w:ascii="Times New Roman" w:hAnsi="Times New Roman" w:cs="Times New Roman"/>
          <w:sz w:val="22"/>
          <w:szCs w:val="22"/>
          <w:lang w:val="fr-FR"/>
        </w:rPr>
        <w:t>definition</w:t>
      </w:r>
      <w:r w:rsidRPr="00B96E60">
        <w:rPr>
          <w:rFonts w:ascii="Times New Roman" w:hAnsi="Times New Roman" w:cs="Times New Roman"/>
          <w:sz w:val="22"/>
          <w:szCs w:val="22"/>
          <w:lang w:val="fr-FR"/>
        </w:rPr>
        <w:t xml:space="preserve">)  </w:t>
      </w:r>
      <w:r w:rsidRPr="00B96E60">
        <w:rPr>
          <w:rFonts w:ascii="Times New Roman" w:hAnsi="Times New Roman" w:cs="Times New Roman"/>
          <w:sz w:val="22"/>
          <w:szCs w:val="22"/>
        </w:rPr>
        <w:t xml:space="preserve">This is really where most litigation stems from and where the biggest hurdles arise.  </w:t>
      </w:r>
      <w:r w:rsidRPr="00B96E60">
        <w:rPr>
          <w:rFonts w:ascii="Times New Roman" w:hAnsi="Times New Roman" w:cs="Times New Roman"/>
          <w:sz w:val="22"/>
          <w:szCs w:val="22"/>
        </w:rPr>
        <w:t xml:space="preserve">Requires both:  acquisition of a trade </w:t>
      </w:r>
      <w:r w:rsidRPr="00B96E60">
        <w:rPr>
          <w:rFonts w:ascii="Times New Roman" w:hAnsi="Times New Roman" w:cs="Times New Roman"/>
          <w:sz w:val="22"/>
          <w:szCs w:val="22"/>
        </w:rPr>
        <w:t>secret  . . .</w:t>
      </w:r>
      <w:r w:rsidRPr="00B96E60">
        <w:rPr>
          <w:rFonts w:ascii="Times New Roman" w:hAnsi="Times New Roman" w:cs="Times New Roman"/>
          <w:sz w:val="22"/>
          <w:szCs w:val="22"/>
        </w:rPr>
        <w:t xml:space="preserve"> [when the actor] . . . knows or has reason to know that the trade secret was acquired by improper means AND disclosure or use of a trade secret . . . without consent by [an actor who] used improper means to acquire knowledge of the trade secret.  </w:t>
      </w:r>
    </w:p>
    <w:p w:rsidR="00731956" w:rsidRPr="00731956" w:rsidP="00731956">
      <w:pPr>
        <w:pStyle w:val="ListParagraph"/>
        <w:rPr>
          <w:rFonts w:ascii="Times New Roman" w:hAnsi="Times New Roman" w:cs="Times New Roman"/>
          <w:sz w:val="22"/>
          <w:szCs w:val="22"/>
        </w:rPr>
      </w:pPr>
    </w:p>
    <w:p w:rsidR="00731956" w:rsidP="00B96E60">
      <w:pPr>
        <w:pStyle w:val="ListParagraph"/>
        <w:numPr>
          <w:ilvl w:val="2"/>
          <w:numId w:val="1"/>
        </w:numPr>
        <w:spacing w:before="240" w:line="240" w:lineRule="auto"/>
        <w:rPr>
          <w:rFonts w:ascii="Times New Roman" w:hAnsi="Times New Roman" w:cs="Times New Roman"/>
          <w:sz w:val="22"/>
          <w:szCs w:val="22"/>
        </w:rPr>
      </w:pPr>
      <w:r>
        <w:rPr>
          <w:rFonts w:ascii="Times New Roman" w:hAnsi="Times New Roman" w:cs="Times New Roman"/>
          <w:i/>
          <w:sz w:val="22"/>
          <w:szCs w:val="22"/>
          <w:u w:val="single"/>
        </w:rPr>
        <w:t>Improper Means:</w:t>
      </w:r>
      <w:r>
        <w:rPr>
          <w:rFonts w:ascii="Times New Roman" w:hAnsi="Times New Roman" w:cs="Times New Roman"/>
          <w:sz w:val="22"/>
          <w:szCs w:val="22"/>
        </w:rPr>
        <w:t xml:space="preserve">  </w:t>
      </w:r>
      <w:r w:rsidRPr="00945D37" w:rsidR="00945D37">
        <w:rPr>
          <w:rFonts w:ascii="Times New Roman" w:hAnsi="Times New Roman" w:cs="Times New Roman"/>
          <w:sz w:val="22"/>
          <w:szCs w:val="22"/>
        </w:rPr>
        <w:t>Includes theft, bribery, misrepresentation, breach or inducement of a breach of a duty to maintain secrecy, or espionage through electronic or other means; and</w:t>
      </w:r>
      <w:r w:rsidR="00945D37">
        <w:rPr>
          <w:rFonts w:ascii="Times New Roman" w:hAnsi="Times New Roman" w:cs="Times New Roman"/>
          <w:sz w:val="22"/>
          <w:szCs w:val="22"/>
        </w:rPr>
        <w:t xml:space="preserve"> d</w:t>
      </w:r>
      <w:r w:rsidRPr="00945D37" w:rsidR="00945D37">
        <w:rPr>
          <w:rFonts w:ascii="Times New Roman" w:hAnsi="Times New Roman" w:cs="Times New Roman"/>
          <w:sz w:val="22"/>
          <w:szCs w:val="22"/>
        </w:rPr>
        <w:t>oes not include reverse engineering or independent derivation.</w:t>
      </w:r>
    </w:p>
    <w:p w:rsidR="00CB47E9" w:rsidRPr="00CB47E9" w:rsidP="00CB47E9">
      <w:pPr>
        <w:pStyle w:val="ListParagraph"/>
        <w:rPr>
          <w:rFonts w:ascii="Times New Roman" w:hAnsi="Times New Roman" w:cs="Times New Roman"/>
          <w:sz w:val="22"/>
          <w:szCs w:val="22"/>
        </w:rPr>
      </w:pPr>
    </w:p>
    <w:p w:rsidR="00CB47E9" w:rsidP="00B96E60">
      <w:pPr>
        <w:pStyle w:val="ListParagraph"/>
        <w:numPr>
          <w:ilvl w:val="2"/>
          <w:numId w:val="1"/>
        </w:numPr>
        <w:spacing w:before="240" w:line="240" w:lineRule="auto"/>
        <w:rPr>
          <w:rFonts w:ascii="Times New Roman" w:hAnsi="Times New Roman" w:cs="Times New Roman"/>
          <w:sz w:val="22"/>
          <w:szCs w:val="22"/>
        </w:rPr>
      </w:pPr>
      <w:r>
        <w:rPr>
          <w:rFonts w:ascii="Times New Roman" w:hAnsi="Times New Roman" w:cs="Times New Roman"/>
          <w:sz w:val="22"/>
          <w:szCs w:val="22"/>
        </w:rPr>
        <w:t>Most cases focus on the “readily ascertainable” factor and whether something is really a trade secret</w:t>
      </w:r>
      <w:r w:rsidR="00A14EBA">
        <w:rPr>
          <w:rFonts w:ascii="Times New Roman" w:hAnsi="Times New Roman" w:cs="Times New Roman"/>
          <w:sz w:val="22"/>
          <w:szCs w:val="22"/>
        </w:rPr>
        <w:t>; the next bucket is whether there is independent economic value-which is very difficult to prove</w:t>
      </w:r>
      <w:r w:rsidR="00CD1AC9">
        <w:rPr>
          <w:rFonts w:ascii="Times New Roman" w:hAnsi="Times New Roman" w:cs="Times New Roman"/>
          <w:sz w:val="22"/>
          <w:szCs w:val="22"/>
        </w:rPr>
        <w:t xml:space="preserve"> and requires (often expensive) expert testimony</w:t>
      </w:r>
    </w:p>
    <w:p w:rsidR="00B96E60" w:rsidRPr="00B96E60" w:rsidP="00B96E60">
      <w:pPr>
        <w:pStyle w:val="ListParagraph"/>
        <w:rPr>
          <w:rFonts w:ascii="Times New Roman" w:hAnsi="Times New Roman" w:cs="Times New Roman"/>
          <w:sz w:val="22"/>
          <w:szCs w:val="22"/>
        </w:rPr>
      </w:pPr>
    </w:p>
    <w:p w:rsidR="006462CB" w:rsidP="00502328">
      <w:pPr>
        <w:pStyle w:val="ListParagraph"/>
        <w:numPr>
          <w:ilvl w:val="2"/>
          <w:numId w:val="1"/>
        </w:numPr>
        <w:spacing w:before="240" w:line="240" w:lineRule="auto"/>
        <w:ind w:left="360"/>
        <w:rPr>
          <w:rFonts w:ascii="Times New Roman" w:hAnsi="Times New Roman" w:cs="Times New Roman"/>
          <w:sz w:val="22"/>
          <w:szCs w:val="22"/>
        </w:rPr>
      </w:pPr>
      <w:r w:rsidRPr="003F113F">
        <w:rPr>
          <w:rFonts w:ascii="Times New Roman" w:hAnsi="Times New Roman" w:cs="Times New Roman"/>
          <w:i/>
          <w:sz w:val="22"/>
          <w:szCs w:val="22"/>
          <w:u w:val="single"/>
        </w:rPr>
        <w:t>Cases to date on bad faith</w:t>
      </w:r>
      <w:r w:rsidRPr="003F113F">
        <w:rPr>
          <w:rFonts w:ascii="Times New Roman" w:hAnsi="Times New Roman" w:cs="Times New Roman"/>
          <w:sz w:val="22"/>
          <w:szCs w:val="22"/>
        </w:rPr>
        <w:t xml:space="preserve">:  to date, not many Courts have faced DTSA and bad faith </w:t>
      </w:r>
      <w:r w:rsidRPr="003F113F">
        <w:rPr>
          <w:rFonts w:ascii="Times New Roman" w:hAnsi="Times New Roman" w:cs="Times New Roman"/>
          <w:sz w:val="22"/>
          <w:szCs w:val="22"/>
        </w:rPr>
        <w:t>awards</w:t>
      </w:r>
      <w:r w:rsidRPr="003F113F">
        <w:rPr>
          <w:rFonts w:ascii="Times New Roman" w:hAnsi="Times New Roman" w:cs="Times New Roman"/>
          <w:sz w:val="22"/>
          <w:szCs w:val="22"/>
        </w:rPr>
        <w:t xml:space="preserve"> but a survey shows that it is very difficult to get </w:t>
      </w:r>
      <w:r w:rsidRPr="003F113F" w:rsidR="003F113F">
        <w:rPr>
          <w:rFonts w:ascii="Times New Roman" w:hAnsi="Times New Roman" w:cs="Times New Roman"/>
          <w:sz w:val="22"/>
          <w:szCs w:val="22"/>
        </w:rPr>
        <w:t>fees so keep this in mind when weighing litigation decisions—we will address a couple of case studies in the awarding of fees</w:t>
      </w:r>
    </w:p>
    <w:p w:rsidR="00012B6C" w:rsidRPr="00012B6C" w:rsidP="00012B6C">
      <w:pPr>
        <w:pStyle w:val="ListParagraph"/>
        <w:rPr>
          <w:rFonts w:ascii="Times New Roman" w:hAnsi="Times New Roman" w:cs="Times New Roman"/>
          <w:sz w:val="22"/>
          <w:szCs w:val="22"/>
        </w:rPr>
      </w:pPr>
    </w:p>
    <w:p w:rsidR="00012B6C" w:rsidRPr="003F113F" w:rsidP="00012B6C">
      <w:pPr>
        <w:pStyle w:val="ListParagraph"/>
        <w:spacing w:before="240" w:line="240" w:lineRule="auto"/>
        <w:ind w:left="360"/>
        <w:rPr>
          <w:rFonts w:ascii="Times New Roman" w:hAnsi="Times New Roman" w:cs="Times New Roman"/>
          <w:sz w:val="22"/>
          <w:szCs w:val="22"/>
        </w:rPr>
      </w:pPr>
      <w:bookmarkStart w:id="0" w:name="_GoBack"/>
      <w:bookmarkEnd w:id="0"/>
    </w:p>
    <w:p w:rsidR="00DE0B88" w:rsidP="00BF27A0">
      <w:pPr>
        <w:pStyle w:val="ListParagraph"/>
        <w:numPr>
          <w:ilvl w:val="0"/>
          <w:numId w:val="1"/>
        </w:numPr>
        <w:spacing w:before="240" w:line="240" w:lineRule="auto"/>
        <w:rPr>
          <w:rFonts w:ascii="Times New Roman" w:hAnsi="Times New Roman" w:cs="Times New Roman"/>
          <w:b/>
          <w:sz w:val="22"/>
          <w:szCs w:val="22"/>
          <w:u w:val="single"/>
        </w:rPr>
      </w:pPr>
      <w:r w:rsidRPr="00BF27A0">
        <w:rPr>
          <w:rFonts w:ascii="Times New Roman" w:hAnsi="Times New Roman" w:cs="Times New Roman"/>
          <w:b/>
          <w:sz w:val="22"/>
          <w:szCs w:val="22"/>
          <w:u w:val="single"/>
        </w:rPr>
        <w:t>POST GRANT PATENT CHALLENGES: ALTERNATIVE</w:t>
      </w:r>
      <w:r w:rsidRPr="00BF27A0" w:rsidR="003875A0">
        <w:rPr>
          <w:rFonts w:ascii="Times New Roman" w:hAnsi="Times New Roman" w:cs="Times New Roman"/>
          <w:b/>
          <w:sz w:val="22"/>
          <w:szCs w:val="22"/>
          <w:u w:val="single"/>
        </w:rPr>
        <w:t>S</w:t>
      </w:r>
      <w:r w:rsidRPr="00BF27A0">
        <w:rPr>
          <w:rFonts w:ascii="Times New Roman" w:hAnsi="Times New Roman" w:cs="Times New Roman"/>
          <w:b/>
          <w:sz w:val="22"/>
          <w:szCs w:val="22"/>
          <w:u w:val="single"/>
        </w:rPr>
        <w:t xml:space="preserve"> TO LITIGATION</w:t>
      </w:r>
    </w:p>
    <w:p w:rsidR="00B55FB7" w:rsidRPr="00BF27A0" w:rsidP="00B55FB7">
      <w:pPr>
        <w:pStyle w:val="ListParagraph"/>
        <w:spacing w:before="240" w:line="240" w:lineRule="auto"/>
        <w:ind w:left="360"/>
        <w:rPr>
          <w:rFonts w:ascii="Times New Roman" w:hAnsi="Times New Roman" w:cs="Times New Roman"/>
          <w:b/>
          <w:sz w:val="22"/>
          <w:szCs w:val="22"/>
          <w:u w:val="single"/>
        </w:rPr>
      </w:pPr>
    </w:p>
    <w:p w:rsidR="00A7497F" w:rsidP="00BF27A0">
      <w:pPr>
        <w:pStyle w:val="ListParagraph"/>
        <w:numPr>
          <w:ilvl w:val="1"/>
          <w:numId w:val="1"/>
        </w:numPr>
        <w:spacing w:before="240" w:line="240" w:lineRule="auto"/>
        <w:rPr>
          <w:rFonts w:ascii="Times New Roman" w:hAnsi="Times New Roman" w:cs="Times New Roman"/>
          <w:sz w:val="22"/>
          <w:szCs w:val="22"/>
        </w:rPr>
      </w:pPr>
      <w:r w:rsidRPr="00BF27A0">
        <w:rPr>
          <w:rFonts w:ascii="Times New Roman" w:hAnsi="Times New Roman" w:cs="Times New Roman"/>
          <w:sz w:val="22"/>
          <w:szCs w:val="22"/>
          <w:u w:val="single"/>
        </w:rPr>
        <w:t>Post-Grant Review (PGR)</w:t>
      </w:r>
      <w:r w:rsidRPr="00BF27A0" w:rsidR="003875A0">
        <w:rPr>
          <w:rFonts w:ascii="Times New Roman" w:hAnsi="Times New Roman" w:cs="Times New Roman"/>
          <w:sz w:val="22"/>
          <w:szCs w:val="22"/>
        </w:rPr>
        <w:t xml:space="preserve">: </w:t>
      </w:r>
      <w:r w:rsidRPr="00BF27A0" w:rsidR="00457159">
        <w:rPr>
          <w:rFonts w:ascii="Times New Roman" w:hAnsi="Times New Roman" w:cs="Times New Roman"/>
          <w:sz w:val="22"/>
          <w:szCs w:val="22"/>
        </w:rPr>
        <w:t>PGRs are a trial</w:t>
      </w:r>
      <w:r w:rsidRPr="00BF27A0" w:rsidR="00407206">
        <w:rPr>
          <w:rFonts w:ascii="Times New Roman" w:hAnsi="Times New Roman" w:cs="Times New Roman"/>
          <w:sz w:val="22"/>
          <w:szCs w:val="22"/>
        </w:rPr>
        <w:t>-like</w:t>
      </w:r>
      <w:r w:rsidRPr="00BF27A0" w:rsidR="00457159">
        <w:rPr>
          <w:rFonts w:ascii="Times New Roman" w:hAnsi="Times New Roman" w:cs="Times New Roman"/>
          <w:sz w:val="22"/>
          <w:szCs w:val="22"/>
        </w:rPr>
        <w:t xml:space="preserve"> proceeding conducted at the Patent Trial and Appeal Board (PTAB) to review the patentability of one or more claims in a patent.</w:t>
      </w:r>
      <w:r w:rsidRPr="00BF27A0" w:rsidR="00987466">
        <w:rPr>
          <w:rFonts w:ascii="Times New Roman" w:hAnsi="Times New Roman" w:cs="Times New Roman"/>
          <w:sz w:val="22"/>
          <w:szCs w:val="22"/>
        </w:rPr>
        <w:t xml:space="preserve">  35 U.S.C. Ch. 32.</w:t>
      </w:r>
      <w:r w:rsidRPr="00BF27A0" w:rsidR="0038369E">
        <w:rPr>
          <w:rFonts w:ascii="Times New Roman" w:hAnsi="Times New Roman" w:cs="Times New Roman"/>
          <w:sz w:val="22"/>
          <w:szCs w:val="22"/>
        </w:rPr>
        <w:t xml:space="preserve">  Although discovery is limited, there is an oral hearing.</w:t>
      </w:r>
    </w:p>
    <w:p w:rsidR="00B55FB7" w:rsidRPr="00BF27A0" w:rsidP="00B55FB7">
      <w:pPr>
        <w:pStyle w:val="ListParagraph"/>
        <w:spacing w:before="240" w:line="240" w:lineRule="auto"/>
        <w:rPr>
          <w:rFonts w:ascii="Times New Roman" w:hAnsi="Times New Roman" w:cs="Times New Roman"/>
          <w:sz w:val="22"/>
          <w:szCs w:val="22"/>
        </w:rPr>
      </w:pPr>
    </w:p>
    <w:p w:rsidR="003875A0" w:rsidRPr="00B55FB7" w:rsidP="00BF27A0">
      <w:pPr>
        <w:pStyle w:val="ListParagraph"/>
        <w:numPr>
          <w:ilvl w:val="2"/>
          <w:numId w:val="1"/>
        </w:numPr>
        <w:spacing w:before="240" w:line="240" w:lineRule="auto"/>
        <w:rPr>
          <w:rFonts w:ascii="Times New Roman" w:hAnsi="Times New Roman" w:cs="Times New Roman"/>
          <w:sz w:val="22"/>
          <w:szCs w:val="22"/>
          <w:u w:val="single"/>
        </w:rPr>
      </w:pPr>
      <w:r w:rsidRPr="00BF27A0">
        <w:rPr>
          <w:rFonts w:ascii="Times New Roman" w:hAnsi="Times New Roman" w:cs="Times New Roman"/>
          <w:i/>
          <w:sz w:val="22"/>
          <w:szCs w:val="22"/>
          <w:u w:val="single"/>
        </w:rPr>
        <w:t>Petitioner</w:t>
      </w:r>
      <w:r w:rsidRPr="00BF27A0" w:rsidR="009D59C7">
        <w:rPr>
          <w:rFonts w:ascii="Times New Roman" w:hAnsi="Times New Roman" w:cs="Times New Roman"/>
          <w:sz w:val="22"/>
          <w:szCs w:val="22"/>
        </w:rPr>
        <w:t xml:space="preserve">: The Petitioner </w:t>
      </w:r>
      <w:r w:rsidRPr="00BF27A0" w:rsidR="009D59C7">
        <w:rPr>
          <w:rFonts w:ascii="Times New Roman" w:hAnsi="Times New Roman" w:cs="Times New Roman"/>
          <w:sz w:val="22"/>
          <w:szCs w:val="22"/>
        </w:rPr>
        <w:t>is someone who is</w:t>
      </w:r>
      <w:r w:rsidRPr="00BF27A0" w:rsidR="009D59C7">
        <w:rPr>
          <w:rFonts w:ascii="Times New Roman" w:hAnsi="Times New Roman" w:cs="Times New Roman"/>
          <w:sz w:val="22"/>
          <w:szCs w:val="22"/>
        </w:rPr>
        <w:t xml:space="preserve"> not the patent owner and has not previously filed a civil action challenging the validity of a claim of the patent.  All </w:t>
      </w:r>
      <w:r w:rsidRPr="00BF27A0" w:rsidR="00407206">
        <w:rPr>
          <w:rFonts w:ascii="Times New Roman" w:hAnsi="Times New Roman" w:cs="Times New Roman"/>
          <w:sz w:val="22"/>
          <w:szCs w:val="22"/>
        </w:rPr>
        <w:t xml:space="preserve">real </w:t>
      </w:r>
      <w:r w:rsidRPr="00BF27A0" w:rsidR="009D59C7">
        <w:rPr>
          <w:rFonts w:ascii="Times New Roman" w:hAnsi="Times New Roman" w:cs="Times New Roman"/>
          <w:sz w:val="22"/>
          <w:szCs w:val="22"/>
        </w:rPr>
        <w:t>parties in interest must be identified</w:t>
      </w:r>
      <w:r w:rsidRPr="00BF27A0" w:rsidR="00407206">
        <w:rPr>
          <w:rFonts w:ascii="Times New Roman" w:hAnsi="Times New Roman" w:cs="Times New Roman"/>
          <w:sz w:val="22"/>
          <w:szCs w:val="22"/>
        </w:rPr>
        <w:t xml:space="preserve"> in the petition</w:t>
      </w:r>
      <w:r w:rsidRPr="00BF27A0" w:rsidR="009D59C7">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u w:val="single"/>
        </w:rPr>
      </w:pPr>
    </w:p>
    <w:p w:rsidR="003875A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Estoppel</w:t>
      </w:r>
      <w:r w:rsidRPr="00BF27A0" w:rsidR="00DF4EBC">
        <w:rPr>
          <w:rFonts w:ascii="Times New Roman" w:hAnsi="Times New Roman" w:cs="Times New Roman"/>
          <w:sz w:val="22"/>
          <w:szCs w:val="22"/>
        </w:rPr>
        <w:t xml:space="preserve">: Estoppel can be applied to any issue previously raised or that reasonably could have been raised in proceedings before the USPTO, federal district courts or the </w:t>
      </w:r>
      <w:r w:rsidRPr="00BF27A0" w:rsidR="00F61AC7">
        <w:rPr>
          <w:rFonts w:ascii="Times New Roman" w:hAnsi="Times New Roman" w:cs="Times New Roman"/>
          <w:sz w:val="22"/>
          <w:szCs w:val="22"/>
        </w:rPr>
        <w:t>ITC</w:t>
      </w:r>
      <w:r w:rsidRPr="00BF27A0" w:rsidR="00DF4EBC">
        <w:rPr>
          <w:rFonts w:ascii="Times New Roman" w:hAnsi="Times New Roman" w:cs="Times New Roman"/>
          <w:sz w:val="22"/>
          <w:szCs w:val="22"/>
        </w:rPr>
        <w:t xml:space="preserve">. </w:t>
      </w:r>
      <w:r w:rsidRPr="00BF27A0" w:rsidR="00F61AC7">
        <w:rPr>
          <w:rFonts w:ascii="Times New Roman" w:hAnsi="Times New Roman" w:cs="Times New Roman"/>
          <w:sz w:val="22"/>
          <w:szCs w:val="22"/>
        </w:rPr>
        <w:t xml:space="preserve"> </w:t>
      </w:r>
      <w:r w:rsidRPr="00BF27A0" w:rsidR="00DF4EBC">
        <w:rPr>
          <w:rFonts w:ascii="Times New Roman" w:hAnsi="Times New Roman" w:cs="Times New Roman"/>
          <w:sz w:val="22"/>
          <w:szCs w:val="22"/>
        </w:rPr>
        <w:t xml:space="preserve">Estoppel can be a significant barrier to success using PGR because of its broad and potentially severe limitations.  </w:t>
      </w:r>
    </w:p>
    <w:p w:rsidR="00B55FB7" w:rsidRPr="00BF27A0" w:rsidP="00B55FB7">
      <w:pPr>
        <w:pStyle w:val="ListParagraph"/>
        <w:spacing w:before="240" w:line="240" w:lineRule="auto"/>
        <w:ind w:left="1080"/>
        <w:rPr>
          <w:rFonts w:ascii="Times New Roman" w:hAnsi="Times New Roman" w:cs="Times New Roman"/>
          <w:sz w:val="22"/>
          <w:szCs w:val="22"/>
        </w:rPr>
      </w:pPr>
    </w:p>
    <w:p w:rsidR="003875A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Standard</w:t>
      </w:r>
      <w:r w:rsidRPr="00BF27A0" w:rsidR="009D59C7">
        <w:rPr>
          <w:rFonts w:ascii="Times New Roman" w:hAnsi="Times New Roman" w:cs="Times New Roman"/>
          <w:sz w:val="22"/>
          <w:szCs w:val="22"/>
        </w:rPr>
        <w:t xml:space="preserve">:  </w:t>
      </w:r>
      <w:r w:rsidRPr="00BF27A0" w:rsidR="00457159">
        <w:rPr>
          <w:rFonts w:ascii="Times New Roman" w:hAnsi="Times New Roman" w:cs="Times New Roman"/>
          <w:sz w:val="22"/>
          <w:szCs w:val="22"/>
        </w:rPr>
        <w:t xml:space="preserve">A </w:t>
      </w:r>
      <w:r w:rsidRPr="00BF27A0" w:rsidR="00987466">
        <w:rPr>
          <w:rFonts w:ascii="Times New Roman" w:hAnsi="Times New Roman" w:cs="Times New Roman"/>
          <w:sz w:val="22"/>
          <w:szCs w:val="22"/>
        </w:rPr>
        <w:t>PGR</w:t>
      </w:r>
      <w:r w:rsidRPr="00BF27A0" w:rsidR="00457159">
        <w:rPr>
          <w:rFonts w:ascii="Times New Roman" w:hAnsi="Times New Roman" w:cs="Times New Roman"/>
          <w:sz w:val="22"/>
          <w:szCs w:val="22"/>
        </w:rPr>
        <w:t xml:space="preserve"> may be instituted upon a showing that, it is more likely than not that at least one claim challenged is unpatentable.</w:t>
      </w:r>
    </w:p>
    <w:p w:rsidR="00B55FB7" w:rsidRPr="00BF27A0" w:rsidP="00B55FB7">
      <w:pPr>
        <w:pStyle w:val="ListParagraph"/>
        <w:spacing w:before="240" w:line="240" w:lineRule="auto"/>
        <w:ind w:left="1080"/>
        <w:rPr>
          <w:rFonts w:ascii="Times New Roman" w:hAnsi="Times New Roman" w:cs="Times New Roman"/>
          <w:sz w:val="22"/>
          <w:szCs w:val="22"/>
        </w:rPr>
      </w:pPr>
    </w:p>
    <w:p w:rsidR="005752D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Basis</w:t>
      </w:r>
      <w:r w:rsidRPr="00BF27A0">
        <w:rPr>
          <w:rFonts w:ascii="Times New Roman" w:hAnsi="Times New Roman" w:cs="Times New Roman"/>
          <w:sz w:val="22"/>
          <w:szCs w:val="22"/>
        </w:rPr>
        <w:t>:</w:t>
      </w:r>
      <w:r w:rsidRPr="00BF27A0">
        <w:rPr>
          <w:rFonts w:ascii="Times New Roman" w:hAnsi="Times New Roman" w:cs="Times New Roman"/>
          <w:sz w:val="22"/>
          <w:szCs w:val="22"/>
        </w:rPr>
        <w:t xml:space="preserve"> </w:t>
      </w:r>
      <w:r w:rsidRPr="00BF27A0" w:rsidR="00407206">
        <w:rPr>
          <w:rFonts w:ascii="Times New Roman" w:hAnsi="Times New Roman" w:cs="Times New Roman"/>
          <w:sz w:val="22"/>
          <w:szCs w:val="22"/>
        </w:rPr>
        <w:t xml:space="preserve">A </w:t>
      </w:r>
      <w:r w:rsidRPr="00BF27A0" w:rsidR="00DF4EBC">
        <w:rPr>
          <w:rFonts w:ascii="Times New Roman" w:hAnsi="Times New Roman" w:cs="Times New Roman"/>
          <w:sz w:val="22"/>
          <w:szCs w:val="22"/>
        </w:rPr>
        <w:t xml:space="preserve">PGR can be sought based on any grounds that can be used to challenge the validity of a patent claim.  Such grounds include anticipation (35 U.S.C. </w:t>
      </w:r>
      <w:r w:rsidRPr="00BF27A0" w:rsidR="00407206">
        <w:rPr>
          <w:rFonts w:ascii="Times New Roman" w:hAnsi="Times New Roman" w:cs="Times New Roman"/>
          <w:sz w:val="22"/>
          <w:szCs w:val="22"/>
        </w:rPr>
        <w:t xml:space="preserve">§ </w:t>
      </w:r>
      <w:r w:rsidRPr="00BF27A0" w:rsidR="00DF4EBC">
        <w:rPr>
          <w:rFonts w:ascii="Times New Roman" w:hAnsi="Times New Roman" w:cs="Times New Roman"/>
          <w:sz w:val="22"/>
          <w:szCs w:val="22"/>
        </w:rPr>
        <w:t xml:space="preserve">102), obviousness (35 U.S.C. </w:t>
      </w:r>
      <w:r w:rsidRPr="00BF27A0" w:rsidR="00407206">
        <w:rPr>
          <w:rFonts w:ascii="Times New Roman" w:hAnsi="Times New Roman" w:cs="Times New Roman"/>
          <w:sz w:val="22"/>
          <w:szCs w:val="22"/>
        </w:rPr>
        <w:t xml:space="preserve">§ </w:t>
      </w:r>
      <w:r w:rsidRPr="00BF27A0" w:rsidR="00DF4EBC">
        <w:rPr>
          <w:rFonts w:ascii="Times New Roman" w:hAnsi="Times New Roman" w:cs="Times New Roman"/>
          <w:sz w:val="22"/>
          <w:szCs w:val="22"/>
        </w:rPr>
        <w:t xml:space="preserve">103), patent eligibility (35 U.S.C. </w:t>
      </w:r>
      <w:r w:rsidRPr="00BF27A0" w:rsidR="00407206">
        <w:rPr>
          <w:rFonts w:ascii="Times New Roman" w:hAnsi="Times New Roman" w:cs="Times New Roman"/>
          <w:sz w:val="22"/>
          <w:szCs w:val="22"/>
        </w:rPr>
        <w:t xml:space="preserve">§ </w:t>
      </w:r>
      <w:r w:rsidRPr="00BF27A0" w:rsidR="00DF4EBC">
        <w:rPr>
          <w:rFonts w:ascii="Times New Roman" w:hAnsi="Times New Roman" w:cs="Times New Roman"/>
          <w:sz w:val="22"/>
          <w:szCs w:val="22"/>
        </w:rPr>
        <w:t>101) and lack of compliance with written description, enablement or indefiniteness (</w:t>
      </w:r>
      <w:r w:rsidRPr="00BF27A0" w:rsidR="00DF4EBC">
        <w:rPr>
          <w:rFonts w:ascii="Times New Roman" w:hAnsi="Times New Roman" w:cs="Times New Roman"/>
          <w:sz w:val="22"/>
          <w:szCs w:val="22"/>
        </w:rPr>
        <w:t>with the exception of</w:t>
      </w:r>
      <w:r w:rsidRPr="00BF27A0" w:rsidR="00DF4EBC">
        <w:rPr>
          <w:rFonts w:ascii="Times New Roman" w:hAnsi="Times New Roman" w:cs="Times New Roman"/>
          <w:sz w:val="22"/>
          <w:szCs w:val="22"/>
        </w:rPr>
        <w:t xml:space="preserve"> best mode) (35 U.S.C. </w:t>
      </w:r>
      <w:r w:rsidRPr="00BF27A0" w:rsidR="00407206">
        <w:rPr>
          <w:rFonts w:ascii="Times New Roman" w:hAnsi="Times New Roman" w:cs="Times New Roman"/>
          <w:sz w:val="22"/>
          <w:szCs w:val="22"/>
        </w:rPr>
        <w:t xml:space="preserve">§ </w:t>
      </w:r>
      <w:r w:rsidRPr="00BF27A0" w:rsidR="00DF4EBC">
        <w:rPr>
          <w:rFonts w:ascii="Times New Roman" w:hAnsi="Times New Roman" w:cs="Times New Roman"/>
          <w:sz w:val="22"/>
          <w:szCs w:val="22"/>
        </w:rPr>
        <w:t xml:space="preserve">112).  In addition, PGR prior art is not limited to patents and printed publications like </w:t>
      </w:r>
      <w:r w:rsidRPr="00BF27A0" w:rsidR="00407206">
        <w:rPr>
          <w:rFonts w:ascii="Times New Roman" w:hAnsi="Times New Roman" w:cs="Times New Roman"/>
          <w:i/>
          <w:sz w:val="22"/>
          <w:szCs w:val="22"/>
        </w:rPr>
        <w:t xml:space="preserve">inter </w:t>
      </w:r>
      <w:r w:rsidRPr="00BF27A0" w:rsidR="00407206">
        <w:rPr>
          <w:rFonts w:ascii="Times New Roman" w:hAnsi="Times New Roman" w:cs="Times New Roman"/>
          <w:i/>
          <w:sz w:val="22"/>
          <w:szCs w:val="22"/>
        </w:rPr>
        <w:t>partes</w:t>
      </w:r>
      <w:r w:rsidRPr="00BF27A0" w:rsidR="00407206">
        <w:rPr>
          <w:rFonts w:ascii="Times New Roman" w:hAnsi="Times New Roman" w:cs="Times New Roman"/>
          <w:sz w:val="22"/>
          <w:szCs w:val="22"/>
        </w:rPr>
        <w:t xml:space="preserve"> reviews (</w:t>
      </w:r>
      <w:r w:rsidRPr="00BF27A0" w:rsidR="00DF4EBC">
        <w:rPr>
          <w:rFonts w:ascii="Times New Roman" w:hAnsi="Times New Roman" w:cs="Times New Roman"/>
          <w:sz w:val="22"/>
          <w:szCs w:val="22"/>
        </w:rPr>
        <w:t>IPRs</w:t>
      </w:r>
      <w:r w:rsidRPr="00BF27A0" w:rsidR="00407206">
        <w:rPr>
          <w:rFonts w:ascii="Times New Roman" w:hAnsi="Times New Roman" w:cs="Times New Roman"/>
          <w:sz w:val="22"/>
          <w:szCs w:val="22"/>
        </w:rPr>
        <w:t>), discussed below</w:t>
      </w:r>
      <w:r w:rsidRPr="00BF27A0" w:rsidR="00DF4EBC">
        <w:rPr>
          <w:rFonts w:ascii="Times New Roman" w:hAnsi="Times New Roman" w:cs="Times New Roman"/>
          <w:sz w:val="22"/>
          <w:szCs w:val="22"/>
        </w:rPr>
        <w:t xml:space="preserve">.  </w:t>
      </w:r>
      <w:r w:rsidRPr="00BF27A0" w:rsidR="00407206">
        <w:rPr>
          <w:rFonts w:ascii="Times New Roman" w:hAnsi="Times New Roman" w:cs="Times New Roman"/>
          <w:sz w:val="22"/>
          <w:szCs w:val="22"/>
        </w:rPr>
        <w:t xml:space="preserve">A </w:t>
      </w:r>
      <w:r w:rsidRPr="00BF27A0" w:rsidR="00DF4EBC">
        <w:rPr>
          <w:rFonts w:ascii="Times New Roman" w:hAnsi="Times New Roman" w:cs="Times New Roman"/>
          <w:sz w:val="22"/>
          <w:szCs w:val="22"/>
        </w:rPr>
        <w:t>PGR can be sought by alleging unpatentability based on evidence of public use, on-sale activity or other public disclosures</w:t>
      </w:r>
      <w:r w:rsidRPr="00BF27A0" w:rsidR="00D44CE6">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5752D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Applicability</w:t>
      </w:r>
      <w:r w:rsidRPr="00BF27A0">
        <w:rPr>
          <w:rFonts w:ascii="Times New Roman" w:hAnsi="Times New Roman" w:cs="Times New Roman"/>
          <w:sz w:val="22"/>
          <w:szCs w:val="22"/>
        </w:rPr>
        <w:t xml:space="preserve">: </w:t>
      </w:r>
      <w:r w:rsidRPr="00BF27A0" w:rsidR="006C5314">
        <w:rPr>
          <w:rFonts w:ascii="Times New Roman" w:hAnsi="Times New Roman" w:cs="Times New Roman"/>
          <w:sz w:val="22"/>
          <w:szCs w:val="22"/>
        </w:rPr>
        <w:t>PGRs appl</w:t>
      </w:r>
      <w:r w:rsidRPr="00BF27A0" w:rsidR="00407206">
        <w:rPr>
          <w:rFonts w:ascii="Times New Roman" w:hAnsi="Times New Roman" w:cs="Times New Roman"/>
          <w:sz w:val="22"/>
          <w:szCs w:val="22"/>
        </w:rPr>
        <w:t>y</w:t>
      </w:r>
      <w:r w:rsidRPr="00BF27A0" w:rsidR="006C5314">
        <w:rPr>
          <w:rFonts w:ascii="Times New Roman" w:hAnsi="Times New Roman" w:cs="Times New Roman"/>
          <w:sz w:val="22"/>
          <w:szCs w:val="22"/>
        </w:rPr>
        <w:t xml:space="preserve"> to patents issuing from applications subject to first-inventor-to-file provisions of the America Invents Act</w:t>
      </w:r>
      <w:r w:rsidRPr="00BF27A0" w:rsidR="00987466">
        <w:rPr>
          <w:rFonts w:ascii="Times New Roman" w:hAnsi="Times New Roman" w:cs="Times New Roman"/>
          <w:sz w:val="22"/>
          <w:szCs w:val="22"/>
        </w:rPr>
        <w:t xml:space="preserve"> (AIA)</w:t>
      </w:r>
      <w:r w:rsidRPr="00BF27A0" w:rsidR="00407206">
        <w:rPr>
          <w:rFonts w:ascii="Times New Roman" w:hAnsi="Times New Roman" w:cs="Times New Roman"/>
          <w:sz w:val="22"/>
          <w:szCs w:val="22"/>
        </w:rPr>
        <w:t>, i.e., applications with an effective filing date on or after March 16, 2013</w:t>
      </w:r>
      <w:r w:rsidRPr="00BF27A0">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5752D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Timing</w:t>
      </w:r>
      <w:r w:rsidRPr="00BF27A0">
        <w:rPr>
          <w:rFonts w:ascii="Times New Roman" w:hAnsi="Times New Roman" w:cs="Times New Roman"/>
          <w:sz w:val="22"/>
          <w:szCs w:val="22"/>
        </w:rPr>
        <w:t xml:space="preserve">: </w:t>
      </w:r>
      <w:r w:rsidRPr="00BF27A0" w:rsidR="00551CC0">
        <w:rPr>
          <w:rFonts w:ascii="Times New Roman" w:hAnsi="Times New Roman" w:cs="Times New Roman"/>
          <w:sz w:val="22"/>
          <w:szCs w:val="22"/>
        </w:rPr>
        <w:t>PGRs begin with a third party filing a petition on or prior to the date that is 9 months after the grant of the patent or issuance of a reissue patent.  A PGR m</w:t>
      </w:r>
      <w:r w:rsidRPr="00BF27A0">
        <w:rPr>
          <w:rFonts w:ascii="Times New Roman" w:hAnsi="Times New Roman" w:cs="Times New Roman"/>
          <w:sz w:val="22"/>
          <w:szCs w:val="22"/>
        </w:rPr>
        <w:t>ust be completed within 12 months from institution, with 6 months good cause exception possible</w:t>
      </w:r>
      <w:r w:rsidRPr="00BF27A0" w:rsidR="00407206">
        <w:rPr>
          <w:rFonts w:ascii="Times New Roman" w:hAnsi="Times New Roman" w:cs="Times New Roman"/>
          <w:sz w:val="22"/>
          <w:szCs w:val="22"/>
        </w:rPr>
        <w:t xml:space="preserve"> if the PTAB deems it necessary</w:t>
      </w:r>
      <w:r w:rsidRPr="00BF27A0">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F26F3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Settlements</w:t>
      </w:r>
      <w:r w:rsidRPr="00BF27A0">
        <w:rPr>
          <w:rFonts w:ascii="Times New Roman" w:hAnsi="Times New Roman" w:cs="Times New Roman"/>
          <w:sz w:val="22"/>
          <w:szCs w:val="22"/>
        </w:rPr>
        <w:t>: Settlements are possible.</w:t>
      </w:r>
      <w:r w:rsidRPr="00BF27A0" w:rsidR="00582FE4">
        <w:rPr>
          <w:rFonts w:ascii="Times New Roman" w:hAnsi="Times New Roman" w:cs="Times New Roman"/>
          <w:sz w:val="22"/>
          <w:szCs w:val="22"/>
        </w:rPr>
        <w:t xml:space="preserve">  However, under the AIA, the PTAB has discretionary power to proceed to a final written decision even if the parties have reached a settlement agreement.  </w:t>
      </w:r>
    </w:p>
    <w:p w:rsidR="00B55FB7" w:rsidRPr="00BF27A0" w:rsidP="00B55FB7">
      <w:pPr>
        <w:pStyle w:val="ListParagraph"/>
        <w:spacing w:before="240" w:line="240" w:lineRule="auto"/>
        <w:ind w:left="1080"/>
        <w:rPr>
          <w:rFonts w:ascii="Times New Roman" w:hAnsi="Times New Roman" w:cs="Times New Roman"/>
          <w:sz w:val="22"/>
          <w:szCs w:val="22"/>
        </w:rPr>
      </w:pPr>
    </w:p>
    <w:p w:rsidR="00C5414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Appeals</w:t>
      </w:r>
      <w:r w:rsidRPr="00BF27A0">
        <w:rPr>
          <w:rFonts w:ascii="Times New Roman" w:hAnsi="Times New Roman" w:cs="Times New Roman"/>
          <w:sz w:val="22"/>
          <w:szCs w:val="22"/>
        </w:rPr>
        <w:t>:  Appeals to a PTAB</w:t>
      </w:r>
      <w:r w:rsidRPr="00BF27A0" w:rsidR="00273CA9">
        <w:rPr>
          <w:rFonts w:ascii="Times New Roman" w:hAnsi="Times New Roman" w:cs="Times New Roman"/>
          <w:sz w:val="22"/>
          <w:szCs w:val="22"/>
        </w:rPr>
        <w:t>’</w:t>
      </w:r>
      <w:r w:rsidRPr="00BF27A0">
        <w:rPr>
          <w:rFonts w:ascii="Times New Roman" w:hAnsi="Times New Roman" w:cs="Times New Roman"/>
          <w:sz w:val="22"/>
          <w:szCs w:val="22"/>
        </w:rPr>
        <w:t>s decision are heard by the United States Court of Appeals for the Federal Circuit</w:t>
      </w:r>
      <w:r w:rsidRPr="00BF27A0" w:rsidR="0047643F">
        <w:rPr>
          <w:rFonts w:ascii="Times New Roman" w:hAnsi="Times New Roman" w:cs="Times New Roman"/>
          <w:sz w:val="22"/>
          <w:szCs w:val="22"/>
        </w:rPr>
        <w:t xml:space="preserve"> (CFAC)</w:t>
      </w:r>
      <w:r w:rsidRPr="00BF27A0">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C5414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Advantages</w:t>
      </w:r>
      <w:r w:rsidRPr="00BF27A0">
        <w:rPr>
          <w:rFonts w:ascii="Times New Roman" w:hAnsi="Times New Roman" w:cs="Times New Roman"/>
          <w:sz w:val="22"/>
          <w:szCs w:val="22"/>
        </w:rPr>
        <w:t>:</w:t>
      </w:r>
      <w:r w:rsidRPr="00BF27A0" w:rsidR="00C827C5">
        <w:rPr>
          <w:rFonts w:ascii="Times New Roman" w:hAnsi="Times New Roman" w:cs="Times New Roman"/>
          <w:sz w:val="22"/>
          <w:szCs w:val="22"/>
        </w:rPr>
        <w:t xml:space="preserve">  PGR offers several benefits for a challenger compared to other proceedings used to invalidate a patent.  PGR proceedings </w:t>
      </w:r>
      <w:r w:rsidRPr="00BF27A0" w:rsidR="00B23693">
        <w:rPr>
          <w:rFonts w:ascii="Times New Roman" w:hAnsi="Times New Roman" w:cs="Times New Roman"/>
          <w:sz w:val="22"/>
          <w:szCs w:val="22"/>
        </w:rPr>
        <w:t xml:space="preserve">may </w:t>
      </w:r>
      <w:r w:rsidRPr="00BF27A0" w:rsidR="00C827C5">
        <w:rPr>
          <w:rFonts w:ascii="Times New Roman" w:hAnsi="Times New Roman" w:cs="Times New Roman"/>
          <w:sz w:val="22"/>
          <w:szCs w:val="22"/>
        </w:rPr>
        <w:t xml:space="preserve">take less time than litigation to reach a final disposition, typically 18 months or less. PGR proceedings are a cost-effective alternative to litigation. The </w:t>
      </w:r>
      <w:r w:rsidRPr="00BF27A0" w:rsidR="00B23693">
        <w:rPr>
          <w:rFonts w:ascii="Times New Roman" w:hAnsi="Times New Roman" w:cs="Times New Roman"/>
          <w:sz w:val="22"/>
          <w:szCs w:val="22"/>
        </w:rPr>
        <w:t xml:space="preserve">PGR </w:t>
      </w:r>
      <w:r w:rsidRPr="00BF27A0" w:rsidR="00C827C5">
        <w:rPr>
          <w:rFonts w:ascii="Times New Roman" w:hAnsi="Times New Roman" w:cs="Times New Roman"/>
          <w:sz w:val="22"/>
          <w:szCs w:val="22"/>
        </w:rPr>
        <w:t>challenger</w:t>
      </w:r>
      <w:r w:rsidRPr="00BF27A0" w:rsidR="00273CA9">
        <w:rPr>
          <w:rFonts w:ascii="Times New Roman" w:hAnsi="Times New Roman" w:cs="Times New Roman"/>
          <w:sz w:val="22"/>
          <w:szCs w:val="22"/>
        </w:rPr>
        <w:t>’</w:t>
      </w:r>
      <w:r w:rsidRPr="00BF27A0" w:rsidR="00C827C5">
        <w:rPr>
          <w:rFonts w:ascii="Times New Roman" w:hAnsi="Times New Roman" w:cs="Times New Roman"/>
          <w:sz w:val="22"/>
          <w:szCs w:val="22"/>
        </w:rPr>
        <w:t>s standard of proof for invalidating a patent is preponderance of the evidence rather than clear and convincing evidence</w:t>
      </w:r>
      <w:r w:rsidRPr="00BF27A0" w:rsidR="00B4588F">
        <w:rPr>
          <w:rFonts w:ascii="Times New Roman" w:hAnsi="Times New Roman" w:cs="Times New Roman"/>
          <w:sz w:val="22"/>
          <w:szCs w:val="22"/>
        </w:rPr>
        <w:t xml:space="preserve"> as in federal court</w:t>
      </w:r>
      <w:r w:rsidRPr="00BF27A0" w:rsidR="00C827C5">
        <w:rPr>
          <w:rFonts w:ascii="Times New Roman" w:hAnsi="Times New Roman" w:cs="Times New Roman"/>
          <w:sz w:val="22"/>
          <w:szCs w:val="22"/>
        </w:rPr>
        <w:t xml:space="preserve">, giving the challenger a greater likelihood of success. In addition to anticipation and obviousness </w:t>
      </w:r>
      <w:r w:rsidRPr="00BF27A0" w:rsidR="00407206">
        <w:rPr>
          <w:rFonts w:ascii="Times New Roman" w:hAnsi="Times New Roman" w:cs="Times New Roman"/>
          <w:sz w:val="22"/>
          <w:szCs w:val="22"/>
        </w:rPr>
        <w:t xml:space="preserve">challenges </w:t>
      </w:r>
      <w:r w:rsidRPr="00BF27A0" w:rsidR="00C827C5">
        <w:rPr>
          <w:rFonts w:ascii="Times New Roman" w:hAnsi="Times New Roman" w:cs="Times New Roman"/>
          <w:sz w:val="22"/>
          <w:szCs w:val="22"/>
        </w:rPr>
        <w:t xml:space="preserve">based on printed publication or product prior art, a challenger may assert unpatentability of a patent </w:t>
      </w:r>
      <w:r w:rsidRPr="00BF27A0" w:rsidR="00CD6F90">
        <w:rPr>
          <w:rFonts w:ascii="Times New Roman" w:hAnsi="Times New Roman" w:cs="Times New Roman"/>
          <w:sz w:val="22"/>
          <w:szCs w:val="22"/>
        </w:rPr>
        <w:t>based on</w:t>
      </w:r>
      <w:r w:rsidRPr="00BF27A0" w:rsidR="00C827C5">
        <w:rPr>
          <w:rFonts w:ascii="Times New Roman" w:hAnsi="Times New Roman" w:cs="Times New Roman"/>
          <w:sz w:val="22"/>
          <w:szCs w:val="22"/>
        </w:rPr>
        <w:t xml:space="preserve"> lack of enablement, lack of written description, and lack of patent eligible subject matter (IPR proceedings allow only anticipation and obviousness challenges based on </w:t>
      </w:r>
      <w:r w:rsidRPr="00BF27A0" w:rsidR="00407206">
        <w:rPr>
          <w:rFonts w:ascii="Times New Roman" w:hAnsi="Times New Roman" w:cs="Times New Roman"/>
          <w:sz w:val="22"/>
          <w:szCs w:val="22"/>
        </w:rPr>
        <w:t xml:space="preserve">patents and </w:t>
      </w:r>
      <w:r w:rsidRPr="00BF27A0" w:rsidR="00C827C5">
        <w:rPr>
          <w:rFonts w:ascii="Times New Roman" w:hAnsi="Times New Roman" w:cs="Times New Roman"/>
          <w:sz w:val="22"/>
          <w:szCs w:val="22"/>
        </w:rPr>
        <w:t>printed publications).</w:t>
      </w:r>
    </w:p>
    <w:p w:rsidR="00B55FB7" w:rsidRPr="00BF27A0" w:rsidP="00B55FB7">
      <w:pPr>
        <w:pStyle w:val="ListParagraph"/>
        <w:spacing w:before="240" w:line="240" w:lineRule="auto"/>
        <w:ind w:left="1080"/>
        <w:rPr>
          <w:rFonts w:ascii="Times New Roman" w:hAnsi="Times New Roman" w:cs="Times New Roman"/>
          <w:sz w:val="22"/>
          <w:szCs w:val="22"/>
        </w:rPr>
      </w:pPr>
    </w:p>
    <w:p w:rsidR="00551CC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Disadvantages</w:t>
      </w:r>
      <w:r w:rsidRPr="00BF27A0">
        <w:rPr>
          <w:rFonts w:ascii="Times New Roman" w:hAnsi="Times New Roman" w:cs="Times New Roman"/>
          <w:sz w:val="22"/>
          <w:szCs w:val="22"/>
        </w:rPr>
        <w:t xml:space="preserve">: </w:t>
      </w:r>
      <w:r w:rsidRPr="00BF27A0" w:rsidR="00582FE4">
        <w:rPr>
          <w:rFonts w:ascii="Times New Roman" w:hAnsi="Times New Roman" w:cs="Times New Roman"/>
          <w:sz w:val="22"/>
          <w:szCs w:val="22"/>
        </w:rPr>
        <w:t xml:space="preserve">The primary disadvantage of the post grant procedures is that a party that has challenged a patent will be estopped from raising any issue that it raised or reasonably could have raised in such review in any subsequent proceedings in the USPTO, a district court or the ITC.  This </w:t>
      </w:r>
      <w:r w:rsidRPr="00BF27A0" w:rsidR="00273CA9">
        <w:rPr>
          <w:rFonts w:ascii="Times New Roman" w:hAnsi="Times New Roman" w:cs="Times New Roman"/>
          <w:sz w:val="22"/>
          <w:szCs w:val="22"/>
        </w:rPr>
        <w:t xml:space="preserve">disadvantage </w:t>
      </w:r>
      <w:r w:rsidRPr="00BF27A0" w:rsidR="00582FE4">
        <w:rPr>
          <w:rFonts w:ascii="Times New Roman" w:hAnsi="Times New Roman" w:cs="Times New Roman"/>
          <w:sz w:val="22"/>
          <w:szCs w:val="22"/>
        </w:rPr>
        <w:t>needs to be balanced against the advantages, including the potentially broader claim construction and lower standard of proof needed to succeed in these proceedings.</w:t>
      </w:r>
      <w:r w:rsidRPr="00BF27A0" w:rsidR="0038369E">
        <w:rPr>
          <w:rFonts w:ascii="Times New Roman" w:hAnsi="Times New Roman" w:cs="Times New Roman"/>
          <w:sz w:val="22"/>
          <w:szCs w:val="22"/>
        </w:rPr>
        <w:t xml:space="preserve">  Additionally, expert witnesses have become </w:t>
      </w:r>
      <w:r w:rsidRPr="00BF27A0" w:rsidR="0038369E">
        <w:rPr>
          <w:rFonts w:ascii="Times New Roman" w:hAnsi="Times New Roman" w:cs="Times New Roman"/>
          <w:i/>
          <w:sz w:val="22"/>
          <w:szCs w:val="22"/>
        </w:rPr>
        <w:t>status quo</w:t>
      </w:r>
      <w:r w:rsidRPr="00BF27A0" w:rsidR="0038369E">
        <w:rPr>
          <w:rFonts w:ascii="Times New Roman" w:hAnsi="Times New Roman" w:cs="Times New Roman"/>
          <w:sz w:val="22"/>
          <w:szCs w:val="22"/>
        </w:rPr>
        <w:t xml:space="preserve"> for PGR, which tends to increase costs.</w:t>
      </w:r>
    </w:p>
    <w:p w:rsidR="00B55FB7" w:rsidRPr="00BF27A0" w:rsidP="00B55FB7">
      <w:pPr>
        <w:pStyle w:val="ListParagraph"/>
        <w:spacing w:before="240" w:line="240" w:lineRule="auto"/>
        <w:ind w:left="1080"/>
        <w:rPr>
          <w:rFonts w:ascii="Times New Roman" w:hAnsi="Times New Roman" w:cs="Times New Roman"/>
          <w:sz w:val="22"/>
          <w:szCs w:val="22"/>
        </w:rPr>
      </w:pPr>
    </w:p>
    <w:p w:rsidR="009D59C7" w:rsidP="00BF27A0">
      <w:pPr>
        <w:pStyle w:val="ListParagraph"/>
        <w:numPr>
          <w:ilvl w:val="1"/>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Inter Partes</w:t>
      </w:r>
      <w:r w:rsidRPr="00BF27A0">
        <w:rPr>
          <w:rFonts w:ascii="Times New Roman" w:hAnsi="Times New Roman" w:cs="Times New Roman"/>
          <w:sz w:val="22"/>
          <w:szCs w:val="22"/>
          <w:u w:val="single"/>
        </w:rPr>
        <w:t xml:space="preserve"> Review (IPR</w:t>
      </w:r>
      <w:r w:rsidRPr="00BF27A0">
        <w:rPr>
          <w:rFonts w:ascii="Times New Roman" w:hAnsi="Times New Roman" w:cs="Times New Roman"/>
          <w:sz w:val="22"/>
          <w:szCs w:val="22"/>
        </w:rPr>
        <w:t>)</w:t>
      </w:r>
      <w:r w:rsidRPr="00BF27A0" w:rsidR="005B0E07">
        <w:rPr>
          <w:rFonts w:ascii="Times New Roman" w:hAnsi="Times New Roman" w:cs="Times New Roman"/>
          <w:sz w:val="22"/>
          <w:szCs w:val="22"/>
        </w:rPr>
        <w:t>: IPRs are trial proceeding</w:t>
      </w:r>
      <w:r w:rsidRPr="00BF27A0" w:rsidR="0038369E">
        <w:rPr>
          <w:rFonts w:ascii="Times New Roman" w:hAnsi="Times New Roman" w:cs="Times New Roman"/>
          <w:sz w:val="22"/>
          <w:szCs w:val="22"/>
        </w:rPr>
        <w:t>s</w:t>
      </w:r>
      <w:r w:rsidRPr="00BF27A0" w:rsidR="005B0E07">
        <w:rPr>
          <w:rFonts w:ascii="Times New Roman" w:hAnsi="Times New Roman" w:cs="Times New Roman"/>
          <w:sz w:val="22"/>
          <w:szCs w:val="22"/>
        </w:rPr>
        <w:t xml:space="preserve"> conducted at the </w:t>
      </w:r>
      <w:r w:rsidRPr="00BF27A0" w:rsidR="00280D9E">
        <w:rPr>
          <w:rFonts w:ascii="Times New Roman" w:hAnsi="Times New Roman" w:cs="Times New Roman"/>
          <w:sz w:val="22"/>
          <w:szCs w:val="22"/>
        </w:rPr>
        <w:t>(PTAB)</w:t>
      </w:r>
      <w:r w:rsidRPr="00BF27A0" w:rsidR="005B0E07">
        <w:rPr>
          <w:rFonts w:ascii="Times New Roman" w:hAnsi="Times New Roman" w:cs="Times New Roman"/>
          <w:sz w:val="22"/>
          <w:szCs w:val="22"/>
        </w:rPr>
        <w:t xml:space="preserve"> to review the patentability of one or more claims in a patent</w:t>
      </w:r>
      <w:r w:rsidRPr="00BF27A0" w:rsidR="00280D9E">
        <w:rPr>
          <w:rFonts w:ascii="Times New Roman" w:hAnsi="Times New Roman" w:cs="Times New Roman"/>
          <w:sz w:val="22"/>
          <w:szCs w:val="22"/>
        </w:rPr>
        <w:t xml:space="preserve">. </w:t>
      </w:r>
      <w:r w:rsidRPr="00BF27A0" w:rsidR="00F61FEA">
        <w:rPr>
          <w:rFonts w:ascii="Times New Roman" w:hAnsi="Times New Roman" w:cs="Times New Roman"/>
          <w:sz w:val="22"/>
          <w:szCs w:val="22"/>
        </w:rPr>
        <w:t xml:space="preserve">IPRs allow the PTAB to hold a hearing with the respective parties and make its decision.   </w:t>
      </w:r>
      <w:r w:rsidRPr="00BF27A0" w:rsidR="000C43F8">
        <w:rPr>
          <w:rFonts w:ascii="Times New Roman" w:hAnsi="Times New Roman" w:cs="Times New Roman"/>
          <w:sz w:val="22"/>
          <w:szCs w:val="22"/>
        </w:rPr>
        <w:t>35 U.S.C. Ch. 31.</w:t>
      </w:r>
    </w:p>
    <w:p w:rsidR="00B55FB7" w:rsidRPr="00BF27A0" w:rsidP="00B55FB7">
      <w:pPr>
        <w:pStyle w:val="ListParagraph"/>
        <w:spacing w:before="240" w:line="240" w:lineRule="auto"/>
        <w:rPr>
          <w:rFonts w:ascii="Times New Roman" w:hAnsi="Times New Roman" w:cs="Times New Roman"/>
          <w:sz w:val="22"/>
          <w:szCs w:val="22"/>
        </w:rPr>
      </w:pPr>
    </w:p>
    <w:p w:rsidR="00BA5218" w:rsidRPr="00B55FB7" w:rsidP="00BF27A0">
      <w:pPr>
        <w:pStyle w:val="ListParagraph"/>
        <w:numPr>
          <w:ilvl w:val="2"/>
          <w:numId w:val="1"/>
        </w:numPr>
        <w:spacing w:before="240" w:line="240" w:lineRule="auto"/>
        <w:rPr>
          <w:rFonts w:ascii="Times New Roman" w:hAnsi="Times New Roman" w:cs="Times New Roman"/>
          <w:sz w:val="22"/>
          <w:szCs w:val="22"/>
          <w:u w:val="single"/>
        </w:rPr>
      </w:pPr>
      <w:r w:rsidRPr="00BF27A0">
        <w:rPr>
          <w:rFonts w:ascii="Times New Roman" w:hAnsi="Times New Roman" w:cs="Times New Roman"/>
          <w:i/>
          <w:sz w:val="22"/>
          <w:szCs w:val="22"/>
          <w:u w:val="single"/>
        </w:rPr>
        <w:t>Petitioner</w:t>
      </w:r>
      <w:r w:rsidRPr="00BF27A0">
        <w:rPr>
          <w:rFonts w:ascii="Times New Roman" w:hAnsi="Times New Roman" w:cs="Times New Roman"/>
          <w:sz w:val="22"/>
          <w:szCs w:val="22"/>
        </w:rPr>
        <w:t xml:space="preserve">:  The Petitioner </w:t>
      </w:r>
      <w:r w:rsidRPr="00BF27A0">
        <w:rPr>
          <w:rFonts w:ascii="Times New Roman" w:hAnsi="Times New Roman" w:cs="Times New Roman"/>
          <w:sz w:val="22"/>
          <w:szCs w:val="22"/>
        </w:rPr>
        <w:t>is someone who is</w:t>
      </w:r>
      <w:r w:rsidRPr="00BF27A0">
        <w:rPr>
          <w:rFonts w:ascii="Times New Roman" w:hAnsi="Times New Roman" w:cs="Times New Roman"/>
          <w:sz w:val="22"/>
          <w:szCs w:val="22"/>
        </w:rPr>
        <w:t xml:space="preserve"> not the patent owner, has not previously filed a civil action challenging the validity of a claim of the patent, and has not been served with a complaint alleging infringement of the patent more than 1 year prior (exception for joinder).  All parties in interest must be identified</w:t>
      </w:r>
      <w:r w:rsidRPr="00BF27A0" w:rsidR="00720E59">
        <w:rPr>
          <w:rFonts w:ascii="Times New Roman" w:hAnsi="Times New Roman" w:cs="Times New Roman"/>
          <w:sz w:val="22"/>
          <w:szCs w:val="22"/>
        </w:rPr>
        <w:t xml:space="preserve"> in the petition</w:t>
      </w:r>
      <w:r w:rsidRPr="00BF27A0">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u w:val="single"/>
        </w:rPr>
      </w:pPr>
    </w:p>
    <w:p w:rsidR="009D59C7"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Estoppel</w:t>
      </w:r>
      <w:r w:rsidRPr="00BF27A0" w:rsidR="00BA5218">
        <w:rPr>
          <w:rFonts w:ascii="Times New Roman" w:hAnsi="Times New Roman" w:cs="Times New Roman"/>
          <w:sz w:val="22"/>
          <w:szCs w:val="22"/>
        </w:rPr>
        <w:t xml:space="preserve">: </w:t>
      </w:r>
      <w:r w:rsidRPr="00BF27A0" w:rsidR="00675DB2">
        <w:rPr>
          <w:rFonts w:ascii="Times New Roman" w:hAnsi="Times New Roman" w:cs="Times New Roman"/>
          <w:sz w:val="22"/>
          <w:szCs w:val="22"/>
        </w:rPr>
        <w:t xml:space="preserve">When a </w:t>
      </w:r>
      <w:r w:rsidRPr="00BF27A0" w:rsidR="00212E06">
        <w:rPr>
          <w:rFonts w:ascii="Times New Roman" w:hAnsi="Times New Roman" w:cs="Times New Roman"/>
          <w:sz w:val="22"/>
          <w:szCs w:val="22"/>
        </w:rPr>
        <w:t>Petitioner</w:t>
      </w:r>
      <w:r w:rsidRPr="00BF27A0" w:rsidR="00675DB2">
        <w:rPr>
          <w:rFonts w:ascii="Times New Roman" w:hAnsi="Times New Roman" w:cs="Times New Roman"/>
          <w:sz w:val="22"/>
          <w:szCs w:val="22"/>
        </w:rPr>
        <w:t xml:space="preserve"> requests an </w:t>
      </w:r>
      <w:r w:rsidRPr="00BF27A0" w:rsidR="00CD6F90">
        <w:rPr>
          <w:rFonts w:ascii="Times New Roman" w:hAnsi="Times New Roman" w:cs="Times New Roman"/>
          <w:i/>
          <w:sz w:val="22"/>
          <w:szCs w:val="22"/>
        </w:rPr>
        <w:t>inter partes</w:t>
      </w:r>
      <w:r w:rsidRPr="00BF27A0" w:rsidR="00675DB2">
        <w:rPr>
          <w:rFonts w:ascii="Times New Roman" w:hAnsi="Times New Roman" w:cs="Times New Roman"/>
          <w:sz w:val="22"/>
          <w:szCs w:val="22"/>
        </w:rPr>
        <w:t xml:space="preserve"> review of a patent claim and receives a written decision, they cannot request a hearing with the USPTO for the same claim on any grounds that were raised or could have been raised during the</w:t>
      </w:r>
      <w:r w:rsidRPr="00BF27A0" w:rsidR="00F61FEA">
        <w:rPr>
          <w:rFonts w:ascii="Times New Roman" w:hAnsi="Times New Roman" w:cs="Times New Roman"/>
          <w:sz w:val="22"/>
          <w:szCs w:val="22"/>
        </w:rPr>
        <w:t xml:space="preserve"> IPR.</w:t>
      </w:r>
      <w:r w:rsidRPr="00BF27A0" w:rsidR="00675DB2">
        <w:rPr>
          <w:rFonts w:ascii="Times New Roman" w:hAnsi="Times New Roman" w:cs="Times New Roman"/>
          <w:sz w:val="22"/>
          <w:szCs w:val="22"/>
        </w:rPr>
        <w:t xml:space="preserve"> There is also an estoppel against the </w:t>
      </w:r>
      <w:r w:rsidRPr="00BF27A0" w:rsidR="00212E06">
        <w:rPr>
          <w:rFonts w:ascii="Times New Roman" w:hAnsi="Times New Roman" w:cs="Times New Roman"/>
          <w:sz w:val="22"/>
          <w:szCs w:val="22"/>
        </w:rPr>
        <w:t>Petitioner</w:t>
      </w:r>
      <w:r w:rsidRPr="00BF27A0" w:rsidR="00675DB2">
        <w:rPr>
          <w:rFonts w:ascii="Times New Roman" w:hAnsi="Times New Roman" w:cs="Times New Roman"/>
          <w:sz w:val="22"/>
          <w:szCs w:val="22"/>
        </w:rPr>
        <w:t xml:space="preserve"> or other </w:t>
      </w:r>
      <w:r w:rsidRPr="00BF27A0" w:rsidR="0038369E">
        <w:rPr>
          <w:rFonts w:ascii="Times New Roman" w:hAnsi="Times New Roman" w:cs="Times New Roman"/>
          <w:sz w:val="22"/>
          <w:szCs w:val="22"/>
        </w:rPr>
        <w:t xml:space="preserve">real parties in interest </w:t>
      </w:r>
      <w:r w:rsidRPr="00BF27A0" w:rsidR="00675DB2">
        <w:rPr>
          <w:rFonts w:ascii="Times New Roman" w:hAnsi="Times New Roman" w:cs="Times New Roman"/>
          <w:sz w:val="22"/>
          <w:szCs w:val="22"/>
        </w:rPr>
        <w:t xml:space="preserve">for civil actions in certain cases that take place before the </w:t>
      </w:r>
      <w:r w:rsidRPr="00BF27A0" w:rsidR="00F61FEA">
        <w:rPr>
          <w:rFonts w:ascii="Times New Roman" w:hAnsi="Times New Roman" w:cs="Times New Roman"/>
          <w:sz w:val="22"/>
          <w:szCs w:val="22"/>
        </w:rPr>
        <w:t>ITC</w:t>
      </w:r>
      <w:r w:rsidRPr="00BF27A0" w:rsidR="00675DB2">
        <w:rPr>
          <w:rFonts w:ascii="Times New Roman" w:hAnsi="Times New Roman" w:cs="Times New Roman"/>
          <w:sz w:val="22"/>
          <w:szCs w:val="22"/>
        </w:rPr>
        <w:t xml:space="preserve"> and result in a final written decision.</w:t>
      </w:r>
    </w:p>
    <w:p w:rsidR="00B55FB7" w:rsidRPr="00BF27A0" w:rsidP="00B55FB7">
      <w:pPr>
        <w:pStyle w:val="ListParagraph"/>
        <w:spacing w:before="240" w:line="240" w:lineRule="auto"/>
        <w:ind w:left="1080"/>
        <w:rPr>
          <w:rFonts w:ascii="Times New Roman" w:hAnsi="Times New Roman" w:cs="Times New Roman"/>
          <w:sz w:val="22"/>
          <w:szCs w:val="22"/>
        </w:rPr>
      </w:pPr>
    </w:p>
    <w:p w:rsidR="009D59C7"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Standard</w:t>
      </w:r>
      <w:r w:rsidRPr="00BF27A0" w:rsidR="00BA5218">
        <w:rPr>
          <w:rFonts w:ascii="Times New Roman" w:hAnsi="Times New Roman" w:cs="Times New Roman"/>
          <w:sz w:val="22"/>
          <w:szCs w:val="22"/>
          <w:u w:val="single"/>
        </w:rPr>
        <w:t>:</w:t>
      </w:r>
      <w:r w:rsidRPr="00BF27A0" w:rsidR="00BA5218">
        <w:rPr>
          <w:rFonts w:ascii="Times New Roman" w:hAnsi="Times New Roman" w:cs="Times New Roman"/>
          <w:sz w:val="22"/>
          <w:szCs w:val="22"/>
        </w:rPr>
        <w:t xml:space="preserve"> An IPR may be instituted upon a showing that there is a reasonable likelihood that the </w:t>
      </w:r>
      <w:r w:rsidRPr="00BF27A0" w:rsidR="00212E06">
        <w:rPr>
          <w:rFonts w:ascii="Times New Roman" w:hAnsi="Times New Roman" w:cs="Times New Roman"/>
          <w:sz w:val="22"/>
          <w:szCs w:val="22"/>
        </w:rPr>
        <w:t>Petitioner</w:t>
      </w:r>
      <w:r w:rsidRPr="00BF27A0" w:rsidR="00BA5218">
        <w:rPr>
          <w:rFonts w:ascii="Times New Roman" w:hAnsi="Times New Roman" w:cs="Times New Roman"/>
          <w:sz w:val="22"/>
          <w:szCs w:val="22"/>
        </w:rPr>
        <w:t xml:space="preserve"> would prevail with respect to at least one claim challenged.</w:t>
      </w:r>
    </w:p>
    <w:p w:rsidR="00B55FB7" w:rsidRPr="00BF27A0" w:rsidP="00B55FB7">
      <w:pPr>
        <w:pStyle w:val="ListParagraph"/>
        <w:spacing w:before="240" w:line="240" w:lineRule="auto"/>
        <w:ind w:left="1080"/>
        <w:rPr>
          <w:rFonts w:ascii="Times New Roman" w:hAnsi="Times New Roman" w:cs="Times New Roman"/>
          <w:sz w:val="22"/>
          <w:szCs w:val="22"/>
        </w:rPr>
      </w:pPr>
    </w:p>
    <w:p w:rsidR="006C397E"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Basis</w:t>
      </w:r>
      <w:r w:rsidRPr="00BF27A0">
        <w:rPr>
          <w:rFonts w:ascii="Times New Roman" w:hAnsi="Times New Roman" w:cs="Times New Roman"/>
          <w:sz w:val="22"/>
          <w:szCs w:val="22"/>
          <w:u w:val="single"/>
        </w:rPr>
        <w:t>:</w:t>
      </w:r>
      <w:r w:rsidRPr="00BF27A0">
        <w:rPr>
          <w:rFonts w:ascii="Times New Roman" w:hAnsi="Times New Roman" w:cs="Times New Roman"/>
          <w:sz w:val="22"/>
          <w:szCs w:val="22"/>
        </w:rPr>
        <w:t xml:space="preserve"> </w:t>
      </w:r>
      <w:r w:rsidRPr="00BF27A0" w:rsidR="009615DD">
        <w:rPr>
          <w:rFonts w:ascii="Times New Roman" w:hAnsi="Times New Roman" w:cs="Times New Roman"/>
          <w:sz w:val="22"/>
          <w:szCs w:val="22"/>
        </w:rPr>
        <w:t>Unlike PGRs that allow patents to be challenged on all grounds, IPRs are limited to anticipation (35 U.S.C. § 102) and obviousness (35 U.S.C. § 103) challenges based only on patents and printed publications.</w:t>
      </w:r>
      <w:r w:rsidRPr="00BF27A0">
        <w:rPr>
          <w:rFonts w:ascii="Times New Roman" w:hAnsi="Times New Roman" w:cs="Times New Roman"/>
          <w:sz w:val="22"/>
          <w:szCs w:val="22"/>
        </w:rPr>
        <w:t xml:space="preserve">  </w:t>
      </w:r>
    </w:p>
    <w:p w:rsidR="00B55FB7" w:rsidRPr="00BF27A0" w:rsidP="00B55FB7">
      <w:pPr>
        <w:pStyle w:val="ListParagraph"/>
        <w:spacing w:before="240" w:line="240" w:lineRule="auto"/>
        <w:ind w:left="1080"/>
        <w:rPr>
          <w:rFonts w:ascii="Times New Roman" w:hAnsi="Times New Roman" w:cs="Times New Roman"/>
          <w:sz w:val="22"/>
          <w:szCs w:val="22"/>
        </w:rPr>
      </w:pPr>
    </w:p>
    <w:p w:rsidR="006C397E"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Applicability</w:t>
      </w:r>
      <w:r w:rsidRPr="00BF27A0">
        <w:rPr>
          <w:rFonts w:ascii="Times New Roman" w:hAnsi="Times New Roman" w:cs="Times New Roman"/>
          <w:sz w:val="22"/>
          <w:szCs w:val="22"/>
        </w:rPr>
        <w:t>;</w:t>
      </w:r>
      <w:r w:rsidRPr="00BF27A0" w:rsidR="00202EE0">
        <w:rPr>
          <w:rFonts w:ascii="Times New Roman" w:hAnsi="Times New Roman" w:cs="Times New Roman"/>
          <w:sz w:val="22"/>
          <w:szCs w:val="22"/>
        </w:rPr>
        <w:t xml:space="preserve"> Patent issued under first-to-invent or first-inventor-to-file.</w:t>
      </w:r>
    </w:p>
    <w:p w:rsidR="00B55FB7" w:rsidRPr="00BF27A0" w:rsidP="00B55FB7">
      <w:pPr>
        <w:pStyle w:val="ListParagraph"/>
        <w:spacing w:before="240" w:line="240" w:lineRule="auto"/>
        <w:ind w:left="1080"/>
        <w:rPr>
          <w:rFonts w:ascii="Times New Roman" w:hAnsi="Times New Roman" w:cs="Times New Roman"/>
          <w:sz w:val="22"/>
          <w:szCs w:val="22"/>
        </w:rPr>
      </w:pPr>
    </w:p>
    <w:p w:rsidR="000C43F8"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Timing</w:t>
      </w:r>
      <w:r w:rsidRPr="00BF27A0" w:rsidR="006C397E">
        <w:rPr>
          <w:rFonts w:ascii="Times New Roman" w:hAnsi="Times New Roman" w:cs="Times New Roman"/>
          <w:sz w:val="22"/>
          <w:szCs w:val="22"/>
        </w:rPr>
        <w:t>:</w:t>
      </w:r>
      <w:r w:rsidRPr="00BF27A0" w:rsidR="00202EE0">
        <w:rPr>
          <w:rFonts w:ascii="Times New Roman" w:hAnsi="Times New Roman" w:cs="Times New Roman"/>
          <w:sz w:val="22"/>
          <w:szCs w:val="22"/>
        </w:rPr>
        <w:t xml:space="preserve"> </w:t>
      </w:r>
      <w:r w:rsidRPr="00BF27A0" w:rsidR="00551CC0">
        <w:rPr>
          <w:rFonts w:ascii="Times New Roman" w:hAnsi="Times New Roman" w:cs="Times New Roman"/>
          <w:sz w:val="22"/>
          <w:szCs w:val="22"/>
        </w:rPr>
        <w:t xml:space="preserve">Petitions for first-inventor-to-file </w:t>
      </w:r>
      <w:r w:rsidRPr="00BF27A0" w:rsidR="00720E59">
        <w:rPr>
          <w:rFonts w:ascii="Times New Roman" w:hAnsi="Times New Roman" w:cs="Times New Roman"/>
          <w:sz w:val="22"/>
          <w:szCs w:val="22"/>
        </w:rPr>
        <w:t xml:space="preserve">(post-AIA) </w:t>
      </w:r>
      <w:r w:rsidRPr="00BF27A0" w:rsidR="00551CC0">
        <w:rPr>
          <w:rFonts w:ascii="Times New Roman" w:hAnsi="Times New Roman" w:cs="Times New Roman"/>
          <w:sz w:val="22"/>
          <w:szCs w:val="22"/>
        </w:rPr>
        <w:t xml:space="preserve">patents cannot be filed until </w:t>
      </w:r>
      <w:r w:rsidRPr="00BF27A0" w:rsidR="007D7270">
        <w:rPr>
          <w:rFonts w:ascii="Times New Roman" w:hAnsi="Times New Roman" w:cs="Times New Roman"/>
          <w:sz w:val="22"/>
          <w:szCs w:val="22"/>
        </w:rPr>
        <w:t>9</w:t>
      </w:r>
      <w:r w:rsidRPr="00BF27A0" w:rsidR="00551CC0">
        <w:rPr>
          <w:rFonts w:ascii="Times New Roman" w:hAnsi="Times New Roman" w:cs="Times New Roman"/>
          <w:sz w:val="22"/>
          <w:szCs w:val="22"/>
        </w:rPr>
        <w:t xml:space="preserve"> months after a patent has been approved or renewed or until after the end of a post-grant review. There are no such deadlines for first-to-invent patents.  IPRs m</w:t>
      </w:r>
      <w:r w:rsidRPr="00BF27A0" w:rsidR="00202EE0">
        <w:rPr>
          <w:rFonts w:ascii="Times New Roman" w:hAnsi="Times New Roman" w:cs="Times New Roman"/>
          <w:sz w:val="22"/>
          <w:szCs w:val="22"/>
        </w:rPr>
        <w:t>ust be completed within 12 months from institution, with 6 months good cause exception possible</w:t>
      </w:r>
      <w:r w:rsidRPr="00BF27A0" w:rsidR="00720E59">
        <w:rPr>
          <w:rFonts w:ascii="Times New Roman" w:hAnsi="Times New Roman" w:cs="Times New Roman"/>
          <w:sz w:val="22"/>
          <w:szCs w:val="22"/>
        </w:rPr>
        <w:t xml:space="preserve"> as determined by the PTAB</w:t>
      </w:r>
      <w:r w:rsidRPr="00BF27A0" w:rsidR="00202EE0">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F26F3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Settlement</w:t>
      </w:r>
      <w:r w:rsidRPr="00BF27A0">
        <w:rPr>
          <w:rFonts w:ascii="Times New Roman" w:hAnsi="Times New Roman" w:cs="Times New Roman"/>
          <w:sz w:val="22"/>
          <w:szCs w:val="22"/>
        </w:rPr>
        <w:t>: Settlements are possible.</w:t>
      </w:r>
      <w:r w:rsidRPr="00BF27A0" w:rsidR="00273CA9">
        <w:rPr>
          <w:rFonts w:ascii="Times New Roman" w:hAnsi="Times New Roman" w:cs="Times New Roman"/>
          <w:sz w:val="22"/>
          <w:szCs w:val="22"/>
        </w:rPr>
        <w:t xml:space="preserve">  However, under the AIA, the PTAB has discretionary power to proceed to a final written decision even if the parties have reached a settlement agreement.</w:t>
      </w:r>
    </w:p>
    <w:p w:rsidR="00B55FB7" w:rsidRPr="00BF27A0" w:rsidP="00B55FB7">
      <w:pPr>
        <w:pStyle w:val="ListParagraph"/>
        <w:spacing w:before="240" w:line="240" w:lineRule="auto"/>
        <w:ind w:left="1080"/>
        <w:rPr>
          <w:rFonts w:ascii="Times New Roman" w:hAnsi="Times New Roman" w:cs="Times New Roman"/>
          <w:sz w:val="22"/>
          <w:szCs w:val="22"/>
        </w:rPr>
      </w:pPr>
    </w:p>
    <w:p w:rsidR="00280D9E"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Appeals</w:t>
      </w:r>
      <w:r w:rsidRPr="00BF27A0" w:rsidR="000C43F8">
        <w:rPr>
          <w:rFonts w:ascii="Times New Roman" w:hAnsi="Times New Roman" w:cs="Times New Roman"/>
          <w:sz w:val="22"/>
          <w:szCs w:val="22"/>
        </w:rPr>
        <w:t>:</w:t>
      </w:r>
      <w:r w:rsidRPr="00BF27A0">
        <w:rPr>
          <w:rFonts w:ascii="Times New Roman" w:hAnsi="Times New Roman" w:cs="Times New Roman"/>
          <w:sz w:val="22"/>
          <w:szCs w:val="22"/>
        </w:rPr>
        <w:t xml:space="preserve"> </w:t>
      </w:r>
      <w:bookmarkStart w:id="1" w:name="_Hlk16796552"/>
      <w:r w:rsidRPr="00BF27A0" w:rsidR="000C43F8">
        <w:rPr>
          <w:rFonts w:ascii="Times New Roman" w:hAnsi="Times New Roman" w:cs="Times New Roman"/>
          <w:sz w:val="22"/>
          <w:szCs w:val="22"/>
        </w:rPr>
        <w:t xml:space="preserve">Appeals </w:t>
      </w:r>
      <w:r w:rsidRPr="00BF27A0">
        <w:rPr>
          <w:rFonts w:ascii="Times New Roman" w:hAnsi="Times New Roman" w:cs="Times New Roman"/>
          <w:sz w:val="22"/>
          <w:szCs w:val="22"/>
        </w:rPr>
        <w:t>to a PTAB</w:t>
      </w:r>
      <w:r w:rsidRPr="00BF27A0" w:rsidR="00273CA9">
        <w:rPr>
          <w:rFonts w:ascii="Times New Roman" w:hAnsi="Times New Roman" w:cs="Times New Roman"/>
          <w:sz w:val="22"/>
          <w:szCs w:val="22"/>
        </w:rPr>
        <w:t>’</w:t>
      </w:r>
      <w:r w:rsidRPr="00BF27A0">
        <w:rPr>
          <w:rFonts w:ascii="Times New Roman" w:hAnsi="Times New Roman" w:cs="Times New Roman"/>
          <w:sz w:val="22"/>
          <w:szCs w:val="22"/>
        </w:rPr>
        <w:t xml:space="preserve">s decision are heard by the </w:t>
      </w:r>
      <w:r w:rsidRPr="00BF27A0" w:rsidR="0047643F">
        <w:rPr>
          <w:rFonts w:ascii="Times New Roman" w:hAnsi="Times New Roman" w:cs="Times New Roman"/>
          <w:sz w:val="22"/>
          <w:szCs w:val="22"/>
        </w:rPr>
        <w:t>CAFC</w:t>
      </w:r>
      <w:bookmarkEnd w:id="1"/>
      <w:r w:rsidRPr="00BF27A0">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9615DD"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Advantages</w:t>
      </w:r>
      <w:r w:rsidRPr="00BF27A0">
        <w:rPr>
          <w:rFonts w:ascii="Times New Roman" w:hAnsi="Times New Roman" w:cs="Times New Roman"/>
          <w:sz w:val="22"/>
          <w:szCs w:val="22"/>
        </w:rPr>
        <w:t xml:space="preserve">: IPRs are often viewed as a strategic alternative to patent litigation for </w:t>
      </w:r>
      <w:r w:rsidRPr="00BF27A0" w:rsidR="00CD6F90">
        <w:rPr>
          <w:rFonts w:ascii="Times New Roman" w:hAnsi="Times New Roman" w:cs="Times New Roman"/>
          <w:sz w:val="22"/>
          <w:szCs w:val="22"/>
        </w:rPr>
        <w:t>several</w:t>
      </w:r>
      <w:r w:rsidRPr="00BF27A0">
        <w:rPr>
          <w:rFonts w:ascii="Times New Roman" w:hAnsi="Times New Roman" w:cs="Times New Roman"/>
          <w:sz w:val="22"/>
          <w:szCs w:val="22"/>
        </w:rPr>
        <w:t xml:space="preserve"> reasons. First, the proceedings are </w:t>
      </w:r>
      <w:r w:rsidRPr="00BF27A0" w:rsidR="00B23693">
        <w:rPr>
          <w:rFonts w:ascii="Times New Roman" w:hAnsi="Times New Roman" w:cs="Times New Roman"/>
          <w:sz w:val="22"/>
          <w:szCs w:val="22"/>
        </w:rPr>
        <w:t>typically</w:t>
      </w:r>
      <w:r w:rsidRPr="00BF27A0">
        <w:rPr>
          <w:rFonts w:ascii="Times New Roman" w:hAnsi="Times New Roman" w:cs="Times New Roman"/>
          <w:sz w:val="22"/>
          <w:szCs w:val="22"/>
        </w:rPr>
        <w:t xml:space="preserve"> faster than </w:t>
      </w:r>
      <w:r w:rsidRPr="00BF27A0" w:rsidR="003A3F61">
        <w:rPr>
          <w:rFonts w:ascii="Times New Roman" w:hAnsi="Times New Roman" w:cs="Times New Roman"/>
          <w:sz w:val="22"/>
          <w:szCs w:val="22"/>
        </w:rPr>
        <w:t>most</w:t>
      </w:r>
      <w:r w:rsidRPr="00BF27A0">
        <w:rPr>
          <w:rFonts w:ascii="Times New Roman" w:hAnsi="Times New Roman" w:cs="Times New Roman"/>
          <w:sz w:val="22"/>
          <w:szCs w:val="22"/>
        </w:rPr>
        <w:t xml:space="preserve"> federal court venue</w:t>
      </w:r>
      <w:r w:rsidRPr="00BF27A0" w:rsidR="003A3F61">
        <w:rPr>
          <w:rFonts w:ascii="Times New Roman" w:hAnsi="Times New Roman" w:cs="Times New Roman"/>
          <w:sz w:val="22"/>
          <w:szCs w:val="22"/>
        </w:rPr>
        <w:t>s</w:t>
      </w:r>
      <w:r w:rsidRPr="00BF27A0">
        <w:rPr>
          <w:rFonts w:ascii="Times New Roman" w:hAnsi="Times New Roman" w:cs="Times New Roman"/>
          <w:sz w:val="22"/>
          <w:szCs w:val="22"/>
        </w:rPr>
        <w:t>, with a final written decision issued within 1</w:t>
      </w:r>
      <w:r w:rsidRPr="00BF27A0" w:rsidR="009D4F8F">
        <w:rPr>
          <w:rFonts w:ascii="Times New Roman" w:hAnsi="Times New Roman" w:cs="Times New Roman"/>
          <w:sz w:val="22"/>
          <w:szCs w:val="22"/>
        </w:rPr>
        <w:t>2</w:t>
      </w:r>
      <w:r w:rsidRPr="00BF27A0">
        <w:rPr>
          <w:rFonts w:ascii="Times New Roman" w:hAnsi="Times New Roman" w:cs="Times New Roman"/>
          <w:sz w:val="22"/>
          <w:szCs w:val="22"/>
        </w:rPr>
        <w:t xml:space="preserve"> months</w:t>
      </w:r>
      <w:r w:rsidRPr="00BF27A0" w:rsidR="009D4F8F">
        <w:rPr>
          <w:rFonts w:ascii="Times New Roman" w:hAnsi="Times New Roman" w:cs="Times New Roman"/>
          <w:sz w:val="22"/>
          <w:szCs w:val="22"/>
        </w:rPr>
        <w:t xml:space="preserve"> of institution</w:t>
      </w:r>
      <w:r w:rsidRPr="00BF27A0">
        <w:rPr>
          <w:rFonts w:ascii="Times New Roman" w:hAnsi="Times New Roman" w:cs="Times New Roman"/>
          <w:sz w:val="22"/>
          <w:szCs w:val="22"/>
        </w:rPr>
        <w:t>. Second, the IPR proceedings are adjudicated before a technically savvy panel at the USPTO, which understands the technology and patent law. Third, the burden of proving invalidity before the USPTO is lower than the burden of proving invalidity in a federal court, making it easier to invalidate a patent. Finally, the claim construction standard at the USPTO is broader than federal court and again makes it easier to invalidate the patent.</w:t>
      </w:r>
    </w:p>
    <w:p w:rsidR="00B55FB7" w:rsidRPr="00BF27A0" w:rsidP="00B55FB7">
      <w:pPr>
        <w:pStyle w:val="ListParagraph"/>
        <w:spacing w:before="240" w:line="240" w:lineRule="auto"/>
        <w:ind w:left="1080"/>
        <w:rPr>
          <w:rFonts w:ascii="Times New Roman" w:hAnsi="Times New Roman" w:cs="Times New Roman"/>
          <w:sz w:val="22"/>
          <w:szCs w:val="22"/>
        </w:rPr>
      </w:pPr>
    </w:p>
    <w:p w:rsidR="00551CC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Disadvantages</w:t>
      </w:r>
      <w:r w:rsidRPr="00BF27A0">
        <w:rPr>
          <w:rFonts w:ascii="Times New Roman" w:hAnsi="Times New Roman" w:cs="Times New Roman"/>
          <w:sz w:val="22"/>
          <w:szCs w:val="22"/>
        </w:rPr>
        <w:t xml:space="preserve">: </w:t>
      </w:r>
      <w:r w:rsidRPr="00BF27A0" w:rsidR="00273CA9">
        <w:rPr>
          <w:rFonts w:ascii="Times New Roman" w:hAnsi="Times New Roman" w:cs="Times New Roman"/>
          <w:sz w:val="22"/>
          <w:szCs w:val="22"/>
        </w:rPr>
        <w:t xml:space="preserve">The primary disadvantage of the post grant procedures is that a party that has challenged a patent </w:t>
      </w:r>
      <w:r w:rsidRPr="00BF27A0" w:rsidR="00720E59">
        <w:rPr>
          <w:rFonts w:ascii="Times New Roman" w:hAnsi="Times New Roman" w:cs="Times New Roman"/>
          <w:sz w:val="22"/>
          <w:szCs w:val="22"/>
        </w:rPr>
        <w:t xml:space="preserve">in an IPR </w:t>
      </w:r>
      <w:r w:rsidRPr="00BF27A0" w:rsidR="00273CA9">
        <w:rPr>
          <w:rFonts w:ascii="Times New Roman" w:hAnsi="Times New Roman" w:cs="Times New Roman"/>
          <w:sz w:val="22"/>
          <w:szCs w:val="22"/>
        </w:rPr>
        <w:t>will be estopped from raising any issue that it raised or reasonably could have raised in such review in any subsequent proceedings in the USPTO, a district court or the ITC.  This disadvantage needs to be balanced against the advantages, including the potentially broader claim construction and lower standard of proof needed to succeed in these proceedings.</w:t>
      </w:r>
    </w:p>
    <w:p w:rsidR="00B55FB7" w:rsidRPr="00BF27A0" w:rsidP="00B55FB7">
      <w:pPr>
        <w:pStyle w:val="ListParagraph"/>
        <w:spacing w:before="240" w:line="240" w:lineRule="auto"/>
        <w:ind w:left="1080"/>
        <w:rPr>
          <w:rFonts w:ascii="Times New Roman" w:hAnsi="Times New Roman" w:cs="Times New Roman"/>
          <w:sz w:val="22"/>
          <w:szCs w:val="22"/>
        </w:rPr>
      </w:pPr>
    </w:p>
    <w:p w:rsidR="00642F0E" w:rsidRPr="00B55FB7" w:rsidP="00BF27A0">
      <w:pPr>
        <w:pStyle w:val="ListParagraph"/>
        <w:numPr>
          <w:ilvl w:val="1"/>
          <w:numId w:val="1"/>
        </w:numPr>
        <w:spacing w:before="240" w:line="240" w:lineRule="auto"/>
        <w:rPr>
          <w:rFonts w:ascii="Times New Roman" w:hAnsi="Times New Roman" w:cs="Times New Roman"/>
          <w:sz w:val="22"/>
          <w:szCs w:val="22"/>
          <w:u w:val="single"/>
        </w:rPr>
      </w:pPr>
      <w:r w:rsidRPr="00BF27A0">
        <w:rPr>
          <w:rFonts w:ascii="Times New Roman" w:hAnsi="Times New Roman" w:cs="Times New Roman"/>
          <w:sz w:val="22"/>
          <w:szCs w:val="22"/>
          <w:u w:val="single"/>
        </w:rPr>
        <w:t>Covered Business Method Proceedings</w:t>
      </w:r>
      <w:r w:rsidRPr="00BF27A0" w:rsidR="00C54142">
        <w:rPr>
          <w:rFonts w:ascii="Times New Roman" w:hAnsi="Times New Roman" w:cs="Times New Roman"/>
          <w:sz w:val="22"/>
          <w:szCs w:val="22"/>
          <w:u w:val="single"/>
        </w:rPr>
        <w:t xml:space="preserve"> (CBM)</w:t>
      </w:r>
      <w:r w:rsidRPr="00BF27A0">
        <w:rPr>
          <w:rFonts w:ascii="Times New Roman" w:hAnsi="Times New Roman" w:cs="Times New Roman"/>
          <w:sz w:val="22"/>
          <w:szCs w:val="22"/>
          <w:u w:val="single"/>
        </w:rPr>
        <w:t xml:space="preserve"> (</w:t>
      </w:r>
      <w:r w:rsidRPr="00BF27A0" w:rsidR="00720E59">
        <w:rPr>
          <w:rFonts w:ascii="Times New Roman" w:hAnsi="Times New Roman" w:cs="Times New Roman"/>
          <w:sz w:val="22"/>
          <w:szCs w:val="22"/>
          <w:u w:val="single"/>
        </w:rPr>
        <w:t xml:space="preserve">Tentatively </w:t>
      </w:r>
      <w:r w:rsidRPr="00BF27A0">
        <w:rPr>
          <w:rFonts w:ascii="Times New Roman" w:hAnsi="Times New Roman" w:cs="Times New Roman"/>
          <w:sz w:val="22"/>
          <w:szCs w:val="22"/>
          <w:u w:val="single"/>
        </w:rPr>
        <w:t>Ends Sept 16, 2020)</w:t>
      </w:r>
      <w:r w:rsidRPr="00BF27A0" w:rsidR="000A4E5D">
        <w:rPr>
          <w:rFonts w:ascii="Times New Roman" w:hAnsi="Times New Roman" w:cs="Times New Roman"/>
          <w:sz w:val="22"/>
          <w:szCs w:val="22"/>
        </w:rPr>
        <w:t xml:space="preserve">: </w:t>
      </w:r>
    </w:p>
    <w:p w:rsidR="00B55FB7" w:rsidRPr="00BF27A0" w:rsidP="00B55FB7">
      <w:pPr>
        <w:pStyle w:val="ListParagraph"/>
        <w:spacing w:before="240" w:line="240" w:lineRule="auto"/>
        <w:rPr>
          <w:rFonts w:ascii="Times New Roman" w:hAnsi="Times New Roman" w:cs="Times New Roman"/>
          <w:sz w:val="22"/>
          <w:szCs w:val="22"/>
          <w:u w:val="single"/>
        </w:rPr>
      </w:pPr>
    </w:p>
    <w:p w:rsidR="000A4E5D"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Petitioner</w:t>
      </w:r>
      <w:r w:rsidRPr="00BF27A0">
        <w:rPr>
          <w:rFonts w:ascii="Times New Roman" w:hAnsi="Times New Roman" w:cs="Times New Roman"/>
          <w:sz w:val="22"/>
          <w:szCs w:val="22"/>
        </w:rPr>
        <w:t xml:space="preserve">: </w:t>
      </w:r>
      <w:r w:rsidRPr="00BF27A0" w:rsidR="00C54142">
        <w:rPr>
          <w:rFonts w:ascii="Times New Roman" w:hAnsi="Times New Roman" w:cs="Times New Roman"/>
          <w:sz w:val="22"/>
          <w:szCs w:val="22"/>
        </w:rPr>
        <w:t xml:space="preserve">The Petitioner must have been sued or </w:t>
      </w:r>
      <w:r w:rsidRPr="00BF27A0" w:rsidR="00A41CB4">
        <w:rPr>
          <w:rFonts w:ascii="Times New Roman" w:hAnsi="Times New Roman" w:cs="Times New Roman"/>
          <w:sz w:val="22"/>
          <w:szCs w:val="22"/>
        </w:rPr>
        <w:t>have been charged with infringement under the patent</w:t>
      </w:r>
      <w:r w:rsidRPr="00BF27A0" w:rsidR="00C54142">
        <w:rPr>
          <w:rFonts w:ascii="Times New Roman" w:hAnsi="Times New Roman" w:cs="Times New Roman"/>
          <w:sz w:val="22"/>
          <w:szCs w:val="22"/>
        </w:rPr>
        <w:t>.</w:t>
      </w:r>
      <w:r w:rsidRPr="00BF27A0">
        <w:rPr>
          <w:rFonts w:ascii="Times New Roman" w:hAnsi="Times New Roman" w:cs="Times New Roman"/>
          <w:sz w:val="22"/>
          <w:szCs w:val="22"/>
        </w:rPr>
        <w:t xml:space="preserve"> </w:t>
      </w:r>
      <w:r w:rsidRPr="00BF27A0" w:rsidR="00A41CB4">
        <w:rPr>
          <w:rFonts w:ascii="Times New Roman" w:hAnsi="Times New Roman" w:cs="Times New Roman"/>
          <w:sz w:val="22"/>
          <w:szCs w:val="22"/>
        </w:rPr>
        <w:t xml:space="preserve">37 C.F.R. § 42.302.  Also, a </w:t>
      </w:r>
      <w:r w:rsidRPr="00BF27A0" w:rsidR="00212E06">
        <w:rPr>
          <w:rFonts w:ascii="Times New Roman" w:hAnsi="Times New Roman" w:cs="Times New Roman"/>
          <w:sz w:val="22"/>
          <w:szCs w:val="22"/>
        </w:rPr>
        <w:t>Petitioner</w:t>
      </w:r>
      <w:r w:rsidRPr="00BF27A0" w:rsidR="00A41CB4">
        <w:rPr>
          <w:rFonts w:ascii="Times New Roman" w:hAnsi="Times New Roman" w:cs="Times New Roman"/>
          <w:sz w:val="22"/>
          <w:szCs w:val="22"/>
        </w:rPr>
        <w:t xml:space="preserve"> cannot file a CBM if it or the real party in interest has already filed a civil action challenging the validity of a claim of the patent.  </w:t>
      </w:r>
      <w:r w:rsidRPr="00BF27A0">
        <w:rPr>
          <w:rFonts w:ascii="Times New Roman" w:hAnsi="Times New Roman" w:cs="Times New Roman"/>
          <w:sz w:val="22"/>
          <w:szCs w:val="22"/>
        </w:rPr>
        <w:t>All parties in interest must be identified</w:t>
      </w:r>
      <w:r w:rsidRPr="00BF27A0" w:rsidR="00720E59">
        <w:rPr>
          <w:rFonts w:ascii="Times New Roman" w:hAnsi="Times New Roman" w:cs="Times New Roman"/>
          <w:sz w:val="22"/>
          <w:szCs w:val="22"/>
        </w:rPr>
        <w:t xml:space="preserve"> in the petition</w:t>
      </w:r>
      <w:r w:rsidRPr="00BF27A0" w:rsidR="00C54142">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0A4E5D"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Estoppel</w:t>
      </w:r>
      <w:r w:rsidRPr="00BF27A0">
        <w:rPr>
          <w:rFonts w:ascii="Times New Roman" w:hAnsi="Times New Roman" w:cs="Times New Roman"/>
          <w:sz w:val="22"/>
          <w:szCs w:val="22"/>
        </w:rPr>
        <w:t xml:space="preserve">: </w:t>
      </w:r>
      <w:r w:rsidRPr="00BF27A0" w:rsidR="00C54142">
        <w:rPr>
          <w:rFonts w:ascii="Times New Roman" w:hAnsi="Times New Roman" w:cs="Times New Roman"/>
          <w:sz w:val="22"/>
          <w:szCs w:val="22"/>
        </w:rPr>
        <w:t xml:space="preserve">The estoppel for a CBM ensures the </w:t>
      </w:r>
      <w:r w:rsidRPr="00BF27A0" w:rsidR="00212E06">
        <w:rPr>
          <w:rFonts w:ascii="Times New Roman" w:hAnsi="Times New Roman" w:cs="Times New Roman"/>
          <w:sz w:val="22"/>
          <w:szCs w:val="22"/>
        </w:rPr>
        <w:t>Petitioner</w:t>
      </w:r>
      <w:r w:rsidRPr="00BF27A0" w:rsidR="00C54142">
        <w:rPr>
          <w:rFonts w:ascii="Times New Roman" w:hAnsi="Times New Roman" w:cs="Times New Roman"/>
          <w:sz w:val="22"/>
          <w:szCs w:val="22"/>
        </w:rPr>
        <w:t xml:space="preserve"> only raises issues that were </w:t>
      </w:r>
      <w:r w:rsidRPr="00BF27A0" w:rsidR="00CD6F90">
        <w:rPr>
          <w:rFonts w:ascii="Times New Roman" w:hAnsi="Times New Roman" w:cs="Times New Roman"/>
          <w:sz w:val="22"/>
          <w:szCs w:val="22"/>
        </w:rPr>
        <w:t>raised</w:t>
      </w:r>
      <w:r w:rsidRPr="00BF27A0" w:rsidR="00C54142">
        <w:rPr>
          <w:rFonts w:ascii="Times New Roman" w:hAnsi="Times New Roman" w:cs="Times New Roman"/>
          <w:sz w:val="22"/>
          <w:szCs w:val="22"/>
        </w:rPr>
        <w:t xml:space="preserve"> in the initial proceedings</w:t>
      </w:r>
      <w:r w:rsidRPr="00BF27A0" w:rsidR="00FB6BA1">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0A4E5D" w:rsidRPr="00B55FB7" w:rsidP="00BF27A0">
      <w:pPr>
        <w:pStyle w:val="ListParagraph"/>
        <w:numPr>
          <w:ilvl w:val="2"/>
          <w:numId w:val="1"/>
        </w:numPr>
        <w:spacing w:before="240" w:line="240" w:lineRule="auto"/>
        <w:rPr>
          <w:rFonts w:ascii="Times New Roman" w:hAnsi="Times New Roman" w:cs="Times New Roman"/>
          <w:sz w:val="22"/>
          <w:szCs w:val="22"/>
          <w:u w:val="single"/>
        </w:rPr>
      </w:pPr>
      <w:r w:rsidRPr="00BF27A0">
        <w:rPr>
          <w:rFonts w:ascii="Times New Roman" w:hAnsi="Times New Roman" w:cs="Times New Roman"/>
          <w:i/>
          <w:sz w:val="22"/>
          <w:szCs w:val="22"/>
          <w:u w:val="single"/>
        </w:rPr>
        <w:t>Standard</w:t>
      </w:r>
      <w:r w:rsidRPr="00BF27A0" w:rsidR="005752D2">
        <w:rPr>
          <w:rFonts w:ascii="Times New Roman" w:hAnsi="Times New Roman" w:cs="Times New Roman"/>
          <w:sz w:val="22"/>
          <w:szCs w:val="22"/>
        </w:rPr>
        <w:t xml:space="preserve">: </w:t>
      </w:r>
      <w:r w:rsidRPr="00BF27A0" w:rsidR="00532E5A">
        <w:rPr>
          <w:rFonts w:ascii="Times New Roman" w:hAnsi="Times New Roman" w:cs="Times New Roman"/>
          <w:sz w:val="22"/>
          <w:szCs w:val="22"/>
        </w:rPr>
        <w:t>The standard for a CBM is m</w:t>
      </w:r>
      <w:r w:rsidRPr="00BF27A0" w:rsidR="00621D21">
        <w:rPr>
          <w:rFonts w:ascii="Times New Roman" w:hAnsi="Times New Roman" w:cs="Times New Roman"/>
          <w:sz w:val="22"/>
          <w:szCs w:val="22"/>
        </w:rPr>
        <w:t xml:space="preserve">ore likely than not </w:t>
      </w:r>
      <w:r w:rsidRPr="00BF27A0" w:rsidR="00532E5A">
        <w:rPr>
          <w:rFonts w:ascii="Times New Roman" w:hAnsi="Times New Roman" w:cs="Times New Roman"/>
          <w:sz w:val="22"/>
          <w:szCs w:val="22"/>
        </w:rPr>
        <w:t>or</w:t>
      </w:r>
      <w:r w:rsidRPr="00BF27A0" w:rsidR="00621D21">
        <w:rPr>
          <w:rFonts w:ascii="Times New Roman" w:hAnsi="Times New Roman" w:cs="Times New Roman"/>
          <w:sz w:val="22"/>
          <w:szCs w:val="22"/>
        </w:rPr>
        <w:t xml:space="preserve"> novel or unsettled legal question important to other patents/applications.</w:t>
      </w:r>
    </w:p>
    <w:p w:rsidR="00B55FB7" w:rsidRPr="00BF27A0" w:rsidP="00B55FB7">
      <w:pPr>
        <w:pStyle w:val="ListParagraph"/>
        <w:spacing w:before="240" w:line="240" w:lineRule="auto"/>
        <w:ind w:left="1080"/>
        <w:rPr>
          <w:rFonts w:ascii="Times New Roman" w:hAnsi="Times New Roman" w:cs="Times New Roman"/>
          <w:sz w:val="22"/>
          <w:szCs w:val="22"/>
          <w:u w:val="single"/>
        </w:rPr>
      </w:pPr>
    </w:p>
    <w:p w:rsidR="000A4E5D"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Basis</w:t>
      </w:r>
      <w:r w:rsidRPr="00BF27A0">
        <w:rPr>
          <w:rFonts w:ascii="Times New Roman" w:hAnsi="Times New Roman" w:cs="Times New Roman"/>
          <w:sz w:val="22"/>
          <w:szCs w:val="22"/>
        </w:rPr>
        <w:t>:</w:t>
      </w:r>
      <w:r w:rsidRPr="00BF27A0" w:rsidR="00621D21">
        <w:rPr>
          <w:rFonts w:ascii="Times New Roman" w:hAnsi="Times New Roman" w:cs="Times New Roman"/>
          <w:sz w:val="22"/>
          <w:szCs w:val="22"/>
        </w:rPr>
        <w:t xml:space="preserve"> </w:t>
      </w:r>
      <w:r w:rsidRPr="00BF27A0" w:rsidR="00532E5A">
        <w:rPr>
          <w:rFonts w:ascii="Times New Roman" w:hAnsi="Times New Roman" w:cs="Times New Roman"/>
          <w:sz w:val="22"/>
          <w:szCs w:val="22"/>
        </w:rPr>
        <w:t>The basis for a CMB is l</w:t>
      </w:r>
      <w:r w:rsidRPr="00BF27A0" w:rsidR="00BE0039">
        <w:rPr>
          <w:rFonts w:ascii="Times New Roman" w:hAnsi="Times New Roman" w:cs="Times New Roman"/>
          <w:sz w:val="22"/>
          <w:szCs w:val="22"/>
        </w:rPr>
        <w:t xml:space="preserve">ike </w:t>
      </w:r>
      <w:r w:rsidRPr="00BF27A0" w:rsidR="00532E5A">
        <w:rPr>
          <w:rFonts w:ascii="Times New Roman" w:hAnsi="Times New Roman" w:cs="Times New Roman"/>
          <w:sz w:val="22"/>
          <w:szCs w:val="22"/>
        </w:rPr>
        <w:t xml:space="preserve">the basis for </w:t>
      </w:r>
      <w:r w:rsidRPr="00BF27A0" w:rsidR="00BE0039">
        <w:rPr>
          <w:rFonts w:ascii="Times New Roman" w:hAnsi="Times New Roman" w:cs="Times New Roman"/>
          <w:sz w:val="22"/>
          <w:szCs w:val="22"/>
        </w:rPr>
        <w:t xml:space="preserve">PGR, but </w:t>
      </w:r>
      <w:r w:rsidRPr="00BF27A0" w:rsidR="00532E5A">
        <w:rPr>
          <w:rFonts w:ascii="Times New Roman" w:hAnsi="Times New Roman" w:cs="Times New Roman"/>
          <w:sz w:val="22"/>
          <w:szCs w:val="22"/>
        </w:rPr>
        <w:t>the P</w:t>
      </w:r>
      <w:r w:rsidRPr="00BF27A0" w:rsidR="00212E06">
        <w:rPr>
          <w:rFonts w:ascii="Times New Roman" w:hAnsi="Times New Roman" w:cs="Times New Roman"/>
          <w:sz w:val="22"/>
          <w:szCs w:val="22"/>
        </w:rPr>
        <w:t>et</w:t>
      </w:r>
      <w:r w:rsidRPr="00BF27A0" w:rsidR="00532E5A">
        <w:rPr>
          <w:rFonts w:ascii="Times New Roman" w:hAnsi="Times New Roman" w:cs="Times New Roman"/>
          <w:sz w:val="22"/>
          <w:szCs w:val="22"/>
        </w:rPr>
        <w:t xml:space="preserve">itioner </w:t>
      </w:r>
      <w:r w:rsidRPr="00BF27A0" w:rsidR="00720E59">
        <w:rPr>
          <w:rFonts w:ascii="Times New Roman" w:hAnsi="Times New Roman" w:cs="Times New Roman"/>
          <w:sz w:val="22"/>
          <w:szCs w:val="22"/>
        </w:rPr>
        <w:t xml:space="preserve">cannot base </w:t>
      </w:r>
      <w:r w:rsidRPr="00BF27A0" w:rsidR="00212E06">
        <w:rPr>
          <w:rFonts w:ascii="Times New Roman" w:hAnsi="Times New Roman" w:cs="Times New Roman"/>
          <w:sz w:val="22"/>
          <w:szCs w:val="22"/>
        </w:rPr>
        <w:t xml:space="preserve">the </w:t>
      </w:r>
      <w:r w:rsidRPr="00BF27A0" w:rsidR="00720E59">
        <w:rPr>
          <w:rFonts w:ascii="Times New Roman" w:hAnsi="Times New Roman" w:cs="Times New Roman"/>
          <w:sz w:val="22"/>
          <w:szCs w:val="22"/>
        </w:rPr>
        <w:t>challenge on</w:t>
      </w:r>
      <w:r w:rsidRPr="00BF27A0" w:rsidR="00BE0039">
        <w:rPr>
          <w:rFonts w:ascii="Times New Roman" w:hAnsi="Times New Roman" w:cs="Times New Roman"/>
          <w:sz w:val="22"/>
          <w:szCs w:val="22"/>
        </w:rPr>
        <w:t xml:space="preserve"> 35 U.S.C. </w:t>
      </w:r>
      <w:r w:rsidRPr="00BF27A0" w:rsidR="00720E59">
        <w:rPr>
          <w:rFonts w:ascii="Times New Roman" w:hAnsi="Times New Roman" w:cs="Times New Roman"/>
          <w:sz w:val="22"/>
          <w:szCs w:val="22"/>
        </w:rPr>
        <w:t>§ </w:t>
      </w:r>
      <w:r w:rsidRPr="00BF27A0" w:rsidR="00BE0039">
        <w:rPr>
          <w:rFonts w:ascii="Times New Roman" w:hAnsi="Times New Roman" w:cs="Times New Roman"/>
          <w:sz w:val="22"/>
          <w:szCs w:val="22"/>
        </w:rPr>
        <w:t>102(e) prior art</w:t>
      </w:r>
      <w:r w:rsidRPr="00BF27A0" w:rsidR="00621D21">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621D21"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Availability</w:t>
      </w:r>
      <w:r w:rsidRPr="00BF27A0">
        <w:rPr>
          <w:rFonts w:ascii="Times New Roman" w:hAnsi="Times New Roman" w:cs="Times New Roman"/>
          <w:sz w:val="22"/>
          <w:szCs w:val="22"/>
        </w:rPr>
        <w:t xml:space="preserve">: </w:t>
      </w:r>
      <w:r w:rsidRPr="00BF27A0" w:rsidR="00FB6BA1">
        <w:rPr>
          <w:rFonts w:ascii="Times New Roman" w:hAnsi="Times New Roman" w:cs="Times New Roman"/>
          <w:sz w:val="22"/>
          <w:szCs w:val="22"/>
        </w:rPr>
        <w:t>A CBM cannot be used during the period that a PGR could be used against the patent.  The claims challenged in a CBM need to focus on a problem in the method or corresponding apparatus for either performing data processing or other operations used in the practice, administration, or management of a financial product or service.  A CBM can</w:t>
      </w:r>
      <w:r w:rsidRPr="00BF27A0" w:rsidR="00273CA9">
        <w:rPr>
          <w:rFonts w:ascii="Times New Roman" w:hAnsi="Times New Roman" w:cs="Times New Roman"/>
          <w:sz w:val="22"/>
          <w:szCs w:val="22"/>
        </w:rPr>
        <w:t>’</w:t>
      </w:r>
      <w:r w:rsidRPr="00BF27A0" w:rsidR="00FB6BA1">
        <w:rPr>
          <w:rFonts w:ascii="Times New Roman" w:hAnsi="Times New Roman" w:cs="Times New Roman"/>
          <w:sz w:val="22"/>
          <w:szCs w:val="22"/>
        </w:rPr>
        <w:t>t challenge a claim for a technological invention.</w:t>
      </w:r>
    </w:p>
    <w:p w:rsidR="00B55FB7" w:rsidRPr="00BF27A0" w:rsidP="00B55FB7">
      <w:pPr>
        <w:pStyle w:val="ListParagraph"/>
        <w:spacing w:before="240" w:line="240" w:lineRule="auto"/>
        <w:ind w:left="1080"/>
        <w:rPr>
          <w:rFonts w:ascii="Times New Roman" w:hAnsi="Times New Roman" w:cs="Times New Roman"/>
          <w:sz w:val="22"/>
          <w:szCs w:val="22"/>
        </w:rPr>
      </w:pPr>
    </w:p>
    <w:p w:rsidR="00621D21"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Applicability</w:t>
      </w:r>
      <w:r w:rsidRPr="00BF27A0">
        <w:rPr>
          <w:rFonts w:ascii="Times New Roman" w:hAnsi="Times New Roman" w:cs="Times New Roman"/>
          <w:sz w:val="22"/>
          <w:szCs w:val="22"/>
        </w:rPr>
        <w:t>:</w:t>
      </w:r>
      <w:r w:rsidRPr="00BF27A0" w:rsidR="009615DD">
        <w:rPr>
          <w:rFonts w:ascii="Times New Roman" w:hAnsi="Times New Roman" w:cs="Times New Roman"/>
          <w:sz w:val="22"/>
          <w:szCs w:val="22"/>
        </w:rPr>
        <w:t xml:space="preserve"> Patents issued under first-to-invent and first-inventor-to-file</w:t>
      </w:r>
      <w:r w:rsidRPr="00BF27A0" w:rsidR="00720E59">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F26F3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Timing</w:t>
      </w:r>
      <w:r w:rsidRPr="00BF27A0">
        <w:rPr>
          <w:rFonts w:ascii="Times New Roman" w:hAnsi="Times New Roman" w:cs="Times New Roman"/>
          <w:sz w:val="22"/>
          <w:szCs w:val="22"/>
        </w:rPr>
        <w:t>:</w:t>
      </w:r>
      <w:r w:rsidRPr="00BF27A0" w:rsidR="009615DD">
        <w:rPr>
          <w:rFonts w:ascii="Times New Roman" w:hAnsi="Times New Roman" w:cs="Times New Roman"/>
          <w:sz w:val="22"/>
          <w:szCs w:val="22"/>
        </w:rPr>
        <w:t xml:space="preserve"> Must be completed within 12 months from institution, with 6 months good cause exception possible</w:t>
      </w:r>
      <w:r w:rsidRPr="00BF27A0" w:rsidR="00A41CB4">
        <w:rPr>
          <w:rFonts w:ascii="Times New Roman" w:hAnsi="Times New Roman" w:cs="Times New Roman"/>
          <w:sz w:val="22"/>
          <w:szCs w:val="22"/>
        </w:rPr>
        <w:t xml:space="preserve"> at the discretion of the PTAB</w:t>
      </w:r>
      <w:r w:rsidRPr="00BF27A0">
        <w:rPr>
          <w:rFonts w:ascii="Times New Roman" w:hAnsi="Times New Roman" w:cs="Times New Roman"/>
          <w:sz w:val="22"/>
          <w:szCs w:val="22"/>
        </w:rPr>
        <w:t xml:space="preserve">. </w:t>
      </w:r>
    </w:p>
    <w:p w:rsidR="00B55FB7" w:rsidRPr="00BF27A0" w:rsidP="00B55FB7">
      <w:pPr>
        <w:pStyle w:val="ListParagraph"/>
        <w:spacing w:before="240" w:line="240" w:lineRule="auto"/>
        <w:ind w:left="1080"/>
        <w:rPr>
          <w:rFonts w:ascii="Times New Roman" w:hAnsi="Times New Roman" w:cs="Times New Roman"/>
          <w:sz w:val="22"/>
          <w:szCs w:val="22"/>
        </w:rPr>
      </w:pPr>
    </w:p>
    <w:p w:rsidR="00F26F3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Settlements</w:t>
      </w:r>
      <w:r w:rsidRPr="00BF27A0">
        <w:rPr>
          <w:rFonts w:ascii="Times New Roman" w:hAnsi="Times New Roman" w:cs="Times New Roman"/>
          <w:sz w:val="22"/>
          <w:szCs w:val="22"/>
        </w:rPr>
        <w:t>: Settlements are possible.</w:t>
      </w:r>
    </w:p>
    <w:p w:rsidR="00B55FB7" w:rsidRPr="00BF27A0" w:rsidP="00B55FB7">
      <w:pPr>
        <w:pStyle w:val="ListParagraph"/>
        <w:spacing w:before="240" w:line="240" w:lineRule="auto"/>
        <w:ind w:left="1080"/>
        <w:rPr>
          <w:rFonts w:ascii="Times New Roman" w:hAnsi="Times New Roman" w:cs="Times New Roman"/>
          <w:sz w:val="22"/>
          <w:szCs w:val="22"/>
        </w:rPr>
      </w:pPr>
    </w:p>
    <w:p w:rsidR="00621D21"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Appeals</w:t>
      </w:r>
      <w:r w:rsidRPr="00BF27A0">
        <w:rPr>
          <w:rFonts w:ascii="Times New Roman" w:hAnsi="Times New Roman" w:cs="Times New Roman"/>
          <w:sz w:val="22"/>
          <w:szCs w:val="22"/>
        </w:rPr>
        <w:t>:  Appeals to a PTAB</w:t>
      </w:r>
      <w:r w:rsidRPr="00BF27A0" w:rsidR="00273CA9">
        <w:rPr>
          <w:rFonts w:ascii="Times New Roman" w:hAnsi="Times New Roman" w:cs="Times New Roman"/>
          <w:sz w:val="22"/>
          <w:szCs w:val="22"/>
        </w:rPr>
        <w:t>’</w:t>
      </w:r>
      <w:r w:rsidRPr="00BF27A0">
        <w:rPr>
          <w:rFonts w:ascii="Times New Roman" w:hAnsi="Times New Roman" w:cs="Times New Roman"/>
          <w:sz w:val="22"/>
          <w:szCs w:val="22"/>
        </w:rPr>
        <w:t xml:space="preserve">s decision are heard by the </w:t>
      </w:r>
      <w:r w:rsidRPr="00BF27A0" w:rsidR="0047643F">
        <w:rPr>
          <w:rFonts w:ascii="Times New Roman" w:hAnsi="Times New Roman" w:cs="Times New Roman"/>
          <w:sz w:val="22"/>
          <w:szCs w:val="22"/>
        </w:rPr>
        <w:t>CAFC</w:t>
      </w:r>
      <w:r w:rsidRPr="00BF27A0">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937DB2" w:rsidP="00BF27A0">
      <w:pPr>
        <w:pStyle w:val="ListParagraph"/>
        <w:numPr>
          <w:ilvl w:val="1"/>
          <w:numId w:val="1"/>
        </w:numPr>
        <w:spacing w:before="240" w:line="240" w:lineRule="auto"/>
        <w:rPr>
          <w:rFonts w:ascii="Times New Roman" w:hAnsi="Times New Roman" w:cs="Times New Roman"/>
          <w:sz w:val="22"/>
          <w:szCs w:val="22"/>
          <w:u w:val="single"/>
        </w:rPr>
      </w:pPr>
      <w:r w:rsidRPr="00BF27A0">
        <w:rPr>
          <w:rFonts w:ascii="Times New Roman" w:hAnsi="Times New Roman" w:cs="Times New Roman"/>
          <w:i/>
          <w:sz w:val="22"/>
          <w:szCs w:val="22"/>
          <w:u w:val="single"/>
        </w:rPr>
        <w:t>Ex parte</w:t>
      </w:r>
      <w:r w:rsidRPr="00BF27A0">
        <w:rPr>
          <w:rFonts w:ascii="Times New Roman" w:hAnsi="Times New Roman" w:cs="Times New Roman"/>
          <w:sz w:val="22"/>
          <w:szCs w:val="22"/>
          <w:u w:val="single"/>
        </w:rPr>
        <w:t xml:space="preserve"> </w:t>
      </w:r>
      <w:r w:rsidRPr="00BF27A0" w:rsidR="00235200">
        <w:rPr>
          <w:rFonts w:ascii="Times New Roman" w:hAnsi="Times New Roman" w:cs="Times New Roman"/>
          <w:sz w:val="22"/>
          <w:szCs w:val="22"/>
          <w:u w:val="single"/>
        </w:rPr>
        <w:t>Ree</w:t>
      </w:r>
      <w:r w:rsidRPr="00BF27A0">
        <w:rPr>
          <w:rFonts w:ascii="Times New Roman" w:hAnsi="Times New Roman" w:cs="Times New Roman"/>
          <w:sz w:val="22"/>
          <w:szCs w:val="22"/>
          <w:u w:val="single"/>
        </w:rPr>
        <w:t>xamination</w:t>
      </w:r>
      <w:r w:rsidRPr="00BF27A0" w:rsidR="00DA022E">
        <w:rPr>
          <w:rFonts w:ascii="Times New Roman" w:hAnsi="Times New Roman" w:cs="Times New Roman"/>
          <w:sz w:val="22"/>
          <w:szCs w:val="22"/>
          <w:u w:val="single"/>
        </w:rPr>
        <w:t xml:space="preserve"> (</w:t>
      </w:r>
      <w:r w:rsidRPr="00BF27A0" w:rsidR="00DA022E">
        <w:rPr>
          <w:rFonts w:ascii="Times New Roman" w:hAnsi="Times New Roman" w:cs="Times New Roman"/>
          <w:sz w:val="22"/>
          <w:szCs w:val="22"/>
          <w:u w:val="single"/>
          <w:shd w:val="clear" w:color="auto" w:fill="FFFFFF"/>
        </w:rPr>
        <w:t>35 U.S.C. Ch. 30)</w:t>
      </w:r>
      <w:r w:rsidRPr="00BF27A0" w:rsidR="00235200">
        <w:rPr>
          <w:rFonts w:ascii="Times New Roman" w:hAnsi="Times New Roman" w:cs="Times New Roman"/>
          <w:sz w:val="22"/>
          <w:szCs w:val="22"/>
          <w:u w:val="single"/>
        </w:rPr>
        <w:t>:</w:t>
      </w:r>
    </w:p>
    <w:p w:rsidR="00B55FB7" w:rsidRPr="00BF27A0" w:rsidP="00B55FB7">
      <w:pPr>
        <w:pStyle w:val="ListParagraph"/>
        <w:spacing w:before="240" w:line="240" w:lineRule="auto"/>
        <w:rPr>
          <w:rFonts w:ascii="Times New Roman" w:hAnsi="Times New Roman" w:cs="Times New Roman"/>
          <w:sz w:val="22"/>
          <w:szCs w:val="22"/>
          <w:u w:val="single"/>
        </w:rPr>
      </w:pPr>
    </w:p>
    <w:p w:rsidR="0023520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Petitioner</w:t>
      </w:r>
      <w:r w:rsidRPr="00BF27A0">
        <w:rPr>
          <w:rFonts w:ascii="Times New Roman" w:hAnsi="Times New Roman" w:cs="Times New Roman"/>
          <w:sz w:val="22"/>
          <w:szCs w:val="22"/>
        </w:rPr>
        <w:t xml:space="preserve">: Anyone can </w:t>
      </w:r>
      <w:r w:rsidRPr="00BF27A0" w:rsidR="009108AA">
        <w:rPr>
          <w:rFonts w:ascii="Times New Roman" w:hAnsi="Times New Roman" w:cs="Times New Roman"/>
          <w:sz w:val="22"/>
          <w:szCs w:val="22"/>
        </w:rPr>
        <w:t xml:space="preserve">initiate </w:t>
      </w:r>
      <w:r w:rsidRPr="00BF27A0" w:rsidR="00CD6F90">
        <w:rPr>
          <w:rFonts w:ascii="Times New Roman" w:hAnsi="Times New Roman" w:cs="Times New Roman"/>
          <w:i/>
          <w:sz w:val="22"/>
          <w:szCs w:val="22"/>
        </w:rPr>
        <w:t>Ex parte</w:t>
      </w:r>
      <w:r w:rsidRPr="00BF27A0" w:rsidR="009108AA">
        <w:rPr>
          <w:rFonts w:ascii="Times New Roman" w:hAnsi="Times New Roman" w:cs="Times New Roman"/>
          <w:sz w:val="22"/>
          <w:szCs w:val="22"/>
        </w:rPr>
        <w:t xml:space="preserve"> Reexam, including the patent owner, a third party, and even the USPTO Director</w:t>
      </w:r>
      <w:r w:rsidRPr="00BF27A0" w:rsidR="00F26F32">
        <w:rPr>
          <w:rFonts w:ascii="Times New Roman" w:hAnsi="Times New Roman" w:cs="Times New Roman"/>
          <w:sz w:val="22"/>
          <w:szCs w:val="22"/>
        </w:rPr>
        <w:t>. The real party in interest does not need to be identified (</w:t>
      </w:r>
      <w:r w:rsidRPr="00BF27A0" w:rsidR="00A41CB4">
        <w:rPr>
          <w:rFonts w:ascii="Times New Roman" w:hAnsi="Times New Roman" w:cs="Times New Roman"/>
          <w:sz w:val="22"/>
          <w:szCs w:val="22"/>
        </w:rPr>
        <w:t xml:space="preserve">i.e., the </w:t>
      </w:r>
      <w:r w:rsidRPr="00BF27A0" w:rsidR="00212E06">
        <w:rPr>
          <w:rFonts w:ascii="Times New Roman" w:hAnsi="Times New Roman" w:cs="Times New Roman"/>
          <w:sz w:val="22"/>
          <w:szCs w:val="22"/>
        </w:rPr>
        <w:t>P</w:t>
      </w:r>
      <w:r w:rsidRPr="00BF27A0" w:rsidR="00A41CB4">
        <w:rPr>
          <w:rFonts w:ascii="Times New Roman" w:hAnsi="Times New Roman" w:cs="Times New Roman"/>
          <w:sz w:val="22"/>
          <w:szCs w:val="22"/>
        </w:rPr>
        <w:t xml:space="preserve">etitioner </w:t>
      </w:r>
      <w:r w:rsidRPr="00BF27A0" w:rsidR="00F26F32">
        <w:rPr>
          <w:rFonts w:ascii="Times New Roman" w:hAnsi="Times New Roman" w:cs="Times New Roman"/>
          <w:sz w:val="22"/>
          <w:szCs w:val="22"/>
        </w:rPr>
        <w:t>can be anonymous).</w:t>
      </w:r>
      <w:r w:rsidRPr="00BF27A0">
        <w:rPr>
          <w:rFonts w:ascii="Times New Roman" w:hAnsi="Times New Roman" w:cs="Times New Roman"/>
          <w:sz w:val="22"/>
          <w:szCs w:val="22"/>
        </w:rPr>
        <w:t xml:space="preserve"> </w:t>
      </w:r>
    </w:p>
    <w:p w:rsidR="00B55FB7" w:rsidRPr="00BF27A0" w:rsidP="00B55FB7">
      <w:pPr>
        <w:pStyle w:val="ListParagraph"/>
        <w:spacing w:before="240" w:line="240" w:lineRule="auto"/>
        <w:ind w:left="1080"/>
        <w:rPr>
          <w:rFonts w:ascii="Times New Roman" w:hAnsi="Times New Roman" w:cs="Times New Roman"/>
          <w:sz w:val="22"/>
          <w:szCs w:val="22"/>
        </w:rPr>
      </w:pPr>
    </w:p>
    <w:p w:rsidR="0023520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Estoppel</w:t>
      </w:r>
      <w:r w:rsidRPr="00BF27A0" w:rsidR="00BE0039">
        <w:rPr>
          <w:rFonts w:ascii="Times New Roman" w:hAnsi="Times New Roman" w:cs="Times New Roman"/>
          <w:sz w:val="22"/>
          <w:szCs w:val="22"/>
        </w:rPr>
        <w:t xml:space="preserve">: </w:t>
      </w:r>
      <w:r w:rsidRPr="00BF27A0" w:rsidR="00F26F32">
        <w:rPr>
          <w:rFonts w:ascii="Times New Roman" w:hAnsi="Times New Roman" w:cs="Times New Roman"/>
          <w:sz w:val="22"/>
          <w:szCs w:val="22"/>
        </w:rPr>
        <w:t>There is no</w:t>
      </w:r>
      <w:r w:rsidRPr="00BF27A0" w:rsidR="009108AA">
        <w:rPr>
          <w:rFonts w:ascii="Times New Roman" w:hAnsi="Times New Roman" w:cs="Times New Roman"/>
          <w:sz w:val="22"/>
          <w:szCs w:val="22"/>
        </w:rPr>
        <w:t xml:space="preserve"> legal estoppel</w:t>
      </w:r>
      <w:r w:rsidRPr="00BF27A0" w:rsidR="00F26F32">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23520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Standard</w:t>
      </w:r>
      <w:r w:rsidRPr="00BF27A0" w:rsidR="00BE0039">
        <w:rPr>
          <w:rFonts w:ascii="Times New Roman" w:hAnsi="Times New Roman" w:cs="Times New Roman"/>
          <w:sz w:val="22"/>
          <w:szCs w:val="22"/>
        </w:rPr>
        <w:t>:</w:t>
      </w:r>
      <w:r w:rsidRPr="00BF27A0" w:rsidR="009108AA">
        <w:rPr>
          <w:rFonts w:ascii="Times New Roman" w:hAnsi="Times New Roman" w:cs="Times New Roman"/>
          <w:sz w:val="22"/>
          <w:szCs w:val="22"/>
        </w:rPr>
        <w:t xml:space="preserve"> </w:t>
      </w:r>
      <w:r w:rsidRPr="00BF27A0" w:rsidR="00BE0039">
        <w:rPr>
          <w:rFonts w:ascii="Times New Roman" w:hAnsi="Times New Roman" w:cs="Times New Roman"/>
          <w:sz w:val="22"/>
          <w:szCs w:val="22"/>
        </w:rPr>
        <w:t xml:space="preserve">The threshold standard is </w:t>
      </w:r>
      <w:r w:rsidRPr="00BF27A0" w:rsidR="00F26F32">
        <w:rPr>
          <w:rFonts w:ascii="Times New Roman" w:hAnsi="Times New Roman" w:cs="Times New Roman"/>
          <w:sz w:val="22"/>
          <w:szCs w:val="22"/>
        </w:rPr>
        <w:t xml:space="preserve">a substantial new question of patentability </w:t>
      </w:r>
      <w:r w:rsidRPr="00BF27A0" w:rsidR="00BE0039">
        <w:rPr>
          <w:rFonts w:ascii="Times New Roman" w:hAnsi="Times New Roman" w:cs="Times New Roman"/>
          <w:sz w:val="22"/>
          <w:szCs w:val="22"/>
        </w:rPr>
        <w:t>(what a reasonable examiner would important in determining the patentability of the claims)</w:t>
      </w:r>
      <w:r w:rsidRPr="00BF27A0" w:rsidR="00F26F32">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235200" w:rsidRPr="00B55FB7" w:rsidP="00BF27A0">
      <w:pPr>
        <w:pStyle w:val="ListParagraph"/>
        <w:numPr>
          <w:ilvl w:val="2"/>
          <w:numId w:val="1"/>
        </w:numPr>
        <w:spacing w:before="240" w:line="240" w:lineRule="auto"/>
        <w:rPr>
          <w:rFonts w:ascii="Times New Roman" w:hAnsi="Times New Roman" w:cs="Times New Roman"/>
          <w:sz w:val="22"/>
          <w:szCs w:val="22"/>
          <w:u w:val="single"/>
        </w:rPr>
      </w:pPr>
      <w:r w:rsidRPr="00BF27A0">
        <w:rPr>
          <w:rFonts w:ascii="Times New Roman" w:hAnsi="Times New Roman" w:cs="Times New Roman"/>
          <w:i/>
          <w:sz w:val="22"/>
          <w:szCs w:val="22"/>
          <w:u w:val="single"/>
        </w:rPr>
        <w:t>Basis</w:t>
      </w:r>
      <w:r w:rsidRPr="00BF27A0" w:rsidR="009108AA">
        <w:rPr>
          <w:rFonts w:ascii="Times New Roman" w:hAnsi="Times New Roman" w:cs="Times New Roman"/>
          <w:sz w:val="22"/>
          <w:szCs w:val="22"/>
        </w:rPr>
        <w:t xml:space="preserve">:  </w:t>
      </w:r>
      <w:r w:rsidRPr="00BF27A0" w:rsidR="00BE0039">
        <w:rPr>
          <w:rFonts w:ascii="Times New Roman" w:hAnsi="Times New Roman" w:cs="Times New Roman"/>
          <w:sz w:val="22"/>
          <w:szCs w:val="22"/>
        </w:rPr>
        <w:t xml:space="preserve">An </w:t>
      </w:r>
      <w:r w:rsidRPr="00BF27A0" w:rsidR="00CD6F90">
        <w:rPr>
          <w:rFonts w:ascii="Times New Roman" w:hAnsi="Times New Roman" w:cs="Times New Roman"/>
          <w:i/>
          <w:sz w:val="22"/>
          <w:szCs w:val="22"/>
        </w:rPr>
        <w:t xml:space="preserve">Ex </w:t>
      </w:r>
      <w:r w:rsidRPr="00BF27A0" w:rsidR="00CD6F90">
        <w:rPr>
          <w:rFonts w:ascii="Times New Roman" w:hAnsi="Times New Roman" w:cs="Times New Roman"/>
          <w:i/>
          <w:sz w:val="22"/>
          <w:szCs w:val="22"/>
        </w:rPr>
        <w:t>parte</w:t>
      </w:r>
      <w:r w:rsidRPr="00BF27A0" w:rsidR="00BE0039">
        <w:rPr>
          <w:rFonts w:ascii="Times New Roman" w:hAnsi="Times New Roman" w:cs="Times New Roman"/>
          <w:sz w:val="22"/>
          <w:szCs w:val="22"/>
        </w:rPr>
        <w:t xml:space="preserve"> Reexam can be based on lack of novelty (35 U.S.C. </w:t>
      </w:r>
      <w:r w:rsidRPr="00BF27A0" w:rsidR="00A41CB4">
        <w:rPr>
          <w:rFonts w:ascii="Times New Roman" w:hAnsi="Times New Roman" w:cs="Times New Roman"/>
          <w:sz w:val="22"/>
          <w:szCs w:val="22"/>
        </w:rPr>
        <w:t xml:space="preserve">§ </w:t>
      </w:r>
      <w:r w:rsidRPr="00BF27A0" w:rsidR="00BE0039">
        <w:rPr>
          <w:rFonts w:ascii="Times New Roman" w:hAnsi="Times New Roman" w:cs="Times New Roman"/>
          <w:sz w:val="22"/>
          <w:szCs w:val="22"/>
        </w:rPr>
        <w:t xml:space="preserve">102) and obviousness (35 U.S.C. </w:t>
      </w:r>
      <w:r w:rsidRPr="00BF27A0" w:rsidR="00A41CB4">
        <w:rPr>
          <w:rFonts w:ascii="Times New Roman" w:hAnsi="Times New Roman" w:cs="Times New Roman"/>
          <w:sz w:val="22"/>
          <w:szCs w:val="22"/>
        </w:rPr>
        <w:t xml:space="preserve">§ </w:t>
      </w:r>
      <w:r w:rsidRPr="00BF27A0" w:rsidR="00BE0039">
        <w:rPr>
          <w:rFonts w:ascii="Times New Roman" w:hAnsi="Times New Roman" w:cs="Times New Roman"/>
          <w:sz w:val="22"/>
          <w:szCs w:val="22"/>
        </w:rPr>
        <w:t xml:space="preserve">103) based on patents, published patent applications and printed </w:t>
      </w:r>
      <w:r w:rsidRPr="00BF27A0" w:rsidR="009108AA">
        <w:rPr>
          <w:rFonts w:ascii="Times New Roman" w:hAnsi="Times New Roman" w:cs="Times New Roman"/>
          <w:sz w:val="22"/>
          <w:szCs w:val="22"/>
        </w:rPr>
        <w:t>publications</w:t>
      </w:r>
      <w:r w:rsidRPr="00BF27A0" w:rsidR="00BE0039">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u w:val="single"/>
        </w:rPr>
      </w:pPr>
    </w:p>
    <w:p w:rsidR="0023520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Applicability</w:t>
      </w:r>
      <w:r w:rsidRPr="00BF27A0">
        <w:rPr>
          <w:rFonts w:ascii="Times New Roman" w:hAnsi="Times New Roman" w:cs="Times New Roman"/>
          <w:sz w:val="22"/>
          <w:szCs w:val="22"/>
        </w:rPr>
        <w:t xml:space="preserve">: </w:t>
      </w:r>
      <w:r w:rsidRPr="00BF27A0" w:rsidR="00CD6F90">
        <w:rPr>
          <w:rFonts w:ascii="Times New Roman" w:hAnsi="Times New Roman" w:cs="Times New Roman"/>
          <w:i/>
          <w:sz w:val="22"/>
          <w:szCs w:val="22"/>
        </w:rPr>
        <w:t>Ex parte</w:t>
      </w:r>
      <w:r w:rsidRPr="00BF27A0" w:rsidR="009108AA">
        <w:rPr>
          <w:rFonts w:ascii="Times New Roman" w:hAnsi="Times New Roman" w:cs="Times New Roman"/>
          <w:sz w:val="22"/>
          <w:szCs w:val="22"/>
        </w:rPr>
        <w:t xml:space="preserve"> Reexam is available for any patent</w:t>
      </w:r>
      <w:r w:rsidRPr="00BF27A0" w:rsidR="00A41CB4">
        <w:rPr>
          <w:rFonts w:ascii="Times New Roman" w:hAnsi="Times New Roman" w:cs="Times New Roman"/>
          <w:sz w:val="22"/>
          <w:szCs w:val="22"/>
        </w:rPr>
        <w:t>.</w:t>
      </w:r>
    </w:p>
    <w:p w:rsidR="00B55FB7" w:rsidRPr="00BF27A0" w:rsidP="00B55FB7">
      <w:pPr>
        <w:pStyle w:val="ListParagraph"/>
        <w:spacing w:before="240" w:line="240" w:lineRule="auto"/>
        <w:ind w:left="1080"/>
        <w:rPr>
          <w:rFonts w:ascii="Times New Roman" w:hAnsi="Times New Roman" w:cs="Times New Roman"/>
          <w:sz w:val="22"/>
          <w:szCs w:val="22"/>
        </w:rPr>
      </w:pPr>
    </w:p>
    <w:p w:rsidR="00235200" w:rsidRPr="00B55FB7" w:rsidP="00BF27A0">
      <w:pPr>
        <w:pStyle w:val="ListParagraph"/>
        <w:numPr>
          <w:ilvl w:val="2"/>
          <w:numId w:val="1"/>
        </w:numPr>
        <w:spacing w:before="240" w:line="240" w:lineRule="auto"/>
        <w:rPr>
          <w:rFonts w:ascii="Times New Roman" w:hAnsi="Times New Roman" w:cs="Times New Roman"/>
          <w:i/>
          <w:sz w:val="22"/>
          <w:szCs w:val="22"/>
          <w:u w:val="single"/>
        </w:rPr>
      </w:pPr>
      <w:r w:rsidRPr="00BF27A0">
        <w:rPr>
          <w:rFonts w:ascii="Times New Roman" w:hAnsi="Times New Roman" w:cs="Times New Roman"/>
          <w:i/>
          <w:sz w:val="22"/>
          <w:szCs w:val="22"/>
          <w:u w:val="single"/>
        </w:rPr>
        <w:t>Timing</w:t>
      </w:r>
      <w:r w:rsidRPr="00BF27A0" w:rsidR="0047643F">
        <w:rPr>
          <w:rFonts w:ascii="Times New Roman" w:hAnsi="Times New Roman" w:cs="Times New Roman"/>
          <w:sz w:val="22"/>
          <w:szCs w:val="22"/>
        </w:rPr>
        <w:t>:</w:t>
      </w:r>
      <w:r w:rsidRPr="00BF27A0" w:rsidR="00C638F2">
        <w:rPr>
          <w:rFonts w:ascii="Times New Roman" w:hAnsi="Times New Roman" w:cs="Times New Roman"/>
          <w:sz w:val="22"/>
          <w:szCs w:val="22"/>
        </w:rPr>
        <w:t xml:space="preserve"> </w:t>
      </w:r>
      <w:r w:rsidRPr="00BF27A0" w:rsidR="00551CC0">
        <w:rPr>
          <w:rFonts w:ascii="Times New Roman" w:hAnsi="Times New Roman" w:cs="Times New Roman"/>
          <w:sz w:val="22"/>
          <w:szCs w:val="22"/>
        </w:rPr>
        <w:t xml:space="preserve">An </w:t>
      </w:r>
      <w:r w:rsidRPr="00BF27A0" w:rsidR="00CD6F90">
        <w:rPr>
          <w:rFonts w:ascii="Times New Roman" w:hAnsi="Times New Roman" w:cs="Times New Roman"/>
          <w:i/>
          <w:sz w:val="22"/>
          <w:szCs w:val="22"/>
        </w:rPr>
        <w:t>Ex parte</w:t>
      </w:r>
      <w:r w:rsidRPr="00BF27A0" w:rsidR="00551CC0">
        <w:rPr>
          <w:rFonts w:ascii="Times New Roman" w:hAnsi="Times New Roman" w:cs="Times New Roman"/>
          <w:sz w:val="22"/>
          <w:szCs w:val="22"/>
        </w:rPr>
        <w:t xml:space="preserve"> Reexam can be filed at any time during enforceability of patent (which can be 6 years past expiration </w:t>
      </w:r>
      <w:r w:rsidRPr="00BF27A0" w:rsidR="00A41CB4">
        <w:rPr>
          <w:rFonts w:ascii="Times New Roman" w:hAnsi="Times New Roman" w:cs="Times New Roman"/>
          <w:sz w:val="22"/>
          <w:szCs w:val="22"/>
        </w:rPr>
        <w:t xml:space="preserve">of the patent term </w:t>
      </w:r>
      <w:r w:rsidRPr="00BF27A0" w:rsidR="00551CC0">
        <w:rPr>
          <w:rFonts w:ascii="Times New Roman" w:hAnsi="Times New Roman" w:cs="Times New Roman"/>
          <w:sz w:val="22"/>
          <w:szCs w:val="22"/>
        </w:rPr>
        <w:t xml:space="preserve">due to past damages). </w:t>
      </w:r>
      <w:r w:rsidRPr="00BF27A0" w:rsidR="00C638F2">
        <w:rPr>
          <w:rFonts w:ascii="Times New Roman" w:hAnsi="Times New Roman" w:cs="Times New Roman"/>
          <w:sz w:val="22"/>
          <w:szCs w:val="22"/>
        </w:rPr>
        <w:t>The USPTO</w:t>
      </w:r>
      <w:r w:rsidRPr="00BF27A0" w:rsidR="00273CA9">
        <w:rPr>
          <w:rFonts w:ascii="Times New Roman" w:hAnsi="Times New Roman" w:cs="Times New Roman"/>
          <w:sz w:val="22"/>
          <w:szCs w:val="22"/>
        </w:rPr>
        <w:t>’</w:t>
      </w:r>
      <w:r w:rsidRPr="00BF27A0" w:rsidR="00503AA5">
        <w:rPr>
          <w:rFonts w:ascii="Times New Roman" w:hAnsi="Times New Roman" w:cs="Times New Roman"/>
          <w:sz w:val="22"/>
          <w:szCs w:val="22"/>
        </w:rPr>
        <w:t>s goal is</w:t>
      </w:r>
      <w:r w:rsidRPr="00BF27A0" w:rsidR="00C638F2">
        <w:rPr>
          <w:rFonts w:ascii="Times New Roman" w:hAnsi="Times New Roman" w:cs="Times New Roman"/>
          <w:sz w:val="22"/>
          <w:szCs w:val="22"/>
        </w:rPr>
        <w:t xml:space="preserve"> to have </w:t>
      </w:r>
      <w:r w:rsidRPr="00BF27A0" w:rsidR="00CD6F90">
        <w:rPr>
          <w:rFonts w:ascii="Times New Roman" w:hAnsi="Times New Roman" w:cs="Times New Roman"/>
          <w:i/>
          <w:sz w:val="22"/>
          <w:szCs w:val="22"/>
        </w:rPr>
        <w:t>Ex parte</w:t>
      </w:r>
      <w:r w:rsidRPr="00BF27A0" w:rsidR="00C638F2">
        <w:rPr>
          <w:rFonts w:ascii="Times New Roman" w:hAnsi="Times New Roman" w:cs="Times New Roman"/>
          <w:sz w:val="22"/>
          <w:szCs w:val="22"/>
        </w:rPr>
        <w:t xml:space="preserve"> Reexam completed in less than two years.</w:t>
      </w:r>
      <w:r w:rsidRPr="00BF27A0" w:rsidR="009D4F8F">
        <w:rPr>
          <w:rFonts w:ascii="Times New Roman" w:hAnsi="Times New Roman" w:cs="Times New Roman"/>
          <w:sz w:val="22"/>
          <w:szCs w:val="22"/>
        </w:rPr>
        <w:t xml:space="preserve">  If a broadening reissue is sought, it must be filed within 2 years of patent date.</w:t>
      </w:r>
    </w:p>
    <w:p w:rsidR="00B55FB7" w:rsidRPr="00BF27A0" w:rsidP="00B55FB7">
      <w:pPr>
        <w:pStyle w:val="ListParagraph"/>
        <w:spacing w:before="240" w:line="240" w:lineRule="auto"/>
        <w:ind w:left="1080"/>
        <w:rPr>
          <w:rFonts w:ascii="Times New Roman" w:hAnsi="Times New Roman" w:cs="Times New Roman"/>
          <w:i/>
          <w:sz w:val="22"/>
          <w:szCs w:val="22"/>
          <w:u w:val="single"/>
        </w:rPr>
      </w:pPr>
    </w:p>
    <w:p w:rsidR="00F26F32" w:rsidRPr="00B55FB7" w:rsidP="00BF27A0">
      <w:pPr>
        <w:pStyle w:val="ListParagraph"/>
        <w:numPr>
          <w:ilvl w:val="2"/>
          <w:numId w:val="1"/>
        </w:numPr>
        <w:spacing w:before="240" w:line="240" w:lineRule="auto"/>
        <w:rPr>
          <w:rFonts w:ascii="Times New Roman" w:hAnsi="Times New Roman" w:cs="Times New Roman"/>
          <w:i/>
          <w:sz w:val="22"/>
          <w:szCs w:val="22"/>
          <w:u w:val="single"/>
        </w:rPr>
      </w:pPr>
      <w:r w:rsidRPr="00BF27A0">
        <w:rPr>
          <w:rFonts w:ascii="Times New Roman" w:hAnsi="Times New Roman" w:cs="Times New Roman"/>
          <w:i/>
          <w:sz w:val="22"/>
          <w:szCs w:val="22"/>
          <w:u w:val="single"/>
        </w:rPr>
        <w:t>Settlements</w:t>
      </w:r>
      <w:r w:rsidRPr="00BF27A0">
        <w:rPr>
          <w:rFonts w:ascii="Times New Roman" w:hAnsi="Times New Roman" w:cs="Times New Roman"/>
          <w:sz w:val="22"/>
          <w:szCs w:val="22"/>
        </w:rPr>
        <w:t>:</w:t>
      </w:r>
      <w:r w:rsidRPr="00BF27A0" w:rsidR="0047643F">
        <w:rPr>
          <w:rFonts w:ascii="Times New Roman" w:hAnsi="Times New Roman" w:cs="Times New Roman"/>
          <w:sz w:val="22"/>
          <w:szCs w:val="22"/>
        </w:rPr>
        <w:t xml:space="preserve"> Settlements are not possible.</w:t>
      </w:r>
    </w:p>
    <w:p w:rsidR="00B55FB7" w:rsidRPr="00BF27A0" w:rsidP="00B55FB7">
      <w:pPr>
        <w:pStyle w:val="ListParagraph"/>
        <w:spacing w:before="240" w:line="240" w:lineRule="auto"/>
        <w:ind w:left="1080"/>
        <w:rPr>
          <w:rFonts w:ascii="Times New Roman" w:hAnsi="Times New Roman" w:cs="Times New Roman"/>
          <w:i/>
          <w:sz w:val="22"/>
          <w:szCs w:val="22"/>
          <w:u w:val="single"/>
        </w:rPr>
      </w:pPr>
    </w:p>
    <w:p w:rsidR="00937DB2"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Appeals</w:t>
      </w:r>
      <w:r w:rsidRPr="00BF27A0">
        <w:rPr>
          <w:rFonts w:ascii="Times New Roman" w:hAnsi="Times New Roman" w:cs="Times New Roman"/>
          <w:sz w:val="22"/>
          <w:szCs w:val="22"/>
        </w:rPr>
        <w:t xml:space="preserve">: Appeals </w:t>
      </w:r>
      <w:r w:rsidRPr="00BF27A0" w:rsidR="003A3F61">
        <w:rPr>
          <w:rFonts w:ascii="Times New Roman" w:hAnsi="Times New Roman" w:cs="Times New Roman"/>
          <w:sz w:val="22"/>
          <w:szCs w:val="22"/>
        </w:rPr>
        <w:t>of</w:t>
      </w:r>
      <w:r w:rsidRPr="00BF27A0">
        <w:rPr>
          <w:rFonts w:ascii="Times New Roman" w:hAnsi="Times New Roman" w:cs="Times New Roman"/>
          <w:sz w:val="22"/>
          <w:szCs w:val="22"/>
        </w:rPr>
        <w:t xml:space="preserve"> a PTAB decision are heard by the</w:t>
      </w:r>
      <w:r w:rsidRPr="00BF27A0" w:rsidR="0047643F">
        <w:rPr>
          <w:rFonts w:ascii="Times New Roman" w:hAnsi="Times New Roman" w:cs="Times New Roman"/>
          <w:sz w:val="22"/>
          <w:szCs w:val="22"/>
        </w:rPr>
        <w:t xml:space="preserve"> District Court o</w:t>
      </w:r>
      <w:r w:rsidRPr="00BF27A0" w:rsidR="003A3F61">
        <w:rPr>
          <w:rFonts w:ascii="Times New Roman" w:hAnsi="Times New Roman" w:cs="Times New Roman"/>
          <w:sz w:val="22"/>
          <w:szCs w:val="22"/>
        </w:rPr>
        <w:t>r</w:t>
      </w:r>
      <w:r w:rsidRPr="00BF27A0" w:rsidR="0047643F">
        <w:rPr>
          <w:rFonts w:ascii="Times New Roman" w:hAnsi="Times New Roman" w:cs="Times New Roman"/>
          <w:sz w:val="22"/>
          <w:szCs w:val="22"/>
        </w:rPr>
        <w:t xml:space="preserve"> the CAFC. </w:t>
      </w:r>
    </w:p>
    <w:p w:rsidR="00B55FB7" w:rsidRPr="00BF27A0" w:rsidP="00B55FB7">
      <w:pPr>
        <w:pStyle w:val="ListParagraph"/>
        <w:spacing w:before="240" w:line="240" w:lineRule="auto"/>
        <w:ind w:left="1080"/>
        <w:rPr>
          <w:rFonts w:ascii="Times New Roman" w:hAnsi="Times New Roman" w:cs="Times New Roman"/>
          <w:sz w:val="22"/>
          <w:szCs w:val="22"/>
        </w:rPr>
      </w:pPr>
    </w:p>
    <w:p w:rsidR="00503AA5"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Benefits</w:t>
      </w:r>
      <w:r w:rsidRPr="00BF27A0">
        <w:rPr>
          <w:rFonts w:ascii="Times New Roman" w:hAnsi="Times New Roman" w:cs="Times New Roman"/>
          <w:sz w:val="22"/>
          <w:szCs w:val="22"/>
        </w:rPr>
        <w:t xml:space="preserve">: </w:t>
      </w:r>
      <w:r w:rsidRPr="00BF27A0">
        <w:rPr>
          <w:rFonts w:ascii="Times New Roman" w:hAnsi="Times New Roman" w:cs="Times New Roman"/>
          <w:sz w:val="22"/>
          <w:szCs w:val="22"/>
        </w:rPr>
        <w:t xml:space="preserve">A reexamination proceeding can settle validity disputes </w:t>
      </w:r>
      <w:r w:rsidRPr="00BF27A0" w:rsidR="00FB48C7">
        <w:rPr>
          <w:rFonts w:ascii="Times New Roman" w:hAnsi="Times New Roman" w:cs="Times New Roman"/>
          <w:sz w:val="22"/>
          <w:szCs w:val="22"/>
        </w:rPr>
        <w:t>more quickly</w:t>
      </w:r>
      <w:r w:rsidRPr="00BF27A0">
        <w:rPr>
          <w:rFonts w:ascii="Times New Roman" w:hAnsi="Times New Roman" w:cs="Times New Roman"/>
          <w:sz w:val="22"/>
          <w:szCs w:val="22"/>
        </w:rPr>
        <w:t xml:space="preserve"> and less expensively than litigation.  </w:t>
      </w:r>
      <w:r w:rsidRPr="00BF27A0" w:rsidR="009D4F8F">
        <w:rPr>
          <w:rFonts w:ascii="Times New Roman" w:hAnsi="Times New Roman" w:cs="Times New Roman"/>
          <w:sz w:val="22"/>
          <w:szCs w:val="22"/>
        </w:rPr>
        <w:t xml:space="preserve">Reexaminations also benefit from a lower burden of proof (preponderance of the evidence) rather than the clear and convincing evidence standard required in federal court.  </w:t>
      </w:r>
      <w:r w:rsidRPr="00BF27A0">
        <w:rPr>
          <w:rFonts w:ascii="Times New Roman" w:hAnsi="Times New Roman" w:cs="Times New Roman"/>
          <w:sz w:val="22"/>
          <w:szCs w:val="22"/>
        </w:rPr>
        <w:t xml:space="preserve">Further, patent validity questions </w:t>
      </w:r>
      <w:r w:rsidRPr="00BF27A0" w:rsidR="00A41CB4">
        <w:rPr>
          <w:rFonts w:ascii="Times New Roman" w:hAnsi="Times New Roman" w:cs="Times New Roman"/>
          <w:sz w:val="22"/>
          <w:szCs w:val="22"/>
        </w:rPr>
        <w:t xml:space="preserve">are subject </w:t>
      </w:r>
      <w:r w:rsidRPr="00BF27A0">
        <w:rPr>
          <w:rFonts w:ascii="Times New Roman" w:hAnsi="Times New Roman" w:cs="Times New Roman"/>
          <w:sz w:val="22"/>
          <w:szCs w:val="22"/>
        </w:rPr>
        <w:t>to the expertise of the</w:t>
      </w:r>
      <w:r w:rsidRPr="00BF27A0" w:rsidR="00A41CB4">
        <w:rPr>
          <w:rFonts w:ascii="Times New Roman" w:hAnsi="Times New Roman" w:cs="Times New Roman"/>
          <w:sz w:val="22"/>
          <w:szCs w:val="22"/>
        </w:rPr>
        <w:t xml:space="preserve"> USPTO, as opposed to a jury of lay persons in a district court litigation</w:t>
      </w:r>
      <w:r w:rsidRPr="00BF27A0">
        <w:rPr>
          <w:rFonts w:ascii="Times New Roman" w:hAnsi="Times New Roman" w:cs="Times New Roman"/>
          <w:sz w:val="22"/>
          <w:szCs w:val="22"/>
        </w:rPr>
        <w:t>.  A reexamination proceeding reinforces investor confidence in the certainty of patent rights by giving the USPTO an opportunity to review doubtful patents.</w:t>
      </w:r>
    </w:p>
    <w:p w:rsidR="00B55FB7" w:rsidRPr="00BF27A0" w:rsidP="00B55FB7">
      <w:pPr>
        <w:pStyle w:val="ListParagraph"/>
        <w:spacing w:before="240" w:line="240" w:lineRule="auto"/>
        <w:ind w:left="1080"/>
        <w:rPr>
          <w:rFonts w:ascii="Times New Roman" w:hAnsi="Times New Roman" w:cs="Times New Roman"/>
          <w:sz w:val="22"/>
          <w:szCs w:val="22"/>
        </w:rPr>
      </w:pPr>
    </w:p>
    <w:p w:rsidR="004A273A" w:rsidRPr="00BF27A0" w:rsidP="00BF27A0">
      <w:pPr>
        <w:pStyle w:val="ListParagraph"/>
        <w:numPr>
          <w:ilvl w:val="2"/>
          <w:numId w:val="1"/>
        </w:numPr>
        <w:spacing w:before="240" w:line="240" w:lineRule="auto"/>
        <w:rPr>
          <w:rFonts w:ascii="Times New Roman" w:hAnsi="Times New Roman" w:cs="Times New Roman"/>
          <w:sz w:val="22"/>
          <w:szCs w:val="22"/>
        </w:rPr>
      </w:pPr>
      <w:r w:rsidRPr="00BF27A0">
        <w:rPr>
          <w:rFonts w:ascii="Times New Roman" w:hAnsi="Times New Roman" w:cs="Times New Roman"/>
          <w:i/>
          <w:sz w:val="22"/>
          <w:szCs w:val="22"/>
          <w:u w:val="single"/>
        </w:rPr>
        <w:t>Disadvantages</w:t>
      </w:r>
      <w:r w:rsidRPr="00BF27A0">
        <w:rPr>
          <w:rFonts w:ascii="Times New Roman" w:hAnsi="Times New Roman" w:cs="Times New Roman"/>
          <w:sz w:val="22"/>
          <w:szCs w:val="22"/>
        </w:rPr>
        <w:t>: Third-party requesters cannot take part in the proceedings once the initial request has been made</w:t>
      </w:r>
      <w:r w:rsidRPr="00BF27A0" w:rsidR="00CD6F90">
        <w:rPr>
          <w:rFonts w:ascii="Times New Roman" w:hAnsi="Times New Roman" w:cs="Times New Roman"/>
          <w:sz w:val="22"/>
          <w:szCs w:val="22"/>
        </w:rPr>
        <w:t xml:space="preserve"> (</w:t>
      </w:r>
      <w:r w:rsidRPr="00BF27A0" w:rsidR="009D4F8F">
        <w:rPr>
          <w:rFonts w:ascii="Times New Roman" w:hAnsi="Times New Roman" w:cs="Times New Roman"/>
          <w:sz w:val="22"/>
          <w:szCs w:val="22"/>
        </w:rPr>
        <w:t xml:space="preserve">unless the patent holder files a “Patent Owner’s Statement” in response to the </w:t>
      </w:r>
      <w:r w:rsidRPr="00BF27A0" w:rsidR="00CD6F90">
        <w:rPr>
          <w:rFonts w:ascii="Times New Roman" w:hAnsi="Times New Roman" w:cs="Times New Roman"/>
          <w:i/>
          <w:sz w:val="22"/>
          <w:szCs w:val="22"/>
        </w:rPr>
        <w:t>ex parte</w:t>
      </w:r>
      <w:r w:rsidRPr="00BF27A0" w:rsidR="009D4F8F">
        <w:rPr>
          <w:rFonts w:ascii="Times New Roman" w:hAnsi="Times New Roman" w:cs="Times New Roman"/>
          <w:sz w:val="22"/>
          <w:szCs w:val="22"/>
        </w:rPr>
        <w:t xml:space="preserve"> request</w:t>
      </w:r>
      <w:r w:rsidRPr="00BF27A0" w:rsidR="00CD6F90">
        <w:rPr>
          <w:rFonts w:ascii="Times New Roman" w:hAnsi="Times New Roman" w:cs="Times New Roman"/>
          <w:sz w:val="22"/>
          <w:szCs w:val="22"/>
        </w:rPr>
        <w:t>)</w:t>
      </w:r>
      <w:r w:rsidRPr="00BF27A0" w:rsidR="009D4F8F">
        <w:rPr>
          <w:rFonts w:ascii="Times New Roman" w:hAnsi="Times New Roman" w:cs="Times New Roman"/>
          <w:sz w:val="22"/>
          <w:szCs w:val="22"/>
        </w:rPr>
        <w:t xml:space="preserve">.  </w:t>
      </w:r>
      <w:r w:rsidRPr="00BF27A0">
        <w:rPr>
          <w:rFonts w:ascii="Times New Roman" w:hAnsi="Times New Roman" w:cs="Times New Roman"/>
          <w:sz w:val="22"/>
          <w:szCs w:val="22"/>
        </w:rPr>
        <w:t xml:space="preserve">A third-party requester </w:t>
      </w:r>
      <w:r w:rsidRPr="00BF27A0" w:rsidR="00A41CB4">
        <w:rPr>
          <w:rFonts w:ascii="Times New Roman" w:hAnsi="Times New Roman" w:cs="Times New Roman"/>
          <w:sz w:val="22"/>
          <w:szCs w:val="22"/>
        </w:rPr>
        <w:t xml:space="preserve">cannot </w:t>
      </w:r>
      <w:r w:rsidRPr="00BF27A0">
        <w:rPr>
          <w:rFonts w:ascii="Times New Roman" w:hAnsi="Times New Roman" w:cs="Times New Roman"/>
          <w:sz w:val="22"/>
          <w:szCs w:val="22"/>
        </w:rPr>
        <w:t>stop the issuance of a reexamination certificate that determines certain claims patentable.</w:t>
      </w:r>
      <w:r w:rsidRPr="00BF27A0" w:rsidR="00551CC0">
        <w:rPr>
          <w:rFonts w:ascii="Times New Roman" w:hAnsi="Times New Roman" w:cs="Times New Roman"/>
          <w:sz w:val="22"/>
          <w:szCs w:val="22"/>
        </w:rPr>
        <w:t xml:space="preserve"> </w:t>
      </w:r>
      <w:r w:rsidRPr="00BF27A0">
        <w:rPr>
          <w:rFonts w:ascii="Times New Roman" w:hAnsi="Times New Roman" w:cs="Times New Roman"/>
          <w:sz w:val="22"/>
          <w:szCs w:val="22"/>
        </w:rPr>
        <w:t xml:space="preserve">A third-party requester </w:t>
      </w:r>
      <w:r w:rsidRPr="00BF27A0" w:rsidR="00A41CB4">
        <w:rPr>
          <w:rFonts w:ascii="Times New Roman" w:hAnsi="Times New Roman" w:cs="Times New Roman"/>
          <w:sz w:val="22"/>
          <w:szCs w:val="22"/>
        </w:rPr>
        <w:t xml:space="preserve">cannot </w:t>
      </w:r>
      <w:r w:rsidRPr="00BF27A0">
        <w:rPr>
          <w:rFonts w:ascii="Times New Roman" w:hAnsi="Times New Roman" w:cs="Times New Roman"/>
          <w:sz w:val="22"/>
          <w:szCs w:val="22"/>
        </w:rPr>
        <w:t xml:space="preserve">stop a patent owner from amending the existing claims or adding claims of the same scope to make </w:t>
      </w:r>
      <w:r w:rsidRPr="00BF27A0" w:rsidR="00A41CB4">
        <w:rPr>
          <w:rFonts w:ascii="Times New Roman" w:hAnsi="Times New Roman" w:cs="Times New Roman"/>
          <w:sz w:val="22"/>
          <w:szCs w:val="22"/>
        </w:rPr>
        <w:t xml:space="preserve">its </w:t>
      </w:r>
      <w:r w:rsidRPr="00BF27A0">
        <w:rPr>
          <w:rFonts w:ascii="Times New Roman" w:hAnsi="Times New Roman" w:cs="Times New Roman"/>
          <w:sz w:val="22"/>
          <w:szCs w:val="22"/>
        </w:rPr>
        <w:t>claim</w:t>
      </w:r>
      <w:r w:rsidRPr="00BF27A0" w:rsidR="00A41CB4">
        <w:rPr>
          <w:rFonts w:ascii="Times New Roman" w:hAnsi="Times New Roman" w:cs="Times New Roman"/>
          <w:sz w:val="22"/>
          <w:szCs w:val="22"/>
        </w:rPr>
        <w:t>s</w:t>
      </w:r>
      <w:r w:rsidRPr="00BF27A0">
        <w:rPr>
          <w:rFonts w:ascii="Times New Roman" w:hAnsi="Times New Roman" w:cs="Times New Roman"/>
          <w:sz w:val="22"/>
          <w:szCs w:val="22"/>
        </w:rPr>
        <w:t xml:space="preserve"> stronger</w:t>
      </w:r>
      <w:r w:rsidRPr="00BF27A0" w:rsidR="00462847">
        <w:rPr>
          <w:rFonts w:ascii="Times New Roman" w:hAnsi="Times New Roman" w:cs="Times New Roman"/>
          <w:sz w:val="22"/>
          <w:szCs w:val="22"/>
        </w:rPr>
        <w:t>.  Nor can a third-party requester participate in</w:t>
      </w:r>
      <w:r w:rsidRPr="00BF27A0" w:rsidR="00551CC0">
        <w:rPr>
          <w:rFonts w:ascii="Times New Roman" w:hAnsi="Times New Roman" w:cs="Times New Roman"/>
          <w:sz w:val="22"/>
          <w:szCs w:val="22"/>
        </w:rPr>
        <w:t xml:space="preserve"> interviews</w:t>
      </w:r>
      <w:r w:rsidRPr="00BF27A0" w:rsidR="00462847">
        <w:rPr>
          <w:rFonts w:ascii="Times New Roman" w:hAnsi="Times New Roman" w:cs="Times New Roman"/>
          <w:sz w:val="22"/>
          <w:szCs w:val="22"/>
        </w:rPr>
        <w:t xml:space="preserve"> between the patent owner and the examiner</w:t>
      </w:r>
      <w:r w:rsidRPr="00BF27A0">
        <w:rPr>
          <w:rFonts w:ascii="Times New Roman" w:hAnsi="Times New Roman" w:cs="Times New Roman"/>
          <w:sz w:val="22"/>
          <w:szCs w:val="22"/>
        </w:rPr>
        <w:t>.</w:t>
      </w:r>
      <w:r w:rsidRPr="00BF27A0" w:rsidR="00551CC0">
        <w:rPr>
          <w:rFonts w:ascii="Times New Roman" w:hAnsi="Times New Roman" w:cs="Times New Roman"/>
          <w:sz w:val="22"/>
          <w:szCs w:val="22"/>
        </w:rPr>
        <w:t xml:space="preserve"> </w:t>
      </w:r>
      <w:r w:rsidRPr="00BF27A0">
        <w:rPr>
          <w:rFonts w:ascii="Times New Roman" w:hAnsi="Times New Roman" w:cs="Times New Roman"/>
          <w:sz w:val="22"/>
          <w:szCs w:val="22"/>
        </w:rPr>
        <w:t>The third-party requester can</w:t>
      </w:r>
      <w:r w:rsidRPr="00BF27A0" w:rsidR="00273CA9">
        <w:rPr>
          <w:rFonts w:ascii="Times New Roman" w:hAnsi="Times New Roman" w:cs="Times New Roman"/>
          <w:sz w:val="22"/>
          <w:szCs w:val="22"/>
        </w:rPr>
        <w:t>’</w:t>
      </w:r>
      <w:r w:rsidRPr="00BF27A0">
        <w:rPr>
          <w:rFonts w:ascii="Times New Roman" w:hAnsi="Times New Roman" w:cs="Times New Roman"/>
          <w:sz w:val="22"/>
          <w:szCs w:val="22"/>
        </w:rPr>
        <w:t xml:space="preserve">t stop a broadened reissue from being filed by the patent owner and having the </w:t>
      </w:r>
      <w:r w:rsidRPr="00BF27A0" w:rsidR="00CD6F90">
        <w:rPr>
          <w:rFonts w:ascii="Times New Roman" w:hAnsi="Times New Roman" w:cs="Times New Roman"/>
          <w:i/>
          <w:sz w:val="22"/>
          <w:szCs w:val="22"/>
        </w:rPr>
        <w:t>ex parte</w:t>
      </w:r>
      <w:r w:rsidRPr="00BF27A0">
        <w:rPr>
          <w:rFonts w:ascii="Times New Roman" w:hAnsi="Times New Roman" w:cs="Times New Roman"/>
          <w:sz w:val="22"/>
          <w:szCs w:val="22"/>
        </w:rPr>
        <w:t xml:space="preserve"> reexamination proceeding merge with the new application.</w:t>
      </w:r>
      <w:r w:rsidRPr="00BF27A0" w:rsidR="00551CC0">
        <w:rPr>
          <w:rFonts w:ascii="Times New Roman" w:hAnsi="Times New Roman" w:cs="Times New Roman"/>
          <w:sz w:val="22"/>
          <w:szCs w:val="22"/>
        </w:rPr>
        <w:t xml:space="preserve">  </w:t>
      </w:r>
      <w:r w:rsidRPr="00BF27A0">
        <w:rPr>
          <w:rFonts w:ascii="Times New Roman" w:hAnsi="Times New Roman" w:cs="Times New Roman"/>
          <w:sz w:val="22"/>
          <w:szCs w:val="22"/>
        </w:rPr>
        <w:t xml:space="preserve">A reexamination certificate may be issued, meaning that the original patent will have gone through two USPTO decisions. This will make that patent even </w:t>
      </w:r>
      <w:r w:rsidRPr="00BF27A0" w:rsidR="00551CC0">
        <w:rPr>
          <w:rFonts w:ascii="Times New Roman" w:hAnsi="Times New Roman" w:cs="Times New Roman"/>
          <w:sz w:val="22"/>
          <w:szCs w:val="22"/>
        </w:rPr>
        <w:t>stronger</w:t>
      </w:r>
      <w:r w:rsidRPr="00BF27A0" w:rsidR="00462847">
        <w:rPr>
          <w:rFonts w:ascii="Times New Roman" w:hAnsi="Times New Roman" w:cs="Times New Roman"/>
          <w:sz w:val="22"/>
          <w:szCs w:val="22"/>
        </w:rPr>
        <w:t xml:space="preserve">, i.e., more difficult to prove invalid by clear and convincing evidence in </w:t>
      </w:r>
      <w:r w:rsidRPr="00BF27A0" w:rsidR="00B23693">
        <w:rPr>
          <w:rFonts w:ascii="Times New Roman" w:hAnsi="Times New Roman" w:cs="Times New Roman"/>
          <w:sz w:val="22"/>
          <w:szCs w:val="22"/>
        </w:rPr>
        <w:t>a subsequent</w:t>
      </w:r>
      <w:r w:rsidRPr="00BF27A0" w:rsidR="00462847">
        <w:rPr>
          <w:rFonts w:ascii="Times New Roman" w:hAnsi="Times New Roman" w:cs="Times New Roman"/>
          <w:sz w:val="22"/>
          <w:szCs w:val="22"/>
        </w:rPr>
        <w:t xml:space="preserve"> federal court proceeding</w:t>
      </w:r>
      <w:r w:rsidRPr="00BF27A0" w:rsidR="00551CC0">
        <w:rPr>
          <w:rFonts w:ascii="Times New Roman" w:hAnsi="Times New Roman" w:cs="Times New Roman"/>
          <w:sz w:val="22"/>
          <w:szCs w:val="22"/>
        </w:rPr>
        <w:t>.</w:t>
      </w:r>
    </w:p>
    <w:sectPr>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D1D" w:rsidRPr="00B55FB7">
    <w:pPr>
      <w:pStyle w:val="Footer"/>
      <w:tabs>
        <w:tab w:val="clear" w:pos="4680"/>
        <w:tab w:val="clear" w:pos="9360"/>
      </w:tabs>
      <w:jc w:val="center"/>
      <w:rPr>
        <w:rFonts w:ascii="Times New Roman" w:hAnsi="Times New Roman" w:cs="Times New Roman"/>
        <w:caps/>
        <w:noProof/>
        <w:sz w:val="22"/>
        <w:szCs w:val="22"/>
      </w:rPr>
    </w:pPr>
    <w:r w:rsidRPr="00B55FB7">
      <w:rPr>
        <w:rFonts w:ascii="Times New Roman" w:hAnsi="Times New Roman" w:cs="Times New Roman"/>
        <w:caps/>
        <w:sz w:val="22"/>
        <w:szCs w:val="22"/>
      </w:rPr>
      <w:fldChar w:fldCharType="begin"/>
    </w:r>
    <w:r w:rsidRPr="00B55FB7">
      <w:rPr>
        <w:rFonts w:ascii="Times New Roman" w:hAnsi="Times New Roman" w:cs="Times New Roman"/>
        <w:caps/>
        <w:sz w:val="22"/>
        <w:szCs w:val="22"/>
      </w:rPr>
      <w:instrText xml:space="preserve"> PAGE   \* MERGEFORMAT </w:instrText>
    </w:r>
    <w:r w:rsidRPr="00B55FB7">
      <w:rPr>
        <w:rFonts w:ascii="Times New Roman" w:hAnsi="Times New Roman" w:cs="Times New Roman"/>
        <w:caps/>
        <w:sz w:val="22"/>
        <w:szCs w:val="22"/>
      </w:rPr>
      <w:fldChar w:fldCharType="separate"/>
    </w:r>
    <w:r w:rsidRPr="00B55FB7">
      <w:rPr>
        <w:rFonts w:ascii="Times New Roman" w:hAnsi="Times New Roman" w:cs="Times New Roman"/>
        <w:caps/>
        <w:noProof/>
        <w:sz w:val="22"/>
        <w:szCs w:val="22"/>
      </w:rPr>
      <w:t>2</w:t>
    </w:r>
    <w:r w:rsidRPr="00B55FB7">
      <w:rPr>
        <w:rFonts w:ascii="Times New Roman" w:hAnsi="Times New Roman" w:cs="Times New Roman"/>
        <w:caps/>
        <w:noProof/>
        <w:sz w:val="22"/>
        <w:szCs w:val="22"/>
      </w:rPr>
      <w:fldChar w:fldCharType="end"/>
    </w:r>
  </w:p>
  <w:p w:rsidR="009E6D1D" w:rsidRPr="00B55FB7">
    <w:pPr>
      <w:pStyle w:val="Footer"/>
      <w:rPr>
        <w:rFonts w:ascii="Times New Roman" w:hAnsi="Times New Roman" w:cs="Times New Roman"/>
        <w:sz w:val="22"/>
        <w:szCs w:val="2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F84BB9"/>
    <w:multiLevelType w:val="hybridMultilevel"/>
    <w:tmpl w:val="54EA2CCE"/>
    <w:lvl w:ilvl="0">
      <w:start w:val="0"/>
      <w:numFmt w:val="bullet"/>
      <w:lvlText w:val=""/>
      <w:lvlJc w:val="left"/>
      <w:pPr>
        <w:ind w:left="5400" w:hanging="720"/>
      </w:pPr>
      <w:rPr>
        <w:rFonts w:ascii="Wingdings" w:hAnsi="Wingdings" w:eastAsiaTheme="minorHAnsi" w:cs="Times New Roman" w:hint="default"/>
      </w:rPr>
    </w:lvl>
    <w:lvl w:ilvl="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
    <w:nsid w:val="316E7C0A"/>
    <w:multiLevelType w:val="hybridMultilevel"/>
    <w:tmpl w:val="9D541634"/>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2">
    <w:nsid w:val="48937B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E5A"/>
  </w:style>
  <w:style w:type="paragraph" w:styleId="Heading1">
    <w:name w:val="heading 1"/>
    <w:basedOn w:val="Normal"/>
    <w:next w:val="Normal"/>
    <w:link w:val="Heading1Char"/>
    <w:uiPriority w:val="9"/>
    <w:qFormat/>
    <w:rsid w:val="00532E5A"/>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532E5A"/>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532E5A"/>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532E5A"/>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532E5A"/>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532E5A"/>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532E5A"/>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32E5A"/>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532E5A"/>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2CB"/>
    <w:pPr>
      <w:ind w:left="720"/>
      <w:contextualSpacing/>
    </w:pPr>
  </w:style>
  <w:style w:type="paragraph" w:styleId="Header">
    <w:name w:val="header"/>
    <w:basedOn w:val="Normal"/>
    <w:link w:val="HeaderChar"/>
    <w:uiPriority w:val="99"/>
    <w:unhideWhenUsed/>
    <w:rsid w:val="009E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D1D"/>
  </w:style>
  <w:style w:type="paragraph" w:styleId="Footer">
    <w:name w:val="footer"/>
    <w:basedOn w:val="Normal"/>
    <w:link w:val="FooterChar"/>
    <w:uiPriority w:val="99"/>
    <w:unhideWhenUsed/>
    <w:rsid w:val="009E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D1D"/>
  </w:style>
  <w:style w:type="paragraph" w:styleId="BalloonText">
    <w:name w:val="Balloon Text"/>
    <w:basedOn w:val="Normal"/>
    <w:link w:val="BalloonTextChar"/>
    <w:uiPriority w:val="99"/>
    <w:semiHidden/>
    <w:unhideWhenUsed/>
    <w:rsid w:val="00B4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88F"/>
    <w:rPr>
      <w:rFonts w:ascii="Segoe UI" w:hAnsi="Segoe UI" w:cs="Segoe UI"/>
      <w:sz w:val="18"/>
      <w:szCs w:val="18"/>
    </w:rPr>
  </w:style>
  <w:style w:type="character" w:styleId="CommentReference">
    <w:name w:val="annotation reference"/>
    <w:basedOn w:val="DefaultParagraphFont"/>
    <w:uiPriority w:val="99"/>
    <w:semiHidden/>
    <w:unhideWhenUsed/>
    <w:rsid w:val="00B4588F"/>
    <w:rPr>
      <w:sz w:val="16"/>
      <w:szCs w:val="16"/>
    </w:rPr>
  </w:style>
  <w:style w:type="paragraph" w:styleId="CommentText">
    <w:name w:val="annotation text"/>
    <w:basedOn w:val="Normal"/>
    <w:link w:val="CommentTextChar"/>
    <w:uiPriority w:val="99"/>
    <w:semiHidden/>
    <w:unhideWhenUsed/>
    <w:rsid w:val="00B4588F"/>
    <w:pPr>
      <w:spacing w:line="240" w:lineRule="auto"/>
    </w:pPr>
    <w:rPr>
      <w:sz w:val="20"/>
      <w:szCs w:val="20"/>
    </w:rPr>
  </w:style>
  <w:style w:type="character" w:customStyle="1" w:styleId="CommentTextChar">
    <w:name w:val="Comment Text Char"/>
    <w:basedOn w:val="DefaultParagraphFont"/>
    <w:link w:val="CommentText"/>
    <w:uiPriority w:val="99"/>
    <w:semiHidden/>
    <w:rsid w:val="00B4588F"/>
    <w:rPr>
      <w:sz w:val="20"/>
      <w:szCs w:val="20"/>
    </w:rPr>
  </w:style>
  <w:style w:type="paragraph" w:styleId="CommentSubject">
    <w:name w:val="annotation subject"/>
    <w:basedOn w:val="CommentText"/>
    <w:next w:val="CommentText"/>
    <w:link w:val="CommentSubjectChar"/>
    <w:uiPriority w:val="99"/>
    <w:semiHidden/>
    <w:unhideWhenUsed/>
    <w:rsid w:val="00B4588F"/>
    <w:rPr>
      <w:b/>
      <w:bCs/>
    </w:rPr>
  </w:style>
  <w:style w:type="character" w:customStyle="1" w:styleId="CommentSubjectChar">
    <w:name w:val="Comment Subject Char"/>
    <w:basedOn w:val="CommentTextChar"/>
    <w:link w:val="CommentSubject"/>
    <w:uiPriority w:val="99"/>
    <w:semiHidden/>
    <w:rsid w:val="00B4588F"/>
    <w:rPr>
      <w:b/>
      <w:bCs/>
      <w:sz w:val="20"/>
      <w:szCs w:val="20"/>
    </w:rPr>
  </w:style>
  <w:style w:type="character" w:customStyle="1" w:styleId="Heading1Char">
    <w:name w:val="Heading 1 Char"/>
    <w:basedOn w:val="DefaultParagraphFont"/>
    <w:link w:val="Heading1"/>
    <w:uiPriority w:val="9"/>
    <w:rsid w:val="00532E5A"/>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532E5A"/>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532E5A"/>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532E5A"/>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532E5A"/>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532E5A"/>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532E5A"/>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532E5A"/>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532E5A"/>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532E5A"/>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532E5A"/>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32E5A"/>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532E5A"/>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532E5A"/>
    <w:rPr>
      <w:color w:val="000000" w:themeColor="text1"/>
      <w:sz w:val="24"/>
      <w:szCs w:val="24"/>
    </w:rPr>
  </w:style>
  <w:style w:type="character" w:styleId="Strong">
    <w:name w:val="Strong"/>
    <w:basedOn w:val="DefaultParagraphFont"/>
    <w:uiPriority w:val="22"/>
    <w:qFormat/>
    <w:rsid w:val="00532E5A"/>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532E5A"/>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532E5A"/>
    <w:pPr>
      <w:spacing w:after="0" w:line="240" w:lineRule="auto"/>
    </w:pPr>
  </w:style>
  <w:style w:type="paragraph" w:styleId="Quote">
    <w:name w:val="Quote"/>
    <w:basedOn w:val="Normal"/>
    <w:next w:val="Normal"/>
    <w:link w:val="QuoteChar"/>
    <w:uiPriority w:val="29"/>
    <w:qFormat/>
    <w:rsid w:val="00532E5A"/>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532E5A"/>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532E5A"/>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532E5A"/>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532E5A"/>
    <w:rPr>
      <w:i/>
      <w:iCs/>
      <w:color w:val="auto"/>
    </w:rPr>
  </w:style>
  <w:style w:type="character" w:styleId="IntenseEmphasis">
    <w:name w:val="Intense Emphasis"/>
    <w:basedOn w:val="DefaultParagraphFont"/>
    <w:uiPriority w:val="21"/>
    <w:qFormat/>
    <w:rsid w:val="00532E5A"/>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532E5A"/>
    <w:rPr>
      <w:rFonts w:asciiTheme="minorHAnsi" w:eastAsiaTheme="minorEastAsia" w:hAnsiTheme="minorHAnsi" w:cstheme="minorBidi"/>
      <w:caps w:val="0"/>
      <w:smallCaps/>
      <w:color w:val="auto"/>
      <w:spacing w:val="10"/>
      <w:w w:val="100"/>
      <w:sz w:val="20"/>
      <w:szCs w:val="20"/>
      <w:u w:val="single" w:color="7F7F7F"/>
    </w:rPr>
  </w:style>
  <w:style w:type="character" w:styleId="IntenseReference">
    <w:name w:val="Intense Reference"/>
    <w:basedOn w:val="DefaultParagraphFont"/>
    <w:uiPriority w:val="32"/>
    <w:qFormat/>
    <w:rsid w:val="00532E5A"/>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32E5A"/>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532E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74EE24D0132744907E6944E6985C3B" ma:contentTypeVersion="10" ma:contentTypeDescription="Create a new document." ma:contentTypeScope="" ma:versionID="313c3da765bdbef8ded4cad92f07dce5">
  <xsd:schema xmlns:xsd="http://www.w3.org/2001/XMLSchema" xmlns:xs="http://www.w3.org/2001/XMLSchema" xmlns:p="http://schemas.microsoft.com/office/2006/metadata/properties" xmlns:ns3="87f8310a-c269-4b0a-ac72-ed523356a1fc" targetNamespace="http://schemas.microsoft.com/office/2006/metadata/properties" ma:root="true" ma:fieldsID="9379c563030a0dfb71e9039e5581be82" ns3:_="">
    <xsd:import namespace="87f8310a-c269-4b0a-ac72-ed523356a1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8310a-c269-4b0a-ac72-ed523356a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67C7E-8DDA-418A-B706-49DA81C7EC58}">
  <ds:schemaRefs>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87f8310a-c269-4b0a-ac72-ed523356a1fc"/>
    <ds:schemaRef ds:uri="http://purl.org/dc/dcmitype/"/>
    <ds:schemaRef ds:uri="http://purl.org/dc/elements/1.1/"/>
  </ds:schemaRefs>
</ds:datastoreItem>
</file>

<file path=customXml/itemProps2.xml><?xml version="1.0" encoding="utf-8"?>
<ds:datastoreItem xmlns:ds="http://schemas.openxmlformats.org/officeDocument/2006/customXml" ds:itemID="{29553924-3BD3-4B9B-B46A-449C0F2F97BB}">
  <ds:schemaRefs>
    <ds:schemaRef ds:uri="http://schemas.microsoft.com/sharepoint/v3/contenttype/forms"/>
  </ds:schemaRefs>
</ds:datastoreItem>
</file>

<file path=customXml/itemProps3.xml><?xml version="1.0" encoding="utf-8"?>
<ds:datastoreItem xmlns:ds="http://schemas.openxmlformats.org/officeDocument/2006/customXml" ds:itemID="{FC14E26C-ACE4-4D95-853F-35D52678F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8310a-c269-4b0a-ac72-ed523356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BCD7C7-5B18-483D-B508-B78FAE33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5836</Words>
  <Characters>30696</Characters>
  <Application>Microsoft Office Word</Application>
  <DocSecurity>0</DocSecurity>
  <Lines>257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