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C4151" w14:textId="3C30BBD7" w:rsidR="00F23CB1" w:rsidRDefault="000748F2" w:rsidP="008F34C5">
      <w:pPr>
        <w:spacing w:line="240" w:lineRule="auto"/>
        <w:jc w:val="center"/>
      </w:pPr>
      <w:r>
        <w:rPr>
          <w:i/>
        </w:rPr>
        <w:t>Is the Conservation Reserve Program a Clean Water Act Trap for the Unwary?</w:t>
      </w:r>
    </w:p>
    <w:p w14:paraId="492C4152" w14:textId="77777777" w:rsidR="008F34C5" w:rsidRDefault="008F34C5" w:rsidP="008F34C5">
      <w:pPr>
        <w:spacing w:line="240" w:lineRule="auto"/>
        <w:jc w:val="center"/>
      </w:pPr>
    </w:p>
    <w:p w14:paraId="492C4153" w14:textId="77777777" w:rsidR="008F34C5" w:rsidRDefault="008F34C5" w:rsidP="008F34C5">
      <w:pPr>
        <w:spacing w:line="240" w:lineRule="auto"/>
        <w:jc w:val="center"/>
      </w:pPr>
      <w:r>
        <w:t>American Agricultural Law Association</w:t>
      </w:r>
    </w:p>
    <w:p w14:paraId="492C4154" w14:textId="6BDA113F" w:rsidR="008F34C5" w:rsidRDefault="008F34C5" w:rsidP="008F34C5">
      <w:pPr>
        <w:spacing w:line="240" w:lineRule="auto"/>
        <w:jc w:val="center"/>
      </w:pPr>
      <w:r>
        <w:t>20</w:t>
      </w:r>
      <w:r w:rsidR="000748F2">
        <w:t>20</w:t>
      </w:r>
      <w:r>
        <w:t xml:space="preserve"> Annual Educational Symposium</w:t>
      </w:r>
    </w:p>
    <w:p w14:paraId="492C4155" w14:textId="4787DD72" w:rsidR="008F34C5" w:rsidRDefault="008F34C5" w:rsidP="008F34C5">
      <w:pPr>
        <w:spacing w:line="240" w:lineRule="auto"/>
        <w:jc w:val="center"/>
      </w:pPr>
      <w:r>
        <w:t xml:space="preserve">November </w:t>
      </w:r>
      <w:r w:rsidR="00960FF3">
        <w:t>14</w:t>
      </w:r>
      <w:r>
        <w:t>, 20</w:t>
      </w:r>
      <w:r w:rsidR="00AF16B2">
        <w:t>20</w:t>
      </w:r>
    </w:p>
    <w:p w14:paraId="097FD2EB" w14:textId="05575A22" w:rsidR="008D57B3" w:rsidRDefault="008D57B3" w:rsidP="008F34C5">
      <w:pPr>
        <w:spacing w:line="240" w:lineRule="auto"/>
        <w:jc w:val="center"/>
      </w:pPr>
      <w:r>
        <w:t>Kansas City, MO</w:t>
      </w:r>
    </w:p>
    <w:p w14:paraId="492C4156" w14:textId="77777777" w:rsidR="008F34C5" w:rsidRDefault="008F34C5" w:rsidP="008F34C5">
      <w:pPr>
        <w:spacing w:line="240" w:lineRule="auto"/>
        <w:jc w:val="center"/>
      </w:pPr>
    </w:p>
    <w:p w14:paraId="492C4157" w14:textId="7F065A9C" w:rsidR="00761DA1" w:rsidRDefault="00761DA1" w:rsidP="008F34C5">
      <w:pPr>
        <w:spacing w:line="240" w:lineRule="auto"/>
        <w:jc w:val="center"/>
      </w:pPr>
      <w:r>
        <w:t>Tony Francois</w:t>
      </w:r>
    </w:p>
    <w:p w14:paraId="492C4158" w14:textId="3BBFBE12" w:rsidR="008F34C5" w:rsidRDefault="008F34C5" w:rsidP="008F34C5">
      <w:pPr>
        <w:spacing w:line="240" w:lineRule="auto"/>
        <w:jc w:val="center"/>
      </w:pPr>
      <w:r>
        <w:t>Senior Attorney</w:t>
      </w:r>
      <w:r w:rsidR="00761DA1">
        <w:t xml:space="preserve">, </w:t>
      </w:r>
      <w:r>
        <w:t>Pacific Legal Foundation</w:t>
      </w:r>
      <w:r w:rsidR="007E0B3A">
        <w:t>, Sacramento CA</w:t>
      </w:r>
    </w:p>
    <w:p w14:paraId="45EB7A07" w14:textId="75B52EF0" w:rsidR="007E0B3A" w:rsidRDefault="007E0B3A" w:rsidP="008F34C5">
      <w:pPr>
        <w:spacing w:line="240" w:lineRule="auto"/>
        <w:jc w:val="center"/>
      </w:pPr>
      <w:r>
        <w:t>&amp;</w:t>
      </w:r>
    </w:p>
    <w:p w14:paraId="7C6E069A" w14:textId="602B3D37" w:rsidR="00E55CA2" w:rsidRDefault="00E55CA2" w:rsidP="008F34C5">
      <w:pPr>
        <w:spacing w:line="240" w:lineRule="auto"/>
        <w:jc w:val="center"/>
      </w:pPr>
      <w:r>
        <w:t xml:space="preserve">Nancy Quattlebaum </w:t>
      </w:r>
      <w:r w:rsidR="00794A1B">
        <w:t>Burke</w:t>
      </w:r>
    </w:p>
    <w:p w14:paraId="75D84E27" w14:textId="073FA0A4" w:rsidR="00794A1B" w:rsidRDefault="00954EA7" w:rsidP="008F34C5">
      <w:pPr>
        <w:spacing w:line="240" w:lineRule="auto"/>
        <w:jc w:val="center"/>
      </w:pPr>
      <w:r>
        <w:t xml:space="preserve">Partner, </w:t>
      </w:r>
      <w:r w:rsidR="00794A1B">
        <w:t xml:space="preserve">Saul Ewing Arnstein </w:t>
      </w:r>
      <w:r>
        <w:t xml:space="preserve">&amp; Lehr, </w:t>
      </w:r>
      <w:r w:rsidR="007E0B3A">
        <w:t>Minneapolis MN</w:t>
      </w:r>
    </w:p>
    <w:p w14:paraId="3CDD2CFA" w14:textId="77777777" w:rsidR="005A1802" w:rsidRDefault="005A1802" w:rsidP="008F34C5"/>
    <w:p w14:paraId="1A36F352" w14:textId="11F9F29D" w:rsidR="00C00260" w:rsidRDefault="00C00260" w:rsidP="008F34C5">
      <w:r>
        <w:t>I. Clean Water Act</w:t>
      </w:r>
    </w:p>
    <w:p w14:paraId="7A7AB2D0" w14:textId="099FA310" w:rsidR="00DD54D0" w:rsidRDefault="00C00260" w:rsidP="00C00260">
      <w:pPr>
        <w:ind w:firstLine="720"/>
      </w:pPr>
      <w:r>
        <w:t>A</w:t>
      </w:r>
      <w:r w:rsidR="00DD54D0">
        <w:t>. Statutory Clean Water Act Exemption for “normal farming practices”</w:t>
      </w:r>
    </w:p>
    <w:p w14:paraId="492C415B" w14:textId="61F05C3C" w:rsidR="00B424EA" w:rsidRDefault="00C00260" w:rsidP="00C00260">
      <w:pPr>
        <w:ind w:firstLine="720"/>
      </w:pPr>
      <w:r>
        <w:t>B</w:t>
      </w:r>
      <w:r w:rsidR="00B424EA">
        <w:t>. Agency Interpretation of Exemption</w:t>
      </w:r>
    </w:p>
    <w:p w14:paraId="492C415C" w14:textId="515CFEDB" w:rsidR="00B424EA" w:rsidRDefault="00B424EA" w:rsidP="00B424EA">
      <w:r>
        <w:tab/>
      </w:r>
      <w:r w:rsidR="00C00260">
        <w:tab/>
        <w:t>1</w:t>
      </w:r>
      <w:r>
        <w:t>. Regulations: 33 C.F.R. Section 323.4(a)(1)(ii); 323.4(c).</w:t>
      </w:r>
    </w:p>
    <w:p w14:paraId="492C415D" w14:textId="19AD2624" w:rsidR="00B424EA" w:rsidRDefault="00F60CD6" w:rsidP="00C00260">
      <w:pPr>
        <w:ind w:left="720" w:firstLine="720"/>
      </w:pPr>
      <w:r>
        <w:t>2</w:t>
      </w:r>
      <w:r w:rsidR="00B424EA">
        <w:t>. Regulatory Guidance Letters</w:t>
      </w:r>
      <w:r w:rsidR="00510CAA">
        <w:t>:</w:t>
      </w:r>
      <w:r w:rsidR="00B424EA">
        <w:t xml:space="preserve"> 86-01; 96-02</w:t>
      </w:r>
    </w:p>
    <w:p w14:paraId="492C415E" w14:textId="5A5A83E2" w:rsidR="00510CAA" w:rsidRDefault="00F60CD6" w:rsidP="00F60CD6">
      <w:pPr>
        <w:ind w:left="720" w:firstLine="720"/>
      </w:pPr>
      <w:r>
        <w:t>3</w:t>
      </w:r>
      <w:r w:rsidR="00F62870">
        <w:t xml:space="preserve">. </w:t>
      </w:r>
      <w:r w:rsidR="00041210">
        <w:t>Enforcement Memoranda</w:t>
      </w:r>
      <w:r w:rsidR="00510CAA">
        <w:t>: May 3, 1990</w:t>
      </w:r>
      <w:r w:rsidR="00041210">
        <w:t>; January 3, 1993</w:t>
      </w:r>
    </w:p>
    <w:p w14:paraId="00010BFD" w14:textId="3A4AA2CA" w:rsidR="00F62870" w:rsidRDefault="00F60CD6" w:rsidP="00F60CD6">
      <w:pPr>
        <w:ind w:left="720" w:firstLine="720"/>
      </w:pPr>
      <w:r>
        <w:t>4</w:t>
      </w:r>
      <w:r w:rsidR="00F62870">
        <w:t xml:space="preserve">. </w:t>
      </w:r>
      <w:r w:rsidR="00F62870" w:rsidRPr="0099083A">
        <w:rPr>
          <w:i/>
          <w:iCs/>
        </w:rPr>
        <w:t>Duarte Nursery</w:t>
      </w:r>
      <w:r w:rsidR="00F62870">
        <w:t>/</w:t>
      </w:r>
      <w:r w:rsidR="00F62870" w:rsidRPr="0099083A">
        <w:rPr>
          <w:i/>
          <w:iCs/>
        </w:rPr>
        <w:t>LaPant</w:t>
      </w:r>
      <w:r w:rsidR="00F62870">
        <w:t xml:space="preserve"> litigation briefing</w:t>
      </w:r>
    </w:p>
    <w:p w14:paraId="492C415F" w14:textId="4E84A521" w:rsidR="006C35E1" w:rsidRDefault="00F60CD6" w:rsidP="00F60CD6">
      <w:pPr>
        <w:ind w:firstLine="720"/>
      </w:pPr>
      <w:r>
        <w:t>C</w:t>
      </w:r>
      <w:r w:rsidR="003F437B">
        <w:t xml:space="preserve">. </w:t>
      </w:r>
      <w:r w:rsidR="006C35E1">
        <w:t>Case Law</w:t>
      </w:r>
    </w:p>
    <w:p w14:paraId="492C4160" w14:textId="77777777" w:rsidR="00045150" w:rsidRDefault="00045150" w:rsidP="006C35E1">
      <w:pPr>
        <w:pStyle w:val="ListParagraph"/>
        <w:numPr>
          <w:ilvl w:val="0"/>
          <w:numId w:val="2"/>
        </w:numPr>
      </w:pPr>
      <w:r w:rsidRPr="007C2E92">
        <w:rPr>
          <w:i/>
        </w:rPr>
        <w:t>Avoyelles Sportsmen’s League v. Marsh</w:t>
      </w:r>
      <w:r>
        <w:t>, 715 F.2d 897 (5th Cir. 1983)</w:t>
      </w:r>
    </w:p>
    <w:p w14:paraId="492C4161" w14:textId="77777777" w:rsidR="00045150" w:rsidRDefault="00045150" w:rsidP="006C35E1">
      <w:pPr>
        <w:pStyle w:val="ListParagraph"/>
        <w:numPr>
          <w:ilvl w:val="0"/>
          <w:numId w:val="2"/>
        </w:numPr>
      </w:pPr>
      <w:r w:rsidRPr="007C2E92">
        <w:rPr>
          <w:i/>
        </w:rPr>
        <w:t>U.S. v. Akers</w:t>
      </w:r>
      <w:r>
        <w:t>, 785 F.2d 814 (9th Cir. 1986)</w:t>
      </w:r>
    </w:p>
    <w:p w14:paraId="492C4162" w14:textId="77777777" w:rsidR="00045150" w:rsidRDefault="00045150" w:rsidP="006C35E1">
      <w:pPr>
        <w:pStyle w:val="ListParagraph"/>
        <w:numPr>
          <w:ilvl w:val="0"/>
          <w:numId w:val="2"/>
        </w:numPr>
      </w:pPr>
      <w:r w:rsidRPr="007C2E92">
        <w:rPr>
          <w:i/>
        </w:rPr>
        <w:t>U.S. v. Cumberland Farms</w:t>
      </w:r>
      <w:r>
        <w:t>, 826 F.2d 1151 (1st Cir. 1987)</w:t>
      </w:r>
    </w:p>
    <w:p w14:paraId="492C4163" w14:textId="77777777" w:rsidR="00171836" w:rsidRDefault="00045150" w:rsidP="007C2E92">
      <w:pPr>
        <w:pStyle w:val="ListParagraph"/>
        <w:numPr>
          <w:ilvl w:val="0"/>
          <w:numId w:val="2"/>
        </w:numPr>
      </w:pPr>
      <w:r w:rsidRPr="007C2E92">
        <w:rPr>
          <w:i/>
        </w:rPr>
        <w:t>U.S. v. Larkins</w:t>
      </w:r>
      <w:r>
        <w:t>, 852 F.2d 189 (6th Cir. 1988)</w:t>
      </w:r>
    </w:p>
    <w:p w14:paraId="492C4164" w14:textId="77777777" w:rsidR="00AB349B" w:rsidRDefault="00AB349B" w:rsidP="006C35E1">
      <w:pPr>
        <w:pStyle w:val="ListParagraph"/>
        <w:numPr>
          <w:ilvl w:val="0"/>
          <w:numId w:val="2"/>
        </w:numPr>
      </w:pPr>
      <w:r w:rsidRPr="007C2E92">
        <w:rPr>
          <w:i/>
        </w:rPr>
        <w:t>U.S. v. Brace</w:t>
      </w:r>
      <w:r>
        <w:t>, 41 F.3d 117 (3rd Cir. 1994)</w:t>
      </w:r>
    </w:p>
    <w:p w14:paraId="492C4165" w14:textId="77777777" w:rsidR="00AB349B" w:rsidRDefault="00AB349B" w:rsidP="006C35E1">
      <w:pPr>
        <w:pStyle w:val="ListParagraph"/>
        <w:numPr>
          <w:ilvl w:val="0"/>
          <w:numId w:val="2"/>
        </w:numPr>
      </w:pPr>
      <w:r w:rsidRPr="007C2E92">
        <w:rPr>
          <w:i/>
        </w:rPr>
        <w:t>Borden Ranch v. Army Corps</w:t>
      </w:r>
      <w:r>
        <w:t>, 261 F.3d 810 (9th Cir. 2001)</w:t>
      </w:r>
    </w:p>
    <w:p w14:paraId="492C4166" w14:textId="77777777" w:rsidR="00AB349B" w:rsidRDefault="00AB349B" w:rsidP="006C35E1">
      <w:pPr>
        <w:pStyle w:val="ListParagraph"/>
        <w:numPr>
          <w:ilvl w:val="0"/>
          <w:numId w:val="2"/>
        </w:numPr>
      </w:pPr>
      <w:r w:rsidRPr="007C2E92">
        <w:rPr>
          <w:i/>
        </w:rPr>
        <w:t>U.S. v. Cundiff</w:t>
      </w:r>
      <w:r>
        <w:t>, 555 F.3d 200 (6th Cir. 2009)</w:t>
      </w:r>
    </w:p>
    <w:p w14:paraId="449F6104" w14:textId="54D3513D" w:rsidR="00147EA5" w:rsidRDefault="00E90FA3" w:rsidP="00E90FA3">
      <w:pPr>
        <w:ind w:firstLine="720"/>
      </w:pPr>
      <w:r>
        <w:t>D</w:t>
      </w:r>
      <w:r w:rsidR="00147EA5">
        <w:t xml:space="preserve">. Summation: Resumption of plowing after significant period of non-cultivation risks </w:t>
      </w:r>
      <w:r w:rsidR="002E109D">
        <w:t xml:space="preserve">enforcement for </w:t>
      </w:r>
      <w:r w:rsidR="00147EA5">
        <w:t xml:space="preserve">violation of Clean Water Act, despite </w:t>
      </w:r>
      <w:r>
        <w:t>exemption for “normal farming practices</w:t>
      </w:r>
      <w:r w:rsidR="002E109D">
        <w:t>.</w:t>
      </w:r>
      <w:r>
        <w:t>”</w:t>
      </w:r>
    </w:p>
    <w:p w14:paraId="492C4176" w14:textId="4D922593" w:rsidR="006C35E1" w:rsidRDefault="00AA38AC" w:rsidP="006C35E1">
      <w:r>
        <w:lastRenderedPageBreak/>
        <w:t>II</w:t>
      </w:r>
      <w:r w:rsidR="00FA4D0C">
        <w:t>. Conservation Reserve Program</w:t>
      </w:r>
      <w:r w:rsidR="006C35E1">
        <w:tab/>
      </w:r>
    </w:p>
    <w:p w14:paraId="492C4177" w14:textId="1EA125D7" w:rsidR="00AB349B" w:rsidRDefault="00A44EB0" w:rsidP="008F34C5">
      <w:r>
        <w:tab/>
      </w:r>
      <w:r w:rsidR="00556325">
        <w:t>A</w:t>
      </w:r>
      <w:r>
        <w:t xml:space="preserve">. </w:t>
      </w:r>
      <w:r w:rsidR="006F173E">
        <w:t xml:space="preserve">Statutory Provisions at </w:t>
      </w:r>
      <w:r w:rsidR="00BA03F3">
        <w:t>16 U.S.C. § 3831</w:t>
      </w:r>
      <w:r w:rsidR="00556325">
        <w:t>-3835</w:t>
      </w:r>
    </w:p>
    <w:p w14:paraId="189170CD" w14:textId="5ED02BB3" w:rsidR="00556325" w:rsidRDefault="00556325" w:rsidP="008F34C5">
      <w:r>
        <w:tab/>
      </w:r>
      <w:r>
        <w:tab/>
      </w:r>
      <w:r w:rsidR="009D030D">
        <w:t>1</w:t>
      </w:r>
      <w:r>
        <w:t xml:space="preserve">. </w:t>
      </w:r>
      <w:r w:rsidR="00EE12C9">
        <w:t>Participating</w:t>
      </w:r>
      <w:r w:rsidR="00586206">
        <w:t xml:space="preserve"> owner</w:t>
      </w:r>
      <w:r w:rsidR="00C82B3C">
        <w:t>/</w:t>
      </w:r>
      <w:r w:rsidR="00586206">
        <w:t xml:space="preserve">operator has duty under </w:t>
      </w:r>
      <w:r w:rsidR="00AA6B07">
        <w:t>16 U.S.C. § 3832</w:t>
      </w:r>
      <w:r w:rsidR="00D737F2">
        <w:t>(a)(1)</w:t>
      </w:r>
      <w:r w:rsidR="00AA6B07">
        <w:t xml:space="preserve"> to implement conservation plan to </w:t>
      </w:r>
      <w:r w:rsidR="009D030D">
        <w:t>“</w:t>
      </w:r>
      <w:r w:rsidR="00AA6B07">
        <w:t>convert</w:t>
      </w:r>
      <w:r w:rsidR="009D030D">
        <w:t>[]</w:t>
      </w:r>
      <w:r w:rsidR="00AA6B07">
        <w:t xml:space="preserve"> eligible </w:t>
      </w:r>
      <w:r w:rsidR="009D030D">
        <w:t>land normally devoted to the production of agricultural commodity … to a less intensive use”</w:t>
      </w:r>
      <w:r w:rsidR="00C82B3C">
        <w:t xml:space="preserve"> in exchange for payments under</w:t>
      </w:r>
      <w:r w:rsidR="00597338">
        <w:t xml:space="preserve"> 10-15 year</w:t>
      </w:r>
      <w:r w:rsidR="00C82B3C">
        <w:t xml:space="preserve"> contract with USDA.</w:t>
      </w:r>
    </w:p>
    <w:p w14:paraId="469BF1B2" w14:textId="792FA8F1" w:rsidR="00DD5C29" w:rsidRDefault="00DD5C29" w:rsidP="008F34C5">
      <w:r>
        <w:tab/>
      </w:r>
      <w:r>
        <w:tab/>
      </w:r>
      <w:r w:rsidR="00630264">
        <w:t>2</w:t>
      </w:r>
      <w:r w:rsidR="007A6250">
        <w:t xml:space="preserve">. </w:t>
      </w:r>
      <w:r w:rsidR="00630264">
        <w:t>Participant</w:t>
      </w:r>
      <w:r w:rsidR="00245195">
        <w:t xml:space="preserve"> prohibited from harvesting land subject to contract. </w:t>
      </w:r>
      <w:r w:rsidR="00245195">
        <w:t>16 U.S.C. § 3832(a)(</w:t>
      </w:r>
      <w:r w:rsidR="00AC3BFF">
        <w:t>8</w:t>
      </w:r>
      <w:r w:rsidR="00245195">
        <w:t>)</w:t>
      </w:r>
    </w:p>
    <w:p w14:paraId="655D900A" w14:textId="5DF3E746" w:rsidR="00D737F2" w:rsidRDefault="00D737F2" w:rsidP="008F34C5">
      <w:r>
        <w:tab/>
      </w:r>
      <w:r>
        <w:tab/>
      </w:r>
      <w:r w:rsidR="00630264">
        <w:t>3</w:t>
      </w:r>
      <w:r w:rsidR="00C82B3C">
        <w:t xml:space="preserve">.  </w:t>
      </w:r>
      <w:r w:rsidR="00630264">
        <w:t>Participating</w:t>
      </w:r>
      <w:r w:rsidR="00C82B3C">
        <w:t xml:space="preserve"> owner/operator must refund payments </w:t>
      </w:r>
      <w:r w:rsidR="00A503D2">
        <w:t>if the limitations on use of the enrolled land are violated. 16 U.S.C. § 3832(a)(6).</w:t>
      </w:r>
    </w:p>
    <w:p w14:paraId="2E369D47" w14:textId="6B05A6AA" w:rsidR="001A3D8A" w:rsidRDefault="00A503D2" w:rsidP="008F34C5">
      <w:r>
        <w:tab/>
      </w:r>
      <w:r w:rsidR="00597338">
        <w:t>B</w:t>
      </w:r>
      <w:r>
        <w:t xml:space="preserve">. </w:t>
      </w:r>
      <w:r w:rsidR="00946A06">
        <w:t>Agency Interpretation of Statute</w:t>
      </w:r>
    </w:p>
    <w:p w14:paraId="22EA26AA" w14:textId="6F7C32CA" w:rsidR="00A503D2" w:rsidRDefault="00F304BB" w:rsidP="001A3D8A">
      <w:pPr>
        <w:ind w:left="720" w:firstLine="720"/>
      </w:pPr>
      <w:r>
        <w:t xml:space="preserve">1. </w:t>
      </w:r>
      <w:r w:rsidR="00A503D2">
        <w:t xml:space="preserve">Regulations at </w:t>
      </w:r>
      <w:r w:rsidR="00D62731">
        <w:t>7 C.F.R. § 14</w:t>
      </w:r>
      <w:r w:rsidR="00CB133B">
        <w:t>10</w:t>
      </w:r>
      <w:r w:rsidR="00D62731">
        <w:t>.1-</w:t>
      </w:r>
      <w:r w:rsidR="00597338">
        <w:t>14</w:t>
      </w:r>
      <w:r w:rsidR="00CB133B">
        <w:t>10</w:t>
      </w:r>
      <w:r w:rsidR="00597338">
        <w:t>.90</w:t>
      </w:r>
    </w:p>
    <w:p w14:paraId="0AB55F08" w14:textId="6D693D0E" w:rsidR="00645674" w:rsidRDefault="00C0799D" w:rsidP="001A3D8A">
      <w:pPr>
        <w:ind w:left="720" w:firstLine="720"/>
      </w:pPr>
      <w:r>
        <w:tab/>
        <w:t xml:space="preserve">a. </w:t>
      </w:r>
      <w:r w:rsidR="00EA3A06">
        <w:t>“</w:t>
      </w:r>
      <w:r>
        <w:t xml:space="preserve">Agricultural commodity </w:t>
      </w:r>
      <w:r w:rsidR="00EA3A7D">
        <w:t xml:space="preserve">means </w:t>
      </w:r>
      <w:r w:rsidR="00EA3A06">
        <w:t xml:space="preserve">any crop planted and produced by annual tilling of the soil[.]” </w:t>
      </w:r>
      <w:r w:rsidR="00EA3A06">
        <w:t>7 C.F.R. § 1410.2</w:t>
      </w:r>
    </w:p>
    <w:p w14:paraId="244A529F" w14:textId="63836083" w:rsidR="00D53CEA" w:rsidRDefault="00D53CEA" w:rsidP="001A3D8A">
      <w:pPr>
        <w:ind w:left="720" w:firstLine="720"/>
      </w:pPr>
      <w:r>
        <w:tab/>
      </w:r>
      <w:r w:rsidR="00C0799D">
        <w:t>b</w:t>
      </w:r>
      <w:r w:rsidR="00C21789">
        <w:t xml:space="preserve">. </w:t>
      </w:r>
      <w:r w:rsidR="00326172">
        <w:t>Participants must agree to</w:t>
      </w:r>
      <w:r w:rsidR="00905B68">
        <w:t xml:space="preserve"> </w:t>
      </w:r>
      <w:r w:rsidR="009D26A5">
        <w:t>“</w:t>
      </w:r>
      <w:r w:rsidR="00905B68">
        <w:t xml:space="preserve">not allow … harvesting, or other commercial or agricultural use </w:t>
      </w:r>
      <w:r w:rsidR="009D26A5">
        <w:t xml:space="preserve">of the land[.]” </w:t>
      </w:r>
      <w:r w:rsidR="009D26A5">
        <w:t>7 C.F.R. § 1410.</w:t>
      </w:r>
      <w:r w:rsidR="009D26A5">
        <w:t>20.</w:t>
      </w:r>
    </w:p>
    <w:p w14:paraId="0B1A7F2A" w14:textId="09F65598" w:rsidR="00597338" w:rsidRDefault="008B608B" w:rsidP="008B608B">
      <w:pPr>
        <w:ind w:firstLine="720"/>
      </w:pPr>
      <w:r>
        <w:t xml:space="preserve">C. </w:t>
      </w:r>
      <w:r w:rsidR="00AB511B">
        <w:t xml:space="preserve">Case </w:t>
      </w:r>
      <w:r>
        <w:t>L</w:t>
      </w:r>
      <w:r w:rsidR="00AB511B">
        <w:t>aw</w:t>
      </w:r>
    </w:p>
    <w:p w14:paraId="59F8BC45" w14:textId="6C54F9E3" w:rsidR="002F3D45" w:rsidRDefault="002F3D45" w:rsidP="008F34C5">
      <w:r>
        <w:tab/>
      </w:r>
      <w:r>
        <w:tab/>
      </w:r>
      <w:r w:rsidRPr="001F5CB3">
        <w:rPr>
          <w:i/>
          <w:iCs/>
        </w:rPr>
        <w:t>Esch v. Yeutter</w:t>
      </w:r>
      <w:r>
        <w:t xml:space="preserve">, </w:t>
      </w:r>
      <w:r w:rsidR="001F5CB3">
        <w:t>876 F.2d 976 (D.C. Cir. 1989)</w:t>
      </w:r>
    </w:p>
    <w:p w14:paraId="130371E1" w14:textId="3D3F4733" w:rsidR="00701FF0" w:rsidRDefault="00701FF0" w:rsidP="008F34C5">
      <w:r>
        <w:tab/>
      </w:r>
      <w:r>
        <w:tab/>
      </w:r>
      <w:r w:rsidRPr="00161D7C">
        <w:rPr>
          <w:i/>
          <w:iCs/>
        </w:rPr>
        <w:t>Small v. United States</w:t>
      </w:r>
      <w:r>
        <w:t xml:space="preserve">, </w:t>
      </w:r>
      <w:r w:rsidR="00161D7C">
        <w:t>837 F. Supp. 427 (E.D. Ms., 1993)</w:t>
      </w:r>
    </w:p>
    <w:p w14:paraId="3F9B46E5" w14:textId="0F973ED3" w:rsidR="001524FA" w:rsidRDefault="001524FA" w:rsidP="008F34C5">
      <w:r>
        <w:tab/>
      </w:r>
      <w:r>
        <w:tab/>
      </w:r>
      <w:r w:rsidRPr="00055737">
        <w:rPr>
          <w:i/>
          <w:iCs/>
        </w:rPr>
        <w:t>Strong v. Glickman</w:t>
      </w:r>
      <w:r>
        <w:t xml:space="preserve">, </w:t>
      </w:r>
      <w:r w:rsidR="00681E69">
        <w:t>50 F. Supp. 2d 1 (D. D.C., 1999)</w:t>
      </w:r>
    </w:p>
    <w:p w14:paraId="3851CC24" w14:textId="39690002" w:rsidR="004F7EB4" w:rsidRDefault="004F7EB4" w:rsidP="008F34C5">
      <w:r>
        <w:tab/>
      </w:r>
      <w:r>
        <w:tab/>
      </w:r>
      <w:r w:rsidRPr="0017213B">
        <w:rPr>
          <w:i/>
          <w:iCs/>
        </w:rPr>
        <w:t>Beard v. Glickman</w:t>
      </w:r>
      <w:r>
        <w:t xml:space="preserve">, </w:t>
      </w:r>
      <w:r w:rsidR="00E72B64">
        <w:t>189 F. Supp. 2d 994 (C.D Cal. 2001)</w:t>
      </w:r>
    </w:p>
    <w:p w14:paraId="05A8D04B" w14:textId="46D0DF1E" w:rsidR="009D030D" w:rsidRDefault="009D030D" w:rsidP="008F34C5">
      <w:r>
        <w:tab/>
      </w:r>
      <w:r>
        <w:tab/>
      </w:r>
      <w:r w:rsidR="00831FA2" w:rsidRPr="00232CA1">
        <w:rPr>
          <w:i/>
          <w:iCs/>
        </w:rPr>
        <w:t>Pay</w:t>
      </w:r>
      <w:r w:rsidR="00232CA1" w:rsidRPr="00232CA1">
        <w:rPr>
          <w:i/>
          <w:iCs/>
        </w:rPr>
        <w:t>ton v. U.S. Dep’t of Agriculture</w:t>
      </w:r>
      <w:r w:rsidR="00232CA1">
        <w:t>, 373 F.3d 1163 (10</w:t>
      </w:r>
      <w:r w:rsidR="00232CA1" w:rsidRPr="00232CA1">
        <w:rPr>
          <w:vertAlign w:val="superscript"/>
        </w:rPr>
        <w:t>th</w:t>
      </w:r>
      <w:r w:rsidR="00232CA1">
        <w:t xml:space="preserve"> Cir. 2003)</w:t>
      </w:r>
    </w:p>
    <w:p w14:paraId="560C5A76" w14:textId="345B0AD9" w:rsidR="000966A0" w:rsidRDefault="000966A0" w:rsidP="008F34C5">
      <w:r>
        <w:tab/>
      </w:r>
      <w:r>
        <w:tab/>
      </w:r>
      <w:r w:rsidRPr="00DC08FE">
        <w:rPr>
          <w:i/>
          <w:iCs/>
        </w:rPr>
        <w:t>Mittelstadt v. Perdue</w:t>
      </w:r>
      <w:r>
        <w:t xml:space="preserve">, </w:t>
      </w:r>
      <w:r w:rsidR="00DC08FE">
        <w:t>913 F.3d 626 (7</w:t>
      </w:r>
      <w:r w:rsidR="00DC08FE" w:rsidRPr="00DC08FE">
        <w:rPr>
          <w:vertAlign w:val="superscript"/>
        </w:rPr>
        <w:t>th</w:t>
      </w:r>
      <w:r w:rsidR="00DC08FE">
        <w:t xml:space="preserve"> Cir. 2019)</w:t>
      </w:r>
    </w:p>
    <w:p w14:paraId="23BBF73B" w14:textId="77777777" w:rsidR="00DD5C29" w:rsidRDefault="00DD5C29" w:rsidP="008F34C5"/>
    <w:p w14:paraId="492C4178" w14:textId="720B1534" w:rsidR="008F34C5" w:rsidRDefault="008F34C5" w:rsidP="008F34C5">
      <w:r>
        <w:tab/>
      </w:r>
      <w:r w:rsidR="00B55331">
        <w:t>D</w:t>
      </w:r>
      <w:bookmarkStart w:id="0" w:name="_GoBack"/>
      <w:bookmarkEnd w:id="0"/>
      <w:r w:rsidR="00B55331">
        <w:t xml:space="preserve">. </w:t>
      </w:r>
      <w:r w:rsidR="00D6388F">
        <w:t xml:space="preserve">Summation: </w:t>
      </w:r>
      <w:r w:rsidR="00B55331">
        <w:t>Agreement not to till property enrolled in CRP contracts for 10-15 years may result in the lapse of the Clean Water Act exemption for normal farming practices.</w:t>
      </w:r>
    </w:p>
    <w:sectPr w:rsidR="008F3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64A86"/>
    <w:multiLevelType w:val="hybridMultilevel"/>
    <w:tmpl w:val="7F4E3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AD0008"/>
    <w:multiLevelType w:val="hybridMultilevel"/>
    <w:tmpl w:val="B630E95E"/>
    <w:lvl w:ilvl="0" w:tplc="ED1AB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67975"/>
    <w:multiLevelType w:val="hybridMultilevel"/>
    <w:tmpl w:val="95C65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B1"/>
    <w:rsid w:val="00041210"/>
    <w:rsid w:val="00045150"/>
    <w:rsid w:val="00055737"/>
    <w:rsid w:val="000748F2"/>
    <w:rsid w:val="000966A0"/>
    <w:rsid w:val="00147EA5"/>
    <w:rsid w:val="001524FA"/>
    <w:rsid w:val="00161D7C"/>
    <w:rsid w:val="00171836"/>
    <w:rsid w:val="0017213B"/>
    <w:rsid w:val="001A3D8A"/>
    <w:rsid w:val="001F5CB3"/>
    <w:rsid w:val="00232CA1"/>
    <w:rsid w:val="00245195"/>
    <w:rsid w:val="002E109D"/>
    <w:rsid w:val="002F3D45"/>
    <w:rsid w:val="00326172"/>
    <w:rsid w:val="003F437B"/>
    <w:rsid w:val="004F7EB4"/>
    <w:rsid w:val="00510CAA"/>
    <w:rsid w:val="00556325"/>
    <w:rsid w:val="00586206"/>
    <w:rsid w:val="00597338"/>
    <w:rsid w:val="005A1802"/>
    <w:rsid w:val="00630264"/>
    <w:rsid w:val="00645674"/>
    <w:rsid w:val="00681E69"/>
    <w:rsid w:val="006C35E1"/>
    <w:rsid w:val="006F173E"/>
    <w:rsid w:val="00701FF0"/>
    <w:rsid w:val="00761DA1"/>
    <w:rsid w:val="00794A1B"/>
    <w:rsid w:val="007A6250"/>
    <w:rsid w:val="007C2E92"/>
    <w:rsid w:val="007E0B3A"/>
    <w:rsid w:val="00831FA2"/>
    <w:rsid w:val="008B608B"/>
    <w:rsid w:val="008D57B3"/>
    <w:rsid w:val="008F34C5"/>
    <w:rsid w:val="00905B68"/>
    <w:rsid w:val="00946A06"/>
    <w:rsid w:val="00954EA7"/>
    <w:rsid w:val="00960FF3"/>
    <w:rsid w:val="00962630"/>
    <w:rsid w:val="0099083A"/>
    <w:rsid w:val="009D030D"/>
    <w:rsid w:val="009D26A5"/>
    <w:rsid w:val="00A44EB0"/>
    <w:rsid w:val="00A503D2"/>
    <w:rsid w:val="00AA38AC"/>
    <w:rsid w:val="00AA6B07"/>
    <w:rsid w:val="00AB349B"/>
    <w:rsid w:val="00AB511B"/>
    <w:rsid w:val="00AC3BFF"/>
    <w:rsid w:val="00AF16B2"/>
    <w:rsid w:val="00B424EA"/>
    <w:rsid w:val="00B55331"/>
    <w:rsid w:val="00BA03F3"/>
    <w:rsid w:val="00C00260"/>
    <w:rsid w:val="00C0799D"/>
    <w:rsid w:val="00C21789"/>
    <w:rsid w:val="00C82B3C"/>
    <w:rsid w:val="00CB133B"/>
    <w:rsid w:val="00CE62A4"/>
    <w:rsid w:val="00D53CEA"/>
    <w:rsid w:val="00D62731"/>
    <w:rsid w:val="00D6388F"/>
    <w:rsid w:val="00D737F2"/>
    <w:rsid w:val="00DC08FE"/>
    <w:rsid w:val="00DD54D0"/>
    <w:rsid w:val="00DD5C29"/>
    <w:rsid w:val="00E55CA2"/>
    <w:rsid w:val="00E72B64"/>
    <w:rsid w:val="00E90FA3"/>
    <w:rsid w:val="00EA3A06"/>
    <w:rsid w:val="00EA3A7D"/>
    <w:rsid w:val="00EB53D3"/>
    <w:rsid w:val="00ED1A43"/>
    <w:rsid w:val="00EE12C9"/>
    <w:rsid w:val="00F23CB1"/>
    <w:rsid w:val="00F304BB"/>
    <w:rsid w:val="00F60CD6"/>
    <w:rsid w:val="00F62870"/>
    <w:rsid w:val="00FA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414F"/>
  <w15:chartTrackingRefBased/>
  <w15:docId w15:val="{F6F701A0-396D-436C-9F11-AD45B492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4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1A5CD3DD31498A9EBE796DFE8390" ma:contentTypeVersion="13" ma:contentTypeDescription="Create a new document." ma:contentTypeScope="" ma:versionID="4631d3a223d360141735c47247659591">
  <xsd:schema xmlns:xsd="http://www.w3.org/2001/XMLSchema" xmlns:xs="http://www.w3.org/2001/XMLSchema" xmlns:p="http://schemas.microsoft.com/office/2006/metadata/properties" xmlns:ns2="69dab54f-d928-49bb-8073-8cbf3c008476" xmlns:ns3="b9c81701-ccdd-4695-9dfe-b08303b07681" targetNamespace="http://schemas.microsoft.com/office/2006/metadata/properties" ma:root="true" ma:fieldsID="ca1ab5289359cfd47d9d58f0461917fa" ns2:_="" ns3:_="">
    <xsd:import namespace="69dab54f-d928-49bb-8073-8cbf3c008476"/>
    <xsd:import namespace="b9c81701-ccdd-4695-9dfe-b08303b07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b54f-d928-49bb-8073-8cbf3c008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81701-ccdd-4695-9dfe-b08303b07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9dab54f-d928-49bb-8073-8cbf3c0084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9D77B-0370-4249-80E3-924EF77ED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b54f-d928-49bb-8073-8cbf3c008476"/>
    <ds:schemaRef ds:uri="b9c81701-ccdd-4695-9dfe-b08303b07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7EBA3-BC9D-4130-B7FD-35F00E4F3E4B}">
  <ds:schemaRefs>
    <ds:schemaRef ds:uri="http://schemas.microsoft.com/office/2006/metadata/properties"/>
    <ds:schemaRef ds:uri="http://schemas.microsoft.com/office/infopath/2007/PartnerControls"/>
    <ds:schemaRef ds:uri="69dab54f-d928-49bb-8073-8cbf3c008476"/>
  </ds:schemaRefs>
</ds:datastoreItem>
</file>

<file path=customXml/itemProps3.xml><?xml version="1.0" encoding="utf-8"?>
<ds:datastoreItem xmlns:ds="http://schemas.openxmlformats.org/officeDocument/2006/customXml" ds:itemID="{4977C517-0827-4918-A9BF-FB9DB6780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Legal Foundation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L. Francois</dc:creator>
  <cp:keywords/>
  <dc:description/>
  <cp:lastModifiedBy>Tony Francois</cp:lastModifiedBy>
  <cp:revision>67</cp:revision>
  <dcterms:created xsi:type="dcterms:W3CDTF">2020-09-15T21:05:00Z</dcterms:created>
  <dcterms:modified xsi:type="dcterms:W3CDTF">2020-09-24T00:37:00Z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0x010100B4151A5CD3DD31498A9EBE796DFE8390</vt:lpwstr>
  </property>
</Properties>
</file>