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1E5B7" w14:textId="262B0904" w:rsidR="00F35195" w:rsidRDefault="00BB12E7">
      <w:pPr>
        <w:pStyle w:val="pxch"/>
        <w:spacing w:before="180"/>
        <w:jc w:val="center"/>
        <w:rPr>
          <w:sz w:val="40"/>
          <w:szCs w:val="40"/>
        </w:rPr>
      </w:pPr>
      <w:r>
        <w:rPr>
          <w:sz w:val="40"/>
          <w:szCs w:val="40"/>
        </w:rPr>
        <w:fldChar w:fldCharType="begin"/>
      </w:r>
      <w:r w:rsidR="007B3CE9">
        <w:rPr>
          <w:sz w:val="40"/>
          <w:szCs w:val="40"/>
        </w:rPr>
        <w:instrText>ch.rh="Liability Prevention for Emerging Technologies"</w:instrText>
      </w:r>
      <w:r>
        <w:rPr>
          <w:sz w:val="40"/>
          <w:szCs w:val="40"/>
        </w:rPr>
        <w:fldChar w:fldCharType="end"/>
      </w:r>
      <w:r w:rsidR="007B3CE9">
        <w:rPr>
          <w:sz w:val="40"/>
          <w:szCs w:val="40"/>
        </w:rPr>
        <w:t xml:space="preserve">Liability Prevention for </w:t>
      </w:r>
      <w:r w:rsidR="000C41BC">
        <w:rPr>
          <w:sz w:val="40"/>
          <w:szCs w:val="40"/>
        </w:rPr>
        <w:t>Agricultural</w:t>
      </w:r>
      <w:r w:rsidR="002263C2">
        <w:rPr>
          <w:sz w:val="40"/>
          <w:szCs w:val="40"/>
        </w:rPr>
        <w:t xml:space="preserve"> Biotechnology</w:t>
      </w:r>
      <w:r w:rsidR="003D5FD5">
        <w:rPr>
          <w:rStyle w:val="FootnoteReference"/>
          <w:sz w:val="40"/>
          <w:szCs w:val="40"/>
        </w:rPr>
        <w:footnoteReference w:id="1"/>
      </w:r>
    </w:p>
    <w:p w14:paraId="44968482" w14:textId="5B05450F" w:rsidR="00F35195" w:rsidRPr="004C0F11" w:rsidRDefault="003F3300">
      <w:pPr>
        <w:pStyle w:val="pxd"/>
        <w:spacing w:before="180"/>
        <w:rPr>
          <w:rFonts w:ascii="Times New Roman" w:hAnsi="Times New Roman" w:cs="Times New Roman"/>
          <w:b/>
        </w:rPr>
      </w:pPr>
      <w:r w:rsidRPr="004C0F11">
        <w:rPr>
          <w:rFonts w:ascii="Times New Roman" w:hAnsi="Times New Roman" w:cs="Times New Roman"/>
          <w:b/>
        </w:rPr>
        <w:t>I</w:t>
      </w:r>
      <w:r w:rsidR="007B3CE9" w:rsidRPr="004C0F11">
        <w:rPr>
          <w:rFonts w:ascii="Times New Roman" w:hAnsi="Times New Roman" w:cs="Times New Roman"/>
          <w:b/>
        </w:rPr>
        <w:t>. Introduction</w:t>
      </w:r>
    </w:p>
    <w:p w14:paraId="092511A9" w14:textId="77777777" w:rsidR="00141F29" w:rsidRPr="004C0F11" w:rsidRDefault="00141F29">
      <w:pPr>
        <w:pStyle w:val="pxp"/>
        <w:rPr>
          <w:rFonts w:ascii="Times New Roman" w:hAnsi="Times New Roman" w:cs="Times New Roman"/>
        </w:rPr>
      </w:pPr>
    </w:p>
    <w:p w14:paraId="36A69304" w14:textId="3786A721" w:rsidR="00F35195" w:rsidRPr="004C0F11" w:rsidRDefault="007B3CE9" w:rsidP="002D5ACB">
      <w:pPr>
        <w:pStyle w:val="pxp"/>
        <w:spacing w:line="276" w:lineRule="auto"/>
        <w:ind w:firstLine="720"/>
        <w:rPr>
          <w:rFonts w:ascii="Times New Roman" w:hAnsi="Times New Roman" w:cs="Times New Roman"/>
        </w:rPr>
      </w:pPr>
      <w:r w:rsidRPr="004C0F11">
        <w:rPr>
          <w:rFonts w:ascii="Times New Roman" w:hAnsi="Times New Roman" w:cs="Times New Roman"/>
        </w:rPr>
        <w:t xml:space="preserve">This </w:t>
      </w:r>
      <w:r w:rsidR="00141F29" w:rsidRPr="004C0F11">
        <w:rPr>
          <w:rFonts w:ascii="Times New Roman" w:hAnsi="Times New Roman" w:cs="Times New Roman"/>
        </w:rPr>
        <w:t>article will discuss the history and potential future pathway for seed company liability for biotech crops.  Agricultural biotechnology, including new forms of plant bree</w:t>
      </w:r>
      <w:r w:rsidR="000C41BC" w:rsidRPr="004C0F11">
        <w:rPr>
          <w:rFonts w:ascii="Times New Roman" w:hAnsi="Times New Roman" w:cs="Times New Roman"/>
        </w:rPr>
        <w:t>ding that use “genetic editing”</w:t>
      </w:r>
      <w:r w:rsidR="00141F29" w:rsidRPr="004C0F11">
        <w:rPr>
          <w:rFonts w:ascii="Times New Roman" w:hAnsi="Times New Roman" w:cs="Times New Roman"/>
        </w:rPr>
        <w:t xml:space="preserve"> could </w:t>
      </w:r>
      <w:r w:rsidRPr="004C0F11">
        <w:rPr>
          <w:rFonts w:ascii="Times New Roman" w:hAnsi="Times New Roman" w:cs="Times New Roman"/>
        </w:rPr>
        <w:t xml:space="preserve">lead to </w:t>
      </w:r>
      <w:r w:rsidR="00DD7B95">
        <w:rPr>
          <w:rFonts w:ascii="Times New Roman" w:hAnsi="Times New Roman" w:cs="Times New Roman"/>
        </w:rPr>
        <w:t xml:space="preserve">U.S. </w:t>
      </w:r>
      <w:r w:rsidRPr="004C0F11">
        <w:rPr>
          <w:rFonts w:ascii="Times New Roman" w:hAnsi="Times New Roman" w:cs="Times New Roman"/>
        </w:rPr>
        <w:t xml:space="preserve">environmental releases </w:t>
      </w:r>
      <w:r w:rsidR="000C41BC" w:rsidRPr="004C0F11">
        <w:rPr>
          <w:rFonts w:ascii="Times New Roman" w:hAnsi="Times New Roman" w:cs="Times New Roman"/>
        </w:rPr>
        <w:t xml:space="preserve">and export of traits lacking </w:t>
      </w:r>
      <w:r w:rsidR="00C90F4F">
        <w:rPr>
          <w:rFonts w:ascii="Times New Roman" w:hAnsi="Times New Roman" w:cs="Times New Roman"/>
        </w:rPr>
        <w:t xml:space="preserve">import </w:t>
      </w:r>
      <w:r w:rsidR="000C41BC" w:rsidRPr="004C0F11">
        <w:rPr>
          <w:rFonts w:ascii="Times New Roman" w:hAnsi="Times New Roman" w:cs="Times New Roman"/>
        </w:rPr>
        <w:t xml:space="preserve">approval in major markets overseas.   There will be </w:t>
      </w:r>
      <w:r w:rsidRPr="004C0F11">
        <w:rPr>
          <w:rFonts w:ascii="Times New Roman" w:hAnsi="Times New Roman" w:cs="Times New Roman"/>
        </w:rPr>
        <w:t>unique challenges in preventing liability, primarily due to emerging theories of environmental liability that allow recovery of economic damages outsid</w:t>
      </w:r>
      <w:r w:rsidR="00C110AF" w:rsidRPr="004C0F11">
        <w:rPr>
          <w:rFonts w:ascii="Times New Roman" w:hAnsi="Times New Roman" w:cs="Times New Roman"/>
        </w:rPr>
        <w:t xml:space="preserve">e of the economic loss doctrine.  The pending decisions in the MDL case involving disruption of US corn exports to China, </w:t>
      </w:r>
      <w:r w:rsidR="00807292" w:rsidRPr="004C0F11">
        <w:rPr>
          <w:rFonts w:ascii="Times New Roman" w:hAnsi="Times New Roman" w:cs="Times New Roman"/>
          <w:i/>
        </w:rPr>
        <w:t>in</w:t>
      </w:r>
      <w:r w:rsidR="00C110AF" w:rsidRPr="004C0F11">
        <w:rPr>
          <w:rFonts w:ascii="Times New Roman" w:hAnsi="Times New Roman" w:cs="Times New Roman"/>
          <w:i/>
        </w:rPr>
        <w:t xml:space="preserve"> re Syngenta</w:t>
      </w:r>
      <w:r w:rsidRPr="004C0F11">
        <w:rPr>
          <w:rFonts w:ascii="Times New Roman" w:hAnsi="Times New Roman" w:cs="Times New Roman"/>
          <w:i/>
        </w:rPr>
        <w:t xml:space="preserve"> </w:t>
      </w:r>
      <w:r w:rsidR="00A77B76">
        <w:rPr>
          <w:rFonts w:ascii="Times New Roman" w:hAnsi="Times New Roman" w:cs="Times New Roman"/>
          <w:i/>
        </w:rPr>
        <w:t>AG MIR 162 Corn Litigation</w:t>
      </w:r>
      <w:r w:rsidR="00A77B76">
        <w:rPr>
          <w:rStyle w:val="FootnoteReference"/>
          <w:rFonts w:ascii="Times New Roman" w:hAnsi="Times New Roman" w:cs="Times New Roman"/>
          <w:i/>
        </w:rPr>
        <w:t xml:space="preserve"> </w:t>
      </w:r>
      <w:r w:rsidR="00051D26">
        <w:rPr>
          <w:rStyle w:val="FootnoteReference"/>
          <w:rFonts w:ascii="Times New Roman" w:hAnsi="Times New Roman" w:cs="Times New Roman"/>
          <w:i/>
        </w:rPr>
        <w:footnoteReference w:id="2"/>
      </w:r>
      <w:r w:rsidR="00E649E0">
        <w:rPr>
          <w:rFonts w:ascii="Times New Roman" w:hAnsi="Times New Roman" w:cs="Times New Roman"/>
          <w:i/>
        </w:rPr>
        <w:t xml:space="preserve"> </w:t>
      </w:r>
      <w:r w:rsidR="00C110AF" w:rsidRPr="004C0F11">
        <w:rPr>
          <w:rFonts w:ascii="Times New Roman" w:hAnsi="Times New Roman" w:cs="Times New Roman"/>
        </w:rPr>
        <w:t xml:space="preserve">may be </w:t>
      </w:r>
      <w:r w:rsidRPr="004C0F11">
        <w:rPr>
          <w:rFonts w:ascii="Times New Roman" w:hAnsi="Times New Roman" w:cs="Times New Roman"/>
        </w:rPr>
        <w:t xml:space="preserve">expanding nuisance law to encompass </w:t>
      </w:r>
      <w:r w:rsidR="00EE5FEF" w:rsidRPr="004C0F11">
        <w:rPr>
          <w:rFonts w:ascii="Times New Roman" w:hAnsi="Times New Roman" w:cs="Times New Roman"/>
        </w:rPr>
        <w:t>novel claims for economic loss in</w:t>
      </w:r>
      <w:r w:rsidRPr="004C0F11">
        <w:rPr>
          <w:rFonts w:ascii="Times New Roman" w:hAnsi="Times New Roman" w:cs="Times New Roman"/>
        </w:rPr>
        <w:t xml:space="preserve"> product liability.</w:t>
      </w:r>
      <w:r w:rsidR="00E649E0">
        <w:rPr>
          <w:rFonts w:ascii="Times New Roman" w:hAnsi="Times New Roman" w:cs="Times New Roman"/>
        </w:rPr>
        <w:t xml:space="preserve"> This case could impose a duty of care on </w:t>
      </w:r>
      <w:r w:rsidR="00DD7B95">
        <w:rPr>
          <w:rFonts w:ascii="Times New Roman" w:hAnsi="Times New Roman" w:cs="Times New Roman"/>
        </w:rPr>
        <w:t xml:space="preserve">the applicable </w:t>
      </w:r>
      <w:r w:rsidR="00E649E0">
        <w:rPr>
          <w:rFonts w:ascii="Times New Roman" w:hAnsi="Times New Roman" w:cs="Times New Roman"/>
        </w:rPr>
        <w:t>biotech seed company and impose negligence liability for failing to foresee the emergence of a major market and get approval there before marketing a new biotech crop. This would apply even for crops that are fully approved in the U</w:t>
      </w:r>
      <w:r w:rsidR="00DD7B95">
        <w:rPr>
          <w:rFonts w:ascii="Times New Roman" w:hAnsi="Times New Roman" w:cs="Times New Roman"/>
        </w:rPr>
        <w:t>.</w:t>
      </w:r>
      <w:r w:rsidR="00E649E0">
        <w:rPr>
          <w:rFonts w:ascii="Times New Roman" w:hAnsi="Times New Roman" w:cs="Times New Roman"/>
        </w:rPr>
        <w:t>S</w:t>
      </w:r>
      <w:r w:rsidR="00DD7B95">
        <w:rPr>
          <w:rFonts w:ascii="Times New Roman" w:hAnsi="Times New Roman" w:cs="Times New Roman"/>
        </w:rPr>
        <w:t>.</w:t>
      </w:r>
      <w:r w:rsidR="00E649E0">
        <w:rPr>
          <w:rFonts w:ascii="Times New Roman" w:hAnsi="Times New Roman" w:cs="Times New Roman"/>
        </w:rPr>
        <w:t xml:space="preserve"> and which leading </w:t>
      </w:r>
      <w:r w:rsidR="00C90F4F">
        <w:rPr>
          <w:rFonts w:ascii="Times New Roman" w:hAnsi="Times New Roman" w:cs="Times New Roman"/>
        </w:rPr>
        <w:t xml:space="preserve">U.S. </w:t>
      </w:r>
      <w:r w:rsidR="00E649E0">
        <w:rPr>
          <w:rFonts w:ascii="Times New Roman" w:hAnsi="Times New Roman" w:cs="Times New Roman"/>
        </w:rPr>
        <w:t>grower associations want the company to sell.</w:t>
      </w:r>
    </w:p>
    <w:p w14:paraId="3937526A" w14:textId="77777777" w:rsidR="00C110AF" w:rsidRPr="004C0F11" w:rsidRDefault="00C110AF" w:rsidP="002D5ACB">
      <w:pPr>
        <w:spacing w:line="276" w:lineRule="auto"/>
        <w:rPr>
          <w:rFonts w:ascii="Times New Roman" w:hAnsi="Times New Roman" w:cs="Times New Roman"/>
        </w:rPr>
      </w:pPr>
    </w:p>
    <w:p w14:paraId="2F62C3E4" w14:textId="2DFFCDE5" w:rsidR="00F35195" w:rsidRPr="004C0F11" w:rsidRDefault="007B3CE9" w:rsidP="002D5ACB">
      <w:pPr>
        <w:pStyle w:val="pxp"/>
        <w:spacing w:line="276" w:lineRule="auto"/>
        <w:rPr>
          <w:rFonts w:ascii="Times New Roman" w:hAnsi="Times New Roman" w:cs="Times New Roman"/>
        </w:rPr>
      </w:pPr>
      <w:r w:rsidRPr="004C0F11">
        <w:rPr>
          <w:rFonts w:ascii="Times New Roman" w:hAnsi="Times New Roman" w:cs="Times New Roman"/>
        </w:rPr>
        <w:t xml:space="preserve"> </w:t>
      </w:r>
      <w:r w:rsidRPr="004C0F11">
        <w:rPr>
          <w:rStyle w:val="pxvis"/>
          <w:rFonts w:ascii="Times New Roman" w:hAnsi="Times New Roman" w:cs="Times New Roman"/>
          <w:b w:val="0"/>
          <w:bCs w:val="0"/>
          <w:sz w:val="24"/>
          <w:szCs w:val="24"/>
        </w:rPr>
        <w:tab/>
      </w:r>
      <w:r w:rsidRPr="004C0F11">
        <w:rPr>
          <w:rFonts w:ascii="Times New Roman" w:hAnsi="Times New Roman" w:cs="Times New Roman"/>
        </w:rPr>
        <w:t xml:space="preserve">The product liability risks for the release of products of these technologies can be massive in scope, with both environmental remediation and food recalls potentially triggered by a release </w:t>
      </w:r>
      <w:r w:rsidR="00807292" w:rsidRPr="004C0F11">
        <w:rPr>
          <w:rFonts w:ascii="Times New Roman" w:hAnsi="Times New Roman" w:cs="Times New Roman"/>
        </w:rPr>
        <w:t>that has</w:t>
      </w:r>
      <w:r w:rsidR="00A77B76">
        <w:rPr>
          <w:rFonts w:ascii="Times New Roman" w:hAnsi="Times New Roman" w:cs="Times New Roman"/>
        </w:rPr>
        <w:t xml:space="preserve"> yet to be </w:t>
      </w:r>
      <w:r w:rsidRPr="004C0F11">
        <w:rPr>
          <w:rFonts w:ascii="Times New Roman" w:hAnsi="Times New Roman" w:cs="Times New Roman"/>
        </w:rPr>
        <w:t>authorized</w:t>
      </w:r>
      <w:r w:rsidR="00A77B76">
        <w:rPr>
          <w:rFonts w:ascii="Times New Roman" w:hAnsi="Times New Roman" w:cs="Times New Roman"/>
        </w:rPr>
        <w:t xml:space="preserve"> for export to a major</w:t>
      </w:r>
      <w:r w:rsidR="00C110AF" w:rsidRPr="004C0F11">
        <w:rPr>
          <w:rFonts w:ascii="Times New Roman" w:hAnsi="Times New Roman" w:cs="Times New Roman"/>
        </w:rPr>
        <w:t xml:space="preserve"> export market</w:t>
      </w:r>
      <w:r w:rsidRPr="004C0F11">
        <w:rPr>
          <w:rFonts w:ascii="Times New Roman" w:hAnsi="Times New Roman" w:cs="Times New Roman"/>
        </w:rPr>
        <w:t>. Fortunately, these risks are also amenable to management through proactive assessment and management of</w:t>
      </w:r>
      <w:r w:rsidR="00C110AF" w:rsidRPr="004C0F11">
        <w:rPr>
          <w:rFonts w:ascii="Times New Roman" w:hAnsi="Times New Roman" w:cs="Times New Roman"/>
        </w:rPr>
        <w:t xml:space="preserve"> known and</w:t>
      </w:r>
      <w:r w:rsidRPr="004C0F11">
        <w:rPr>
          <w:rFonts w:ascii="Times New Roman" w:hAnsi="Times New Roman" w:cs="Times New Roman"/>
        </w:rPr>
        <w:t xml:space="preserve"> knowable hazards. The 20th century </w:t>
      </w:r>
      <w:r w:rsidR="00C110AF" w:rsidRPr="004C0F11">
        <w:rPr>
          <w:rFonts w:ascii="Times New Roman" w:hAnsi="Times New Roman" w:cs="Times New Roman"/>
        </w:rPr>
        <w:t>had a long li</w:t>
      </w:r>
      <w:r w:rsidR="00C90F4F">
        <w:rPr>
          <w:rFonts w:ascii="Times New Roman" w:hAnsi="Times New Roman" w:cs="Times New Roman"/>
        </w:rPr>
        <w:t>st</w:t>
      </w:r>
      <w:r w:rsidR="00C110AF" w:rsidRPr="004C0F11">
        <w:rPr>
          <w:rFonts w:ascii="Times New Roman" w:hAnsi="Times New Roman" w:cs="Times New Roman"/>
        </w:rPr>
        <w:t xml:space="preserve"> of </w:t>
      </w:r>
      <w:r w:rsidR="00E649E0">
        <w:rPr>
          <w:rFonts w:ascii="Times New Roman" w:hAnsi="Times New Roman" w:cs="Times New Roman"/>
        </w:rPr>
        <w:t>produ</w:t>
      </w:r>
      <w:r w:rsidRPr="004C0F11">
        <w:rPr>
          <w:rFonts w:ascii="Times New Roman" w:hAnsi="Times New Roman" w:cs="Times New Roman"/>
        </w:rPr>
        <w:t>ct lines that failed to address their environmental and economic liability risks</w:t>
      </w:r>
      <w:r w:rsidR="002263C2">
        <w:rPr>
          <w:rFonts w:ascii="Times New Roman" w:hAnsi="Times New Roman" w:cs="Times New Roman"/>
        </w:rPr>
        <w:t xml:space="preserve"> </w:t>
      </w:r>
      <w:r w:rsidRPr="004C0F11">
        <w:rPr>
          <w:rFonts w:ascii="Times New Roman" w:hAnsi="Times New Roman" w:cs="Times New Roman"/>
        </w:rPr>
        <w:t>--</w:t>
      </w:r>
      <w:r w:rsidR="002263C2">
        <w:rPr>
          <w:rFonts w:ascii="Times New Roman" w:hAnsi="Times New Roman" w:cs="Times New Roman"/>
        </w:rPr>
        <w:t xml:space="preserve"> </w:t>
      </w:r>
      <w:r w:rsidRPr="004C0F11">
        <w:rPr>
          <w:rFonts w:ascii="Times New Roman" w:hAnsi="Times New Roman" w:cs="Times New Roman"/>
        </w:rPr>
        <w:t>such as the use and disposal of toxic substances, from asbestos to various chemicals. The costs associated with the trillion-dollar hazardous waste liability were primarily economic costs associated with restoring property to a pristine state, as opposed to harm to human health. A similar emphasis on economic costs of property damage is evident in the liability associated with release of biotech crops.</w:t>
      </w:r>
    </w:p>
    <w:p w14:paraId="13837984" w14:textId="77777777" w:rsidR="003D5FD5" w:rsidRPr="004C0F11" w:rsidRDefault="003D5FD5" w:rsidP="002D5ACB">
      <w:pPr>
        <w:spacing w:line="276" w:lineRule="auto"/>
        <w:rPr>
          <w:rFonts w:ascii="Times New Roman" w:hAnsi="Times New Roman" w:cs="Times New Roman"/>
        </w:rPr>
      </w:pPr>
    </w:p>
    <w:p w14:paraId="6EAF27C5" w14:textId="77777777" w:rsidR="00FB21E0" w:rsidRDefault="007B3CE9" w:rsidP="002D5ACB">
      <w:pPr>
        <w:pStyle w:val="pxp"/>
        <w:spacing w:line="276" w:lineRule="auto"/>
        <w:rPr>
          <w:rFonts w:ascii="Times New Roman" w:hAnsi="Times New Roman" w:cs="Times New Roman"/>
        </w:rPr>
      </w:pPr>
      <w:r w:rsidRPr="004C0F11">
        <w:rPr>
          <w:rFonts w:ascii="Times New Roman" w:hAnsi="Times New Roman" w:cs="Times New Roman"/>
        </w:rPr>
        <w:t xml:space="preserve"> </w:t>
      </w:r>
      <w:r w:rsidRPr="004C0F11">
        <w:rPr>
          <w:rStyle w:val="pxvis"/>
          <w:rFonts w:ascii="Times New Roman" w:hAnsi="Times New Roman" w:cs="Times New Roman"/>
          <w:b w:val="0"/>
          <w:bCs w:val="0"/>
          <w:sz w:val="24"/>
          <w:szCs w:val="24"/>
        </w:rPr>
        <w:tab/>
      </w:r>
      <w:r w:rsidRPr="004C0F11">
        <w:rPr>
          <w:rFonts w:ascii="Times New Roman" w:hAnsi="Times New Roman" w:cs="Times New Roman"/>
        </w:rPr>
        <w:t>While</w:t>
      </w:r>
      <w:r w:rsidR="002263C2">
        <w:rPr>
          <w:rFonts w:ascii="Times New Roman" w:hAnsi="Times New Roman" w:cs="Times New Roman"/>
        </w:rPr>
        <w:t xml:space="preserve"> the 20</w:t>
      </w:r>
      <w:r w:rsidR="002263C2" w:rsidRPr="002263C2">
        <w:rPr>
          <w:rFonts w:ascii="Times New Roman" w:hAnsi="Times New Roman" w:cs="Times New Roman"/>
          <w:vertAlign w:val="superscript"/>
        </w:rPr>
        <w:t>th</w:t>
      </w:r>
      <w:r w:rsidR="002263C2">
        <w:rPr>
          <w:rFonts w:ascii="Times New Roman" w:hAnsi="Times New Roman" w:cs="Times New Roman"/>
        </w:rPr>
        <w:t xml:space="preserve"> Century saw</w:t>
      </w:r>
      <w:r w:rsidRPr="004C0F11">
        <w:rPr>
          <w:rFonts w:ascii="Times New Roman" w:hAnsi="Times New Roman" w:cs="Times New Roman"/>
        </w:rPr>
        <w:t xml:space="preserve"> billions</w:t>
      </w:r>
      <w:r w:rsidR="002263C2">
        <w:rPr>
          <w:rFonts w:ascii="Times New Roman" w:hAnsi="Times New Roman" w:cs="Times New Roman"/>
        </w:rPr>
        <w:t>, perhaps trillions</w:t>
      </w:r>
      <w:r w:rsidRPr="004C0F11">
        <w:rPr>
          <w:rFonts w:ascii="Times New Roman" w:hAnsi="Times New Roman" w:cs="Times New Roman"/>
        </w:rPr>
        <w:t xml:space="preserve"> of dollars paid </w:t>
      </w:r>
      <w:r w:rsidR="002263C2">
        <w:rPr>
          <w:rFonts w:ascii="Times New Roman" w:hAnsi="Times New Roman" w:cs="Times New Roman"/>
        </w:rPr>
        <w:t xml:space="preserve">out </w:t>
      </w:r>
      <w:r w:rsidRPr="004C0F11">
        <w:rPr>
          <w:rFonts w:ascii="Times New Roman" w:hAnsi="Times New Roman" w:cs="Times New Roman"/>
        </w:rPr>
        <w:t>in personal injury settlements and judgments for hazardous waste and toxic substances (like asbestos),</w:t>
      </w:r>
      <w:r w:rsidR="002263C2">
        <w:rPr>
          <w:rStyle w:val="FootnoteReference"/>
          <w:rFonts w:ascii="Times New Roman" w:hAnsi="Times New Roman" w:cs="Times New Roman"/>
        </w:rPr>
        <w:footnoteReference w:id="3"/>
      </w:r>
      <w:r w:rsidRPr="004C0F11">
        <w:rPr>
          <w:rFonts w:ascii="Times New Roman" w:hAnsi="Times New Roman" w:cs="Times New Roman"/>
        </w:rPr>
        <w:t xml:space="preserve"> the vast majority of payments making up the trillion-dollar liability was not due </w:t>
      </w:r>
      <w:r w:rsidR="002263C2">
        <w:rPr>
          <w:rFonts w:ascii="Times New Roman" w:hAnsi="Times New Roman" w:cs="Times New Roman"/>
        </w:rPr>
        <w:t xml:space="preserve">entirely </w:t>
      </w:r>
      <w:r w:rsidRPr="004C0F11">
        <w:rPr>
          <w:rFonts w:ascii="Times New Roman" w:hAnsi="Times New Roman" w:cs="Times New Roman"/>
        </w:rPr>
        <w:t xml:space="preserve">to injuries, but to the need to remove from property the perceived threat posed by traces of such compounds. This was damage to property, however, and not lost profits. </w:t>
      </w:r>
    </w:p>
    <w:p w14:paraId="12376687" w14:textId="77777777" w:rsidR="00FB21E0" w:rsidRDefault="00FB21E0" w:rsidP="002D5ACB">
      <w:pPr>
        <w:pStyle w:val="pxp"/>
        <w:spacing w:line="276" w:lineRule="auto"/>
        <w:rPr>
          <w:rFonts w:ascii="Times New Roman" w:hAnsi="Times New Roman" w:cs="Times New Roman"/>
        </w:rPr>
      </w:pPr>
    </w:p>
    <w:p w14:paraId="7B01C795" w14:textId="4FABF088" w:rsidR="00F35195" w:rsidRPr="004C0F11" w:rsidRDefault="007B3CE9" w:rsidP="00FB21E0">
      <w:pPr>
        <w:pStyle w:val="pxp"/>
        <w:spacing w:line="276" w:lineRule="auto"/>
        <w:ind w:firstLine="720"/>
        <w:rPr>
          <w:rFonts w:ascii="Times New Roman" w:hAnsi="Times New Roman" w:cs="Times New Roman"/>
        </w:rPr>
      </w:pPr>
      <w:r w:rsidRPr="004C0F11">
        <w:rPr>
          <w:rFonts w:ascii="Times New Roman" w:hAnsi="Times New Roman" w:cs="Times New Roman"/>
        </w:rPr>
        <w:t xml:space="preserve">The expansion of nuisance and negligence law to compensate growers of biotech crops is a development worth examining, as a novel expansion of tort law. With </w:t>
      </w:r>
      <w:r w:rsidR="002263C2">
        <w:rPr>
          <w:rFonts w:ascii="Times New Roman" w:hAnsi="Times New Roman" w:cs="Times New Roman"/>
        </w:rPr>
        <w:t xml:space="preserve">the steady </w:t>
      </w:r>
      <w:r w:rsidRPr="004C0F11">
        <w:rPr>
          <w:rFonts w:ascii="Times New Roman" w:hAnsi="Times New Roman" w:cs="Times New Roman"/>
        </w:rPr>
        <w:t xml:space="preserve">expansion of </w:t>
      </w:r>
      <w:r w:rsidR="002263C2">
        <w:rPr>
          <w:rFonts w:ascii="Times New Roman" w:hAnsi="Times New Roman" w:cs="Times New Roman"/>
        </w:rPr>
        <w:lastRenderedPageBreak/>
        <w:t>tort law occurring over the past twenty years,</w:t>
      </w:r>
      <w:r w:rsidRPr="004C0F11">
        <w:rPr>
          <w:rFonts w:ascii="Times New Roman" w:hAnsi="Times New Roman" w:cs="Times New Roman"/>
        </w:rPr>
        <w:t xml:space="preserve"> the duty of due care to avoid such negligence </w:t>
      </w:r>
      <w:r w:rsidR="002263C2">
        <w:rPr>
          <w:rFonts w:ascii="Times New Roman" w:hAnsi="Times New Roman" w:cs="Times New Roman"/>
        </w:rPr>
        <w:t>in managing export-related risks of biotech crops</w:t>
      </w:r>
      <w:r w:rsidR="002D5ACB">
        <w:rPr>
          <w:rFonts w:ascii="Times New Roman" w:hAnsi="Times New Roman" w:cs="Times New Roman"/>
        </w:rPr>
        <w:t xml:space="preserve"> has also expanded to stretch the boundaries of reasonable expectation. This requires </w:t>
      </w:r>
      <w:r w:rsidRPr="004C0F11">
        <w:rPr>
          <w:rFonts w:ascii="Times New Roman" w:hAnsi="Times New Roman" w:cs="Times New Roman"/>
        </w:rPr>
        <w:t>an expanded understanding of risk management in order to prevent such liability.</w:t>
      </w:r>
    </w:p>
    <w:p w14:paraId="0E52A375" w14:textId="47A34F4C" w:rsidR="00F35195" w:rsidRPr="004C0F11" w:rsidRDefault="00F35195" w:rsidP="002D5ACB">
      <w:pPr>
        <w:pStyle w:val="pxp"/>
        <w:spacing w:line="276" w:lineRule="auto"/>
        <w:rPr>
          <w:rFonts w:ascii="Times New Roman" w:hAnsi="Times New Roman" w:cs="Times New Roman"/>
        </w:rPr>
      </w:pPr>
    </w:p>
    <w:p w14:paraId="137FB941" w14:textId="6D6B9BA8" w:rsidR="00B43A05" w:rsidRDefault="003F3300" w:rsidP="002D5ACB">
      <w:pPr>
        <w:pStyle w:val="pxd"/>
        <w:spacing w:before="180" w:line="276" w:lineRule="auto"/>
        <w:rPr>
          <w:rFonts w:ascii="Times New Roman" w:hAnsi="Times New Roman" w:cs="Times New Roman"/>
          <w:b/>
        </w:rPr>
      </w:pPr>
      <w:r w:rsidRPr="004C0F11">
        <w:rPr>
          <w:rFonts w:ascii="Times New Roman" w:hAnsi="Times New Roman" w:cs="Times New Roman"/>
        </w:rPr>
        <w:t>II</w:t>
      </w:r>
      <w:r w:rsidR="007B3CE9" w:rsidRPr="004C0F11">
        <w:rPr>
          <w:rFonts w:ascii="Times New Roman" w:hAnsi="Times New Roman" w:cs="Times New Roman"/>
        </w:rPr>
        <w:t xml:space="preserve">. </w:t>
      </w:r>
      <w:r w:rsidR="007B3CE9" w:rsidRPr="004C0F11">
        <w:rPr>
          <w:rFonts w:ascii="Times New Roman" w:hAnsi="Times New Roman" w:cs="Times New Roman"/>
          <w:b/>
        </w:rPr>
        <w:t>Product Liability in Agricultural Biotechnology</w:t>
      </w:r>
    </w:p>
    <w:p w14:paraId="543F7317" w14:textId="299DCD32" w:rsidR="00E649E0" w:rsidRDefault="00E649E0" w:rsidP="00E649E0">
      <w:r>
        <w:tab/>
      </w:r>
    </w:p>
    <w:p w14:paraId="621678ED" w14:textId="77777777" w:rsidR="00835EC1" w:rsidRDefault="00E649E0" w:rsidP="000D7D45">
      <w:pPr>
        <w:spacing w:line="276" w:lineRule="auto"/>
        <w:rPr>
          <w:rFonts w:ascii="Times New Roman" w:hAnsi="Times New Roman" w:cs="Times New Roman"/>
        </w:rPr>
      </w:pPr>
      <w:r>
        <w:tab/>
      </w:r>
      <w:r w:rsidR="00835EC1" w:rsidRPr="004C0F11">
        <w:rPr>
          <w:rFonts w:ascii="Times New Roman" w:hAnsi="Times New Roman" w:cs="Times New Roman"/>
        </w:rPr>
        <w:t>In managing the risks of emerging technologies, the trillion-dollar historical liability from asbestos and Superfund that the 20</w:t>
      </w:r>
      <w:r w:rsidR="00835EC1" w:rsidRPr="004C0F11">
        <w:rPr>
          <w:rFonts w:ascii="Times New Roman" w:hAnsi="Times New Roman" w:cs="Times New Roman"/>
          <w:vertAlign w:val="superscript"/>
        </w:rPr>
        <w:t>th</w:t>
      </w:r>
      <w:r w:rsidR="00835EC1" w:rsidRPr="004C0F11">
        <w:rPr>
          <w:rFonts w:ascii="Times New Roman" w:hAnsi="Times New Roman" w:cs="Times New Roman"/>
        </w:rPr>
        <w:t xml:space="preserve"> Century left behind will present the 21</w:t>
      </w:r>
      <w:r w:rsidR="00835EC1" w:rsidRPr="004C0F11">
        <w:rPr>
          <w:rFonts w:ascii="Times New Roman" w:hAnsi="Times New Roman" w:cs="Times New Roman"/>
          <w:vertAlign w:val="superscript"/>
        </w:rPr>
        <w:t>st</w:t>
      </w:r>
      <w:r w:rsidR="00835EC1" w:rsidRPr="004C0F11">
        <w:rPr>
          <w:rFonts w:ascii="Times New Roman" w:hAnsi="Times New Roman" w:cs="Times New Roman"/>
        </w:rPr>
        <w:t xml:space="preserve"> Century with lessons to be learned—including risks that are barely foreseeable today that may nevertheless become serious liability problems in the future. The recent history of agricultural biotechnology illustrates how history can repeat itself </w:t>
      </w:r>
      <w:r w:rsidR="00835EC1">
        <w:rPr>
          <w:rFonts w:ascii="Times New Roman" w:hAnsi="Times New Roman" w:cs="Times New Roman"/>
        </w:rPr>
        <w:t xml:space="preserve">as </w:t>
      </w:r>
      <w:proofErr w:type="spellStart"/>
      <w:r w:rsidR="00835EC1">
        <w:rPr>
          <w:rFonts w:ascii="Times New Roman" w:hAnsi="Times New Roman" w:cs="Times New Roman"/>
        </w:rPr>
        <w:t>Starlink</w:t>
      </w:r>
      <w:proofErr w:type="spellEnd"/>
      <w:r w:rsidR="00835EC1">
        <w:rPr>
          <w:rFonts w:ascii="Times New Roman" w:hAnsi="Times New Roman" w:cs="Times New Roman"/>
        </w:rPr>
        <w:t>® corn gives rise to Liberty Link® rice, and leads to Syngenta’s China litigation</w:t>
      </w:r>
      <w:r w:rsidR="00835EC1" w:rsidRPr="004C0F11">
        <w:rPr>
          <w:rFonts w:ascii="Times New Roman" w:hAnsi="Times New Roman" w:cs="Times New Roman"/>
        </w:rPr>
        <w:t>.</w:t>
      </w:r>
    </w:p>
    <w:p w14:paraId="2DEA24C3" w14:textId="77777777" w:rsidR="00835EC1" w:rsidRDefault="00835EC1" w:rsidP="000D7D45">
      <w:pPr>
        <w:spacing w:line="276" w:lineRule="auto"/>
        <w:rPr>
          <w:rFonts w:ascii="Times New Roman" w:hAnsi="Times New Roman" w:cs="Times New Roman"/>
        </w:rPr>
      </w:pPr>
    </w:p>
    <w:p w14:paraId="25D5B9ED" w14:textId="263DDA3D" w:rsidR="00E649E0" w:rsidRPr="00E649E0" w:rsidRDefault="00E649E0" w:rsidP="00835EC1">
      <w:pPr>
        <w:spacing w:line="276" w:lineRule="auto"/>
        <w:ind w:firstLine="720"/>
      </w:pPr>
      <w:r w:rsidRPr="004C0F11">
        <w:rPr>
          <w:rFonts w:ascii="Times New Roman" w:hAnsi="Times New Roman" w:cs="Times New Roman"/>
        </w:rPr>
        <w:t>The scope of liability for biotech crops has been determined in three stages over the past 15 years.</w:t>
      </w:r>
      <w:r w:rsidR="00D65D00">
        <w:rPr>
          <w:rFonts w:ascii="Times New Roman" w:hAnsi="Times New Roman" w:cs="Times New Roman"/>
        </w:rPr>
        <w:t xml:space="preserve">  After </w:t>
      </w:r>
      <w:proofErr w:type="spellStart"/>
      <w:r w:rsidR="00D65D00">
        <w:rPr>
          <w:rFonts w:ascii="Times New Roman" w:hAnsi="Times New Roman" w:cs="Times New Roman"/>
        </w:rPr>
        <w:t>Starlink</w:t>
      </w:r>
      <w:proofErr w:type="spellEnd"/>
      <w:r w:rsidR="00C90F4F">
        <w:rPr>
          <w:rFonts w:ascii="Times New Roman" w:hAnsi="Times New Roman" w:cs="Times New Roman"/>
        </w:rPr>
        <w:t xml:space="preserve">® </w:t>
      </w:r>
      <w:r w:rsidR="00D65D00">
        <w:rPr>
          <w:rFonts w:ascii="Times New Roman" w:hAnsi="Times New Roman" w:cs="Times New Roman"/>
        </w:rPr>
        <w:t xml:space="preserve">corn recognized a claim for nuisance and negligence arising from a physical injury and regulatory violation </w:t>
      </w:r>
      <w:r w:rsidR="000001EF">
        <w:rPr>
          <w:rFonts w:ascii="Times New Roman" w:hAnsi="Times New Roman" w:cs="Times New Roman"/>
        </w:rPr>
        <w:t>that led to a</w:t>
      </w:r>
      <w:r w:rsidR="00D65D00">
        <w:rPr>
          <w:rFonts w:ascii="Times New Roman" w:hAnsi="Times New Roman" w:cs="Times New Roman"/>
        </w:rPr>
        <w:t xml:space="preserve"> U.S. recall, Liberty Link</w:t>
      </w:r>
      <w:r w:rsidR="00C90F4F">
        <w:rPr>
          <w:rFonts w:ascii="Times New Roman" w:hAnsi="Times New Roman" w:cs="Times New Roman"/>
        </w:rPr>
        <w:t>®</w:t>
      </w:r>
      <w:r w:rsidR="00D65D00">
        <w:rPr>
          <w:rFonts w:ascii="Times New Roman" w:hAnsi="Times New Roman" w:cs="Times New Roman"/>
        </w:rPr>
        <w:t xml:space="preserve"> rice trials awarded damages based on that precedent for disruption of major markets overseas (mainly the EU). Syngenta’s China </w:t>
      </w:r>
      <w:r w:rsidR="000D7D45">
        <w:rPr>
          <w:rFonts w:ascii="Times New Roman" w:hAnsi="Times New Roman" w:cs="Times New Roman"/>
        </w:rPr>
        <w:t>case would impose liability for</w:t>
      </w:r>
      <w:r w:rsidR="00D65D00">
        <w:rPr>
          <w:rFonts w:ascii="Times New Roman" w:hAnsi="Times New Roman" w:cs="Times New Roman"/>
        </w:rPr>
        <w:t xml:space="preserve"> failing to foresee the emergence of a majo</w:t>
      </w:r>
      <w:r w:rsidR="000001EF">
        <w:rPr>
          <w:rFonts w:ascii="Times New Roman" w:hAnsi="Times New Roman" w:cs="Times New Roman"/>
        </w:rPr>
        <w:t>r market and get approval there.</w:t>
      </w:r>
    </w:p>
    <w:p w14:paraId="48DBF14A" w14:textId="49E1B3C0" w:rsidR="00F35195" w:rsidRDefault="00E649E0" w:rsidP="00D65D00">
      <w:pPr>
        <w:pStyle w:val="pxs"/>
        <w:numPr>
          <w:ilvl w:val="0"/>
          <w:numId w:val="12"/>
        </w:numPr>
        <w:spacing w:before="180" w:line="276" w:lineRule="auto"/>
        <w:rPr>
          <w:rFonts w:ascii="Times New Roman" w:hAnsi="Times New Roman" w:cs="Times New Roman"/>
          <w:b/>
        </w:rPr>
      </w:pPr>
      <w:proofErr w:type="spellStart"/>
      <w:r>
        <w:rPr>
          <w:rFonts w:ascii="Times New Roman" w:hAnsi="Times New Roman" w:cs="Times New Roman"/>
          <w:b/>
        </w:rPr>
        <w:t>Starlink’s</w:t>
      </w:r>
      <w:proofErr w:type="spellEnd"/>
      <w:r>
        <w:rPr>
          <w:rFonts w:ascii="Times New Roman" w:hAnsi="Times New Roman" w:cs="Times New Roman"/>
          <w:b/>
        </w:rPr>
        <w:t xml:space="preserve"> “Physical Injury” &amp; </w:t>
      </w:r>
      <w:r w:rsidR="007B3CE9" w:rsidRPr="004C0F11">
        <w:rPr>
          <w:rFonts w:ascii="Times New Roman" w:hAnsi="Times New Roman" w:cs="Times New Roman"/>
          <w:b/>
        </w:rPr>
        <w:t xml:space="preserve">Economic liability </w:t>
      </w:r>
    </w:p>
    <w:p w14:paraId="007A7FE4" w14:textId="31517994" w:rsidR="00E649E0" w:rsidRDefault="00E649E0" w:rsidP="00E649E0"/>
    <w:p w14:paraId="0293D951" w14:textId="77777777" w:rsidR="00FB21E0" w:rsidRDefault="00D65D00" w:rsidP="00D65D00">
      <w:pPr>
        <w:spacing w:line="276" w:lineRule="auto"/>
        <w:ind w:firstLine="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Starlink</w:t>
      </w:r>
      <w:proofErr w:type="spellEnd"/>
      <w:r>
        <w:rPr>
          <w:rFonts w:ascii="Times New Roman" w:hAnsi="Times New Roman" w:cs="Times New Roman"/>
        </w:rPr>
        <w:t xml:space="preserve"> corn precedent took the </w:t>
      </w:r>
      <w:r w:rsidR="00E649E0">
        <w:rPr>
          <w:rFonts w:ascii="Times New Roman" w:hAnsi="Times New Roman" w:cs="Times New Roman"/>
        </w:rPr>
        <w:t>first step towards creating biotech seed company liability for failing to foresee the emergence of a majo</w:t>
      </w:r>
      <w:r>
        <w:rPr>
          <w:rFonts w:ascii="Times New Roman" w:hAnsi="Times New Roman" w:cs="Times New Roman"/>
        </w:rPr>
        <w:t>r market and get approval there.  T</w:t>
      </w:r>
      <w:r w:rsidR="007B3CE9" w:rsidRPr="004C0F11">
        <w:rPr>
          <w:rFonts w:ascii="Times New Roman" w:hAnsi="Times New Roman" w:cs="Times New Roman"/>
        </w:rPr>
        <w:t xml:space="preserve">he court decisions and settlements arising from the sale of </w:t>
      </w:r>
      <w:proofErr w:type="spellStart"/>
      <w:r w:rsidR="007B3CE9" w:rsidRPr="004C0F11">
        <w:rPr>
          <w:rFonts w:ascii="Times New Roman" w:hAnsi="Times New Roman" w:cs="Times New Roman"/>
        </w:rPr>
        <w:t>Starlink</w:t>
      </w:r>
      <w:proofErr w:type="spellEnd"/>
      <w:r w:rsidR="007B3CE9" w:rsidRPr="004C0F11">
        <w:rPr>
          <w:rFonts w:ascii="Times New Roman" w:hAnsi="Times New Roman" w:cs="Times New Roman"/>
        </w:rPr>
        <w:t xml:space="preserve"> corn by Aventis Crop Sciences USA's predecessor, </w:t>
      </w:r>
      <w:proofErr w:type="spellStart"/>
      <w:r w:rsidR="007B3CE9" w:rsidRPr="004C0F11">
        <w:rPr>
          <w:rFonts w:ascii="Times New Roman" w:hAnsi="Times New Roman" w:cs="Times New Roman"/>
        </w:rPr>
        <w:t>AgrEvo</w:t>
      </w:r>
      <w:proofErr w:type="spellEnd"/>
      <w:r w:rsidR="007B3CE9" w:rsidRPr="004C0F11">
        <w:rPr>
          <w:rFonts w:ascii="Times New Roman" w:hAnsi="Times New Roman" w:cs="Times New Roman"/>
        </w:rPr>
        <w:t xml:space="preserve"> USA, established that economi</w:t>
      </w:r>
      <w:r>
        <w:rPr>
          <w:rFonts w:ascii="Times New Roman" w:hAnsi="Times New Roman" w:cs="Times New Roman"/>
        </w:rPr>
        <w:t>c injuries could be recovered after commingling of corn that was deemed a</w:t>
      </w:r>
      <w:r w:rsidR="007B3CE9" w:rsidRPr="004C0F11">
        <w:rPr>
          <w:rFonts w:ascii="Times New Roman" w:hAnsi="Times New Roman" w:cs="Times New Roman"/>
        </w:rPr>
        <w:t xml:space="preserve"> </w:t>
      </w:r>
      <w:r w:rsidR="007B3CE9" w:rsidRPr="004C0F11">
        <w:rPr>
          <w:rStyle w:val="pxvis"/>
          <w:rFonts w:ascii="Times New Roman" w:hAnsi="Times New Roman" w:cs="Times New Roman"/>
          <w:b w:val="0"/>
          <w:bCs w:val="0"/>
          <w:sz w:val="24"/>
          <w:szCs w:val="24"/>
        </w:rPr>
        <w:t>“</w:t>
      </w:r>
      <w:r w:rsidR="007B3CE9" w:rsidRPr="004C0F11">
        <w:rPr>
          <w:rFonts w:ascii="Times New Roman" w:hAnsi="Times New Roman" w:cs="Times New Roman"/>
        </w:rPr>
        <w:t>physical injury</w:t>
      </w:r>
      <w:r w:rsidR="007B3CE9" w:rsidRPr="004C0F11">
        <w:rPr>
          <w:rStyle w:val="pxvis"/>
          <w:rFonts w:ascii="Times New Roman" w:hAnsi="Times New Roman" w:cs="Times New Roman"/>
          <w:b w:val="0"/>
          <w:bCs w:val="0"/>
          <w:sz w:val="24"/>
          <w:szCs w:val="24"/>
        </w:rPr>
        <w:t>”</w:t>
      </w:r>
      <w:r w:rsidR="000001EF">
        <w:rPr>
          <w:rFonts w:ascii="Times New Roman" w:hAnsi="Times New Roman" w:cs="Times New Roman"/>
        </w:rPr>
        <w:t xml:space="preserve"> to property, including growers’ lost profits.</w:t>
      </w:r>
      <w:r w:rsidR="00051D26">
        <w:rPr>
          <w:rStyle w:val="FootnoteReference"/>
          <w:rFonts w:ascii="Times New Roman" w:hAnsi="Times New Roman" w:cs="Times New Roman"/>
        </w:rPr>
        <w:footnoteReference w:id="4"/>
      </w:r>
      <w:r w:rsidR="007B3CE9" w:rsidRPr="004C0F11">
        <w:rPr>
          <w:rFonts w:ascii="Times New Roman" w:hAnsi="Times New Roman" w:cs="Times New Roman"/>
        </w:rPr>
        <w:t xml:space="preserve"> </w:t>
      </w:r>
      <w:r>
        <w:rPr>
          <w:rFonts w:ascii="Times New Roman" w:hAnsi="Times New Roman" w:cs="Times New Roman"/>
        </w:rPr>
        <w:t>Since the EPA revoked approval for this crop</w:t>
      </w:r>
      <w:r w:rsidR="00610CE9" w:rsidRPr="00610CE9">
        <w:rPr>
          <w:rFonts w:ascii="Times New Roman" w:hAnsi="Times New Roman" w:cs="Times New Roman"/>
        </w:rPr>
        <w:t xml:space="preserve"> </w:t>
      </w:r>
      <w:r w:rsidR="00610CE9" w:rsidRPr="004C0F11">
        <w:rPr>
          <w:rFonts w:ascii="Times New Roman" w:hAnsi="Times New Roman" w:cs="Times New Roman"/>
        </w:rPr>
        <w:t xml:space="preserve">and declared </w:t>
      </w:r>
      <w:proofErr w:type="spellStart"/>
      <w:r w:rsidR="00610CE9" w:rsidRPr="004C0F11">
        <w:rPr>
          <w:rFonts w:ascii="Times New Roman" w:hAnsi="Times New Roman" w:cs="Times New Roman"/>
        </w:rPr>
        <w:t>Starli</w:t>
      </w:r>
      <w:r w:rsidR="000D7D45">
        <w:rPr>
          <w:rFonts w:ascii="Times New Roman" w:hAnsi="Times New Roman" w:cs="Times New Roman"/>
        </w:rPr>
        <w:t>nk</w:t>
      </w:r>
      <w:proofErr w:type="spellEnd"/>
      <w:r w:rsidR="000D7D45">
        <w:rPr>
          <w:rFonts w:ascii="Times New Roman" w:hAnsi="Times New Roman" w:cs="Times New Roman"/>
        </w:rPr>
        <w:t xml:space="preserve"> corn a potential health risk,</w:t>
      </w:r>
      <w:r w:rsidR="00610CE9">
        <w:rPr>
          <w:rStyle w:val="FootnoteReference"/>
          <w:rFonts w:ascii="Times New Roman" w:hAnsi="Times New Roman" w:cs="Times New Roman"/>
        </w:rPr>
        <w:footnoteReference w:id="5"/>
      </w:r>
      <w:r w:rsidR="000D7D45">
        <w:rPr>
          <w:rFonts w:ascii="Times New Roman" w:hAnsi="Times New Roman" w:cs="Times New Roman"/>
        </w:rPr>
        <w:t xml:space="preserve"> </w:t>
      </w:r>
      <w:r>
        <w:rPr>
          <w:rFonts w:ascii="Times New Roman" w:hAnsi="Times New Roman" w:cs="Times New Roman"/>
        </w:rPr>
        <w:t xml:space="preserve">it was subject to a nationwide and international recalls, with significant disruption of trade.  </w:t>
      </w:r>
    </w:p>
    <w:p w14:paraId="13529E74" w14:textId="77777777" w:rsidR="00FB21E0" w:rsidRDefault="00FB21E0" w:rsidP="00D65D00">
      <w:pPr>
        <w:spacing w:line="276" w:lineRule="auto"/>
        <w:ind w:firstLine="720"/>
        <w:rPr>
          <w:rFonts w:ascii="Times New Roman" w:hAnsi="Times New Roman" w:cs="Times New Roman"/>
        </w:rPr>
      </w:pPr>
    </w:p>
    <w:p w14:paraId="5837C046" w14:textId="67C88992" w:rsidR="00D65D00" w:rsidRDefault="00610CE9" w:rsidP="00D65D00">
      <w:pPr>
        <w:spacing w:line="276" w:lineRule="auto"/>
        <w:ind w:firstLine="720"/>
        <w:rPr>
          <w:rFonts w:ascii="Times New Roman" w:hAnsi="Times New Roman" w:cs="Times New Roman"/>
        </w:rPr>
      </w:pPr>
      <w:proofErr w:type="spellStart"/>
      <w:r w:rsidRPr="004C0F11">
        <w:rPr>
          <w:rFonts w:ascii="Times New Roman" w:hAnsi="Times New Roman" w:cs="Times New Roman"/>
        </w:rPr>
        <w:t>Starlink</w:t>
      </w:r>
      <w:proofErr w:type="spellEnd"/>
      <w:r w:rsidRPr="004C0F11">
        <w:rPr>
          <w:rFonts w:ascii="Times New Roman" w:hAnsi="Times New Roman" w:cs="Times New Roman"/>
        </w:rPr>
        <w:t xml:space="preserve"> corn set the stage for biotech seed company liability by recognizing claims for nuisance and negligence arising from a company’s failure to obtain regulatory approval in overseas markets.  </w:t>
      </w:r>
      <w:r w:rsidR="00D65D00">
        <w:rPr>
          <w:rFonts w:ascii="Times New Roman" w:hAnsi="Times New Roman" w:cs="Times New Roman"/>
        </w:rPr>
        <w:t xml:space="preserve">Damages paid in settlement were calculated based on the price impacts to </w:t>
      </w:r>
      <w:r w:rsidR="00C90F4F">
        <w:rPr>
          <w:rFonts w:ascii="Times New Roman" w:hAnsi="Times New Roman" w:cs="Times New Roman"/>
        </w:rPr>
        <w:t xml:space="preserve">commodity </w:t>
      </w:r>
      <w:r w:rsidR="00D65D00">
        <w:rPr>
          <w:rFonts w:ascii="Times New Roman" w:hAnsi="Times New Roman" w:cs="Times New Roman"/>
        </w:rPr>
        <w:t>corn on the Chicago Board of Trade.</w:t>
      </w:r>
    </w:p>
    <w:p w14:paraId="17409563" w14:textId="7AE67778" w:rsidR="00D65D00" w:rsidRDefault="00D65D00" w:rsidP="00D65D00">
      <w:pPr>
        <w:spacing w:line="276" w:lineRule="auto"/>
        <w:ind w:firstLine="720"/>
        <w:rPr>
          <w:rFonts w:ascii="Times New Roman" w:hAnsi="Times New Roman" w:cs="Times New Roman"/>
        </w:rPr>
      </w:pPr>
    </w:p>
    <w:p w14:paraId="768239F1" w14:textId="5345E3E4" w:rsidR="00D65D00" w:rsidRPr="00610CE9" w:rsidRDefault="00D65D00" w:rsidP="00D65D00">
      <w:pPr>
        <w:pStyle w:val="ListParagraph"/>
        <w:numPr>
          <w:ilvl w:val="0"/>
          <w:numId w:val="12"/>
        </w:numPr>
        <w:spacing w:line="276" w:lineRule="auto"/>
        <w:rPr>
          <w:rFonts w:ascii="Times New Roman" w:hAnsi="Times New Roman" w:cs="Times New Roman"/>
          <w:b/>
        </w:rPr>
      </w:pPr>
      <w:r w:rsidRPr="00610CE9">
        <w:rPr>
          <w:rFonts w:ascii="Times New Roman" w:hAnsi="Times New Roman" w:cs="Times New Roman"/>
          <w:b/>
        </w:rPr>
        <w:lastRenderedPageBreak/>
        <w:t>LL Rice</w:t>
      </w:r>
      <w:r w:rsidR="00835EC1">
        <w:rPr>
          <w:rFonts w:ascii="Times New Roman" w:hAnsi="Times New Roman" w:cs="Times New Roman"/>
          <w:b/>
        </w:rPr>
        <w:t>®</w:t>
      </w:r>
      <w:r w:rsidRPr="00610CE9">
        <w:rPr>
          <w:rFonts w:ascii="Times New Roman" w:hAnsi="Times New Roman" w:cs="Times New Roman"/>
          <w:b/>
        </w:rPr>
        <w:t xml:space="preserve"> &amp; the Billion Dollar Payout</w:t>
      </w:r>
    </w:p>
    <w:p w14:paraId="3B403C8A" w14:textId="74A08483" w:rsidR="00D65D00" w:rsidRPr="00610CE9" w:rsidRDefault="00D65D00" w:rsidP="00610CE9">
      <w:pPr>
        <w:spacing w:line="276" w:lineRule="auto"/>
        <w:rPr>
          <w:rFonts w:ascii="Times New Roman" w:hAnsi="Times New Roman" w:cs="Times New Roman"/>
        </w:rPr>
      </w:pPr>
    </w:p>
    <w:p w14:paraId="30C79A29" w14:textId="3885F1B7" w:rsidR="00D65D00" w:rsidRDefault="00D65D00" w:rsidP="00D65D00">
      <w:pPr>
        <w:spacing w:line="276" w:lineRule="auto"/>
        <w:ind w:firstLine="720"/>
        <w:rPr>
          <w:rFonts w:ascii="Times New Roman" w:hAnsi="Times New Roman" w:cs="Times New Roman"/>
        </w:rPr>
      </w:pPr>
      <w:r w:rsidRPr="004C0F11">
        <w:rPr>
          <w:rStyle w:val="pxvis"/>
          <w:rFonts w:ascii="Times New Roman" w:hAnsi="Times New Roman" w:cs="Times New Roman"/>
          <w:b w:val="0"/>
          <w:bCs w:val="0"/>
          <w:sz w:val="24"/>
          <w:szCs w:val="24"/>
        </w:rPr>
        <w:t xml:space="preserve">This liability risk was expanded to include economic impact from lack of overseas approval in the LL Rice cases. </w:t>
      </w:r>
      <w:r w:rsidRPr="004C0F11">
        <w:rPr>
          <w:rFonts w:ascii="Times New Roman" w:hAnsi="Times New Roman" w:cs="Times New Roman"/>
        </w:rPr>
        <w:t xml:space="preserve">In December 2011, Bayer AG (the German parent company of Bayer </w:t>
      </w:r>
      <w:proofErr w:type="spellStart"/>
      <w:r w:rsidRPr="004C0F11">
        <w:rPr>
          <w:rFonts w:ascii="Times New Roman" w:hAnsi="Times New Roman" w:cs="Times New Roman"/>
        </w:rPr>
        <w:t>Cropsciences</w:t>
      </w:r>
      <w:proofErr w:type="spellEnd"/>
      <w:r w:rsidRPr="004C0F11">
        <w:rPr>
          <w:rFonts w:ascii="Times New Roman" w:hAnsi="Times New Roman" w:cs="Times New Roman"/>
        </w:rPr>
        <w:t>) announced that enough growers had signed its proposed $750 million settlement with U.S. rice farmers to confirm that it will compensate them f</w:t>
      </w:r>
      <w:r>
        <w:rPr>
          <w:rFonts w:ascii="Times New Roman" w:hAnsi="Times New Roman" w:cs="Times New Roman"/>
        </w:rPr>
        <w:t>or loss of export rice markets.</w:t>
      </w:r>
      <w:r>
        <w:rPr>
          <w:rStyle w:val="FootnoteReference"/>
          <w:rFonts w:ascii="Times New Roman" w:hAnsi="Times New Roman" w:cs="Times New Roman"/>
        </w:rPr>
        <w:footnoteReference w:id="6"/>
      </w:r>
      <w:r w:rsidRPr="004C0F11">
        <w:rPr>
          <w:rFonts w:ascii="Times New Roman" w:hAnsi="Times New Roman" w:cs="Times New Roman"/>
        </w:rPr>
        <w:t xml:space="preserve"> The decision in </w:t>
      </w:r>
      <w:r w:rsidRPr="004C0F11">
        <w:rPr>
          <w:rStyle w:val="pxi"/>
          <w:rFonts w:ascii="Times New Roman" w:hAnsi="Times New Roman" w:cs="Times New Roman"/>
          <w:i/>
          <w:iCs/>
        </w:rPr>
        <w:t>LL601 Rice</w:t>
      </w:r>
      <w:r w:rsidRPr="004C0F11">
        <w:rPr>
          <w:rFonts w:ascii="Times New Roman" w:hAnsi="Times New Roman" w:cs="Times New Roman"/>
        </w:rPr>
        <w:t xml:space="preserve"> established that negligence could apply to crops that the US had eventually approved--but the EU </w:t>
      </w:r>
      <w:r w:rsidR="000001EF">
        <w:rPr>
          <w:rFonts w:ascii="Times New Roman" w:hAnsi="Times New Roman" w:cs="Times New Roman"/>
        </w:rPr>
        <w:t xml:space="preserve">and other major markets </w:t>
      </w:r>
      <w:r w:rsidRPr="004C0F11">
        <w:rPr>
          <w:rFonts w:ascii="Times New Roman" w:hAnsi="Times New Roman" w:cs="Times New Roman"/>
        </w:rPr>
        <w:t xml:space="preserve">had not. This finding of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contamination</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from economic impacts was reinforced by language used in a 2010 Supreme Court decision</w:t>
      </w:r>
      <w:r w:rsidR="00FB21E0">
        <w:rPr>
          <w:rFonts w:ascii="Times New Roman" w:hAnsi="Times New Roman" w:cs="Times New Roman"/>
        </w:rPr>
        <w:t>, as is discussed in more detail below at Section II.G</w:t>
      </w:r>
      <w:r w:rsidRPr="004C0F11">
        <w:rPr>
          <w:rFonts w:ascii="Times New Roman" w:hAnsi="Times New Roman" w:cs="Times New Roman"/>
        </w:rPr>
        <w:t>.</w:t>
      </w:r>
      <w:r>
        <w:rPr>
          <w:rStyle w:val="FootnoteReference"/>
          <w:rFonts w:ascii="Times New Roman" w:hAnsi="Times New Roman" w:cs="Times New Roman"/>
        </w:rPr>
        <w:footnoteReference w:id="7"/>
      </w:r>
      <w:r w:rsidRPr="004C0F11">
        <w:rPr>
          <w:rFonts w:ascii="Times New Roman" w:hAnsi="Times New Roman" w:cs="Times New Roman"/>
        </w:rPr>
        <w:t xml:space="preserve"> </w:t>
      </w:r>
    </w:p>
    <w:p w14:paraId="04CA3051" w14:textId="6C7F8CA9" w:rsidR="00D65D00" w:rsidRDefault="00D65D00" w:rsidP="00610CE9">
      <w:pPr>
        <w:spacing w:line="276" w:lineRule="auto"/>
        <w:rPr>
          <w:rFonts w:ascii="Times New Roman" w:hAnsi="Times New Roman" w:cs="Times New Roman"/>
          <w:b/>
        </w:rPr>
      </w:pPr>
    </w:p>
    <w:p w14:paraId="688557B3" w14:textId="0B5689C5" w:rsidR="00610CE9" w:rsidRPr="004C0F11" w:rsidRDefault="00610CE9" w:rsidP="00610CE9">
      <w:pPr>
        <w:pStyle w:val="pxp"/>
        <w:spacing w:line="276" w:lineRule="auto"/>
        <w:ind w:firstLine="720"/>
        <w:rPr>
          <w:rFonts w:ascii="Times New Roman" w:hAnsi="Times New Roman" w:cs="Times New Roman"/>
        </w:rPr>
      </w:pPr>
      <w:r w:rsidRPr="004C0F11">
        <w:rPr>
          <w:rFonts w:ascii="Times New Roman" w:hAnsi="Times New Roman" w:cs="Times New Roman"/>
        </w:rPr>
        <w:t>Bayer failed to prove that farmers should have simply avoided the brief dip in rice prices and suffered no harm. Bayer also lost its argument that prompt U</w:t>
      </w:r>
      <w:r w:rsidR="00DD7B95">
        <w:rPr>
          <w:rFonts w:ascii="Times New Roman" w:hAnsi="Times New Roman" w:cs="Times New Roman"/>
        </w:rPr>
        <w:t>.</w:t>
      </w:r>
      <w:r w:rsidRPr="004C0F11">
        <w:rPr>
          <w:rFonts w:ascii="Times New Roman" w:hAnsi="Times New Roman" w:cs="Times New Roman"/>
        </w:rPr>
        <w:t>S</w:t>
      </w:r>
      <w:r w:rsidR="00DD7B95">
        <w:rPr>
          <w:rFonts w:ascii="Times New Roman" w:hAnsi="Times New Roman" w:cs="Times New Roman"/>
        </w:rPr>
        <w:t>.</w:t>
      </w:r>
      <w:r w:rsidRPr="004C0F11">
        <w:rPr>
          <w:rFonts w:ascii="Times New Roman" w:hAnsi="Times New Roman" w:cs="Times New Roman"/>
        </w:rPr>
        <w:t xml:space="preserve"> planting approval </w:t>
      </w:r>
      <w:r w:rsidR="000D7D45">
        <w:rPr>
          <w:rFonts w:ascii="Times New Roman" w:hAnsi="Times New Roman" w:cs="Times New Roman"/>
        </w:rPr>
        <w:t>after years of unauthorized release (commingling across six states in the rice seed suppl</w:t>
      </w:r>
      <w:r w:rsidR="00282634">
        <w:rPr>
          <w:rFonts w:ascii="Times New Roman" w:hAnsi="Times New Roman" w:cs="Times New Roman"/>
        </w:rPr>
        <w:t>y</w:t>
      </w:r>
      <w:r w:rsidR="000D7D45">
        <w:rPr>
          <w:rFonts w:ascii="Times New Roman" w:hAnsi="Times New Roman" w:cs="Times New Roman"/>
        </w:rPr>
        <w:t xml:space="preserve">) would allow </w:t>
      </w:r>
      <w:r w:rsidRPr="004C0F11">
        <w:rPr>
          <w:rFonts w:ascii="Times New Roman" w:hAnsi="Times New Roman" w:cs="Times New Roman"/>
        </w:rPr>
        <w:t xml:space="preserve">Bayer </w:t>
      </w:r>
      <w:r w:rsidR="000D7D45">
        <w:rPr>
          <w:rFonts w:ascii="Times New Roman" w:hAnsi="Times New Roman" w:cs="Times New Roman"/>
        </w:rPr>
        <w:t>to bar claims for nuisance or</w:t>
      </w:r>
      <w:r w:rsidRPr="004C0F11">
        <w:rPr>
          <w:rFonts w:ascii="Times New Roman" w:hAnsi="Times New Roman" w:cs="Times New Roman"/>
        </w:rPr>
        <w:t xml:space="preserve"> neglig</w:t>
      </w:r>
      <w:r w:rsidR="000D7D45">
        <w:rPr>
          <w:rFonts w:ascii="Times New Roman" w:hAnsi="Times New Roman" w:cs="Times New Roman"/>
        </w:rPr>
        <w:t xml:space="preserve">ence using a </w:t>
      </w:r>
      <w:r w:rsidRPr="004C0F11">
        <w:rPr>
          <w:rFonts w:ascii="Times New Roman" w:hAnsi="Times New Roman" w:cs="Times New Roman"/>
        </w:rPr>
        <w:t>federal preemption</w:t>
      </w:r>
      <w:r w:rsidR="000D7D45">
        <w:rPr>
          <w:rFonts w:ascii="Times New Roman" w:hAnsi="Times New Roman" w:cs="Times New Roman"/>
        </w:rPr>
        <w:t xml:space="preserve"> defense</w:t>
      </w:r>
      <w:r w:rsidRPr="004C0F11">
        <w:rPr>
          <w:rFonts w:ascii="Times New Roman" w:hAnsi="Times New Roman" w:cs="Times New Roman"/>
        </w:rPr>
        <w:t xml:space="preserve">. This ground-breaking court decision, </w:t>
      </w:r>
      <w:r w:rsidRPr="004C0F11">
        <w:rPr>
          <w:rStyle w:val="pxi"/>
          <w:rFonts w:ascii="Times New Roman" w:hAnsi="Times New Roman" w:cs="Times New Roman"/>
          <w:i/>
          <w:iCs/>
        </w:rPr>
        <w:t>LL601 Rice</w:t>
      </w:r>
      <w:r w:rsidRPr="004C0F11">
        <w:rPr>
          <w:rFonts w:ascii="Times New Roman" w:hAnsi="Times New Roman" w:cs="Times New Roman"/>
        </w:rPr>
        <w:t>,</w:t>
      </w:r>
      <w:r>
        <w:rPr>
          <w:rStyle w:val="FootnoteReference"/>
          <w:rFonts w:ascii="Times New Roman" w:hAnsi="Times New Roman" w:cs="Times New Roman"/>
        </w:rPr>
        <w:footnoteReference w:id="8"/>
      </w:r>
      <w:r w:rsidRPr="004C0F11">
        <w:rPr>
          <w:rFonts w:ascii="Times New Roman" w:hAnsi="Times New Roman" w:cs="Times New Roman"/>
        </w:rPr>
        <w:t xml:space="preserve"> is the first decision in the U.S. to follow </w:t>
      </w:r>
      <w:proofErr w:type="spellStart"/>
      <w:r w:rsidRPr="004C0F11">
        <w:rPr>
          <w:rStyle w:val="pxi"/>
          <w:rFonts w:ascii="Times New Roman" w:hAnsi="Times New Roman" w:cs="Times New Roman"/>
          <w:i/>
          <w:iCs/>
        </w:rPr>
        <w:t>Starlink</w:t>
      </w:r>
      <w:proofErr w:type="spellEnd"/>
      <w:r>
        <w:rPr>
          <w:rStyle w:val="FootnoteReference"/>
          <w:rFonts w:ascii="Times New Roman" w:hAnsi="Times New Roman" w:cs="Times New Roman"/>
          <w:i/>
          <w:iCs/>
        </w:rPr>
        <w:footnoteReference w:id="9"/>
      </w:r>
      <w:r>
        <w:rPr>
          <w:rStyle w:val="pxi"/>
          <w:rFonts w:ascii="Times New Roman" w:hAnsi="Times New Roman" w:cs="Times New Roman"/>
          <w:i/>
          <w:iCs/>
        </w:rPr>
        <w:t xml:space="preserve"> </w:t>
      </w:r>
      <w:r w:rsidRPr="004C0F11">
        <w:rPr>
          <w:rFonts w:ascii="Times New Roman" w:hAnsi="Times New Roman" w:cs="Times New Roman"/>
        </w:rPr>
        <w:t xml:space="preserve">and allow mass tort plaintiffs to recover their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economic loss</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from the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physical injury</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that occurs from commingling a biotech crop (or other crop, like treated seed) where the crop's only flaw</w:t>
      </w:r>
      <w:r w:rsidR="000D7D45">
        <w:rPr>
          <w:rFonts w:ascii="Times New Roman" w:hAnsi="Times New Roman" w:cs="Times New Roman"/>
        </w:rPr>
        <w:t xml:space="preserve"> </w:t>
      </w:r>
      <w:r w:rsidRPr="004C0F11">
        <w:rPr>
          <w:rFonts w:ascii="Times New Roman" w:hAnsi="Times New Roman" w:cs="Times New Roman"/>
        </w:rPr>
        <w:t>--</w:t>
      </w:r>
      <w:r w:rsidR="000D7D45">
        <w:rPr>
          <w:rFonts w:ascii="Times New Roman" w:hAnsi="Times New Roman" w:cs="Times New Roman"/>
        </w:rPr>
        <w:t xml:space="preserve"> </w:t>
      </w:r>
      <w:r w:rsidRPr="004C0F11">
        <w:rPr>
          <w:rFonts w:ascii="Times New Roman" w:hAnsi="Times New Roman" w:cs="Times New Roman"/>
        </w:rPr>
        <w:t>or material fact, for consumer fraud</w:t>
      </w:r>
      <w:r w:rsidR="000D7D45">
        <w:rPr>
          <w:rFonts w:ascii="Times New Roman" w:hAnsi="Times New Roman" w:cs="Times New Roman"/>
        </w:rPr>
        <w:t xml:space="preserve"> claims </w:t>
      </w:r>
      <w:r w:rsidRPr="004C0F11">
        <w:rPr>
          <w:rFonts w:ascii="Times New Roman" w:hAnsi="Times New Roman" w:cs="Times New Roman"/>
        </w:rPr>
        <w:t>--</w:t>
      </w:r>
      <w:r w:rsidR="000D7D45">
        <w:rPr>
          <w:rFonts w:ascii="Times New Roman" w:hAnsi="Times New Roman" w:cs="Times New Roman"/>
        </w:rPr>
        <w:t xml:space="preserve"> </w:t>
      </w:r>
      <w:r w:rsidRPr="004C0F11">
        <w:rPr>
          <w:rFonts w:ascii="Times New Roman" w:hAnsi="Times New Roman" w:cs="Times New Roman"/>
        </w:rPr>
        <w:t>is that it was not approved for export to major markets overseas.</w:t>
      </w:r>
      <w:r>
        <w:rPr>
          <w:rStyle w:val="FootnoteReference"/>
          <w:rFonts w:ascii="Times New Roman" w:hAnsi="Times New Roman" w:cs="Times New Roman"/>
        </w:rPr>
        <w:footnoteReference w:id="10"/>
      </w:r>
      <w:r w:rsidRPr="004C0F11">
        <w:rPr>
          <w:rFonts w:ascii="Times New Roman" w:hAnsi="Times New Roman" w:cs="Times New Roman"/>
        </w:rPr>
        <w:t xml:space="preserve"> The settlements Bayer is entering into in </w:t>
      </w:r>
      <w:r w:rsidRPr="004C0F11">
        <w:rPr>
          <w:rStyle w:val="pxi"/>
          <w:rFonts w:ascii="Times New Roman" w:hAnsi="Times New Roman" w:cs="Times New Roman"/>
          <w:i/>
          <w:iCs/>
        </w:rPr>
        <w:t>LL601 Rice</w:t>
      </w:r>
      <w:r w:rsidRPr="004C0F11">
        <w:rPr>
          <w:rFonts w:ascii="Times New Roman" w:hAnsi="Times New Roman" w:cs="Times New Roman"/>
        </w:rPr>
        <w:t xml:space="preserve"> exceed</w:t>
      </w:r>
      <w:r w:rsidR="000D7D45">
        <w:rPr>
          <w:rFonts w:ascii="Times New Roman" w:hAnsi="Times New Roman" w:cs="Times New Roman"/>
        </w:rPr>
        <w:t xml:space="preserve"> $1.2 billion, more than </w:t>
      </w:r>
      <w:r w:rsidRPr="004C0F11">
        <w:rPr>
          <w:rFonts w:ascii="Times New Roman" w:hAnsi="Times New Roman" w:cs="Times New Roman"/>
        </w:rPr>
        <w:t xml:space="preserve">the amount </w:t>
      </w:r>
      <w:r w:rsidR="000D7D45">
        <w:rPr>
          <w:rFonts w:ascii="Times New Roman" w:hAnsi="Times New Roman" w:cs="Times New Roman"/>
        </w:rPr>
        <w:t xml:space="preserve">reportedly </w:t>
      </w:r>
      <w:r w:rsidRPr="004C0F11">
        <w:rPr>
          <w:rFonts w:ascii="Times New Roman" w:hAnsi="Times New Roman" w:cs="Times New Roman"/>
        </w:rPr>
        <w:t xml:space="preserve">paid </w:t>
      </w:r>
      <w:r w:rsidR="000D7D45">
        <w:rPr>
          <w:rFonts w:ascii="Times New Roman" w:hAnsi="Times New Roman" w:cs="Times New Roman"/>
        </w:rPr>
        <w:t xml:space="preserve">in </w:t>
      </w:r>
      <w:proofErr w:type="spellStart"/>
      <w:r w:rsidRPr="004C0F11">
        <w:rPr>
          <w:rFonts w:ascii="Times New Roman" w:hAnsi="Times New Roman" w:cs="Times New Roman"/>
        </w:rPr>
        <w:t>Starlink</w:t>
      </w:r>
      <w:proofErr w:type="spellEnd"/>
      <w:r w:rsidRPr="004C0F11">
        <w:rPr>
          <w:rFonts w:ascii="Times New Roman" w:hAnsi="Times New Roman" w:cs="Times New Roman"/>
        </w:rPr>
        <w:t xml:space="preserve"> corn settlements by Bayer's corporate predecessor Aventis.</w:t>
      </w:r>
      <w:r>
        <w:rPr>
          <w:rStyle w:val="FootnoteReference"/>
          <w:rFonts w:ascii="Times New Roman" w:hAnsi="Times New Roman" w:cs="Times New Roman"/>
        </w:rPr>
        <w:footnoteReference w:id="11"/>
      </w:r>
      <w:r w:rsidR="00835EC1" w:rsidRPr="00835EC1">
        <w:rPr>
          <w:rFonts w:ascii="Times New Roman" w:hAnsi="Times New Roman" w:cs="Times New Roman"/>
        </w:rPr>
        <w:t xml:space="preserve"> </w:t>
      </w:r>
      <w:r w:rsidR="00835EC1" w:rsidRPr="004C0F11">
        <w:rPr>
          <w:rFonts w:ascii="Times New Roman" w:hAnsi="Times New Roman" w:cs="Times New Roman"/>
        </w:rPr>
        <w:t xml:space="preserve">More recent </w:t>
      </w:r>
      <w:r w:rsidR="00835EC1" w:rsidRPr="004C0F11">
        <w:rPr>
          <w:rStyle w:val="pxvis"/>
          <w:rFonts w:ascii="Times New Roman" w:hAnsi="Times New Roman" w:cs="Times New Roman"/>
          <w:b w:val="0"/>
          <w:bCs w:val="0"/>
          <w:sz w:val="24"/>
          <w:szCs w:val="24"/>
        </w:rPr>
        <w:t>“</w:t>
      </w:r>
      <w:r w:rsidR="00835EC1" w:rsidRPr="004C0F11">
        <w:rPr>
          <w:rFonts w:ascii="Times New Roman" w:hAnsi="Times New Roman" w:cs="Times New Roman"/>
        </w:rPr>
        <w:t>bellwether</w:t>
      </w:r>
      <w:r w:rsidR="00835EC1" w:rsidRPr="004C0F11">
        <w:rPr>
          <w:rStyle w:val="pxvis"/>
          <w:rFonts w:ascii="Times New Roman" w:hAnsi="Times New Roman" w:cs="Times New Roman"/>
          <w:b w:val="0"/>
          <w:bCs w:val="0"/>
          <w:sz w:val="24"/>
          <w:szCs w:val="24"/>
        </w:rPr>
        <w:t>”</w:t>
      </w:r>
      <w:r w:rsidR="00835EC1" w:rsidRPr="004C0F11">
        <w:rPr>
          <w:rFonts w:ascii="Times New Roman" w:hAnsi="Times New Roman" w:cs="Times New Roman"/>
        </w:rPr>
        <w:t xml:space="preserve"> trials raise risks of liability approaching $1.5 billion</w:t>
      </w:r>
      <w:r w:rsidR="00835EC1">
        <w:rPr>
          <w:rFonts w:ascii="Times New Roman" w:hAnsi="Times New Roman" w:cs="Times New Roman"/>
        </w:rPr>
        <w:t xml:space="preserve"> in the</w:t>
      </w:r>
      <w:r w:rsidR="00835EC1" w:rsidRPr="00D65D00">
        <w:rPr>
          <w:rFonts w:ascii="Times New Roman" w:hAnsi="Times New Roman" w:cs="Times New Roman"/>
        </w:rPr>
        <w:t xml:space="preserve"> </w:t>
      </w:r>
      <w:r w:rsidR="00835EC1" w:rsidRPr="004C0F11">
        <w:rPr>
          <w:rFonts w:ascii="Times New Roman" w:hAnsi="Times New Roman" w:cs="Times New Roman"/>
        </w:rPr>
        <w:t xml:space="preserve">litigation against Bayer </w:t>
      </w:r>
      <w:proofErr w:type="spellStart"/>
      <w:r w:rsidR="00835EC1" w:rsidRPr="004C0F11">
        <w:rPr>
          <w:rFonts w:ascii="Times New Roman" w:hAnsi="Times New Roman" w:cs="Times New Roman"/>
        </w:rPr>
        <w:t>Cropscience</w:t>
      </w:r>
      <w:proofErr w:type="spellEnd"/>
      <w:r w:rsidR="00835EC1" w:rsidRPr="004C0F11">
        <w:rPr>
          <w:rFonts w:ascii="Times New Roman" w:hAnsi="Times New Roman" w:cs="Times New Roman"/>
        </w:rPr>
        <w:t xml:space="preserve"> USA and its parent, Bayer AG, which </w:t>
      </w:r>
      <w:r w:rsidR="00FB21E0">
        <w:rPr>
          <w:rFonts w:ascii="Times New Roman" w:hAnsi="Times New Roman" w:cs="Times New Roman"/>
        </w:rPr>
        <w:t xml:space="preserve">deemed to be </w:t>
      </w:r>
      <w:r w:rsidR="00835EC1" w:rsidRPr="004C0F11">
        <w:rPr>
          <w:rFonts w:ascii="Times New Roman" w:hAnsi="Times New Roman" w:cs="Times New Roman"/>
        </w:rPr>
        <w:t xml:space="preserve">the </w:t>
      </w:r>
      <w:r w:rsidR="00FB21E0">
        <w:rPr>
          <w:rFonts w:ascii="Times New Roman" w:hAnsi="Times New Roman" w:cs="Times New Roman"/>
        </w:rPr>
        <w:t xml:space="preserve">legal </w:t>
      </w:r>
      <w:r w:rsidR="00835EC1" w:rsidRPr="004C0F11">
        <w:rPr>
          <w:rFonts w:ascii="Times New Roman" w:hAnsi="Times New Roman" w:cs="Times New Roman"/>
        </w:rPr>
        <w:t>successor to Aventis</w:t>
      </w:r>
      <w:r w:rsidR="00FB21E0">
        <w:rPr>
          <w:rFonts w:ascii="Times New Roman" w:hAnsi="Times New Roman" w:cs="Times New Roman"/>
        </w:rPr>
        <w:t xml:space="preserve"> (despite the efforts of corporate attorneys to structure the sale of Aventis to Bayer as a sale of assets only, leaving liabilities behind)</w:t>
      </w:r>
      <w:r w:rsidR="00835EC1" w:rsidRPr="004C0F11">
        <w:rPr>
          <w:rFonts w:ascii="Times New Roman" w:hAnsi="Times New Roman" w:cs="Times New Roman"/>
        </w:rPr>
        <w:t>.</w:t>
      </w:r>
      <w:r w:rsidR="00835EC1">
        <w:rPr>
          <w:rStyle w:val="FootnoteReference"/>
          <w:rFonts w:ascii="Times New Roman" w:hAnsi="Times New Roman" w:cs="Times New Roman"/>
        </w:rPr>
        <w:footnoteReference w:id="12"/>
      </w:r>
    </w:p>
    <w:p w14:paraId="5E825653" w14:textId="77777777" w:rsidR="00610CE9" w:rsidRPr="004C0F11" w:rsidRDefault="00610CE9" w:rsidP="00610CE9">
      <w:pPr>
        <w:spacing w:line="276" w:lineRule="auto"/>
        <w:rPr>
          <w:rFonts w:ascii="Times New Roman" w:hAnsi="Times New Roman" w:cs="Times New Roman"/>
        </w:rPr>
      </w:pPr>
    </w:p>
    <w:p w14:paraId="4936A85C" w14:textId="19FB6637" w:rsidR="00610CE9" w:rsidRPr="004C0F11" w:rsidRDefault="00610CE9" w:rsidP="00610CE9">
      <w:pPr>
        <w:pStyle w:val="pxp"/>
        <w:spacing w:line="276" w:lineRule="auto"/>
        <w:rPr>
          <w:rFonts w:ascii="Times New Roman" w:hAnsi="Times New Roman" w:cs="Times New Roman"/>
        </w:rPr>
      </w:pPr>
      <w:r w:rsidRPr="004C0F11">
        <w:rPr>
          <w:rFonts w:ascii="Times New Roman" w:hAnsi="Times New Roman" w:cs="Times New Roman"/>
        </w:rPr>
        <w:t xml:space="preserve"> </w:t>
      </w:r>
      <w:r w:rsidRPr="004C0F11">
        <w:rPr>
          <w:rStyle w:val="pxvis"/>
          <w:rFonts w:ascii="Times New Roman" w:hAnsi="Times New Roman" w:cs="Times New Roman"/>
          <w:b w:val="0"/>
          <w:bCs w:val="0"/>
          <w:sz w:val="24"/>
          <w:szCs w:val="24"/>
        </w:rPr>
        <w:tab/>
      </w:r>
      <w:r w:rsidRPr="004C0F11">
        <w:rPr>
          <w:rFonts w:ascii="Times New Roman" w:hAnsi="Times New Roman" w:cs="Times New Roman"/>
        </w:rPr>
        <w:t>Commentators have warned that</w:t>
      </w:r>
      <w:r w:rsidR="000D7D45">
        <w:rPr>
          <w:rFonts w:ascii="Times New Roman" w:hAnsi="Times New Roman" w:cs="Times New Roman"/>
        </w:rPr>
        <w:t xml:space="preserve"> growers may also be liable</w:t>
      </w:r>
      <w:r w:rsidR="00FB21E0">
        <w:rPr>
          <w:rFonts w:ascii="Times New Roman" w:hAnsi="Times New Roman" w:cs="Times New Roman"/>
        </w:rPr>
        <w:t xml:space="preserve"> for disrupting trade if the law evolves in that direction</w:t>
      </w:r>
      <w:r w:rsidRPr="004C0F11">
        <w:rPr>
          <w:rFonts w:ascii="Times New Roman" w:hAnsi="Times New Roman" w:cs="Times New Roman"/>
        </w:rPr>
        <w:t>:</w:t>
      </w:r>
    </w:p>
    <w:p w14:paraId="50E5B513" w14:textId="77777777" w:rsidR="00610CE9" w:rsidRPr="004C0F11" w:rsidRDefault="00610CE9" w:rsidP="00610CE9">
      <w:pPr>
        <w:spacing w:line="276" w:lineRule="auto"/>
        <w:rPr>
          <w:rFonts w:ascii="Times New Roman" w:hAnsi="Times New Roman" w:cs="Times New Roman"/>
        </w:rPr>
      </w:pPr>
    </w:p>
    <w:p w14:paraId="74441691" w14:textId="273636A5" w:rsidR="00610CE9" w:rsidRPr="00610CE9" w:rsidRDefault="00610CE9" w:rsidP="00610CE9">
      <w:pPr>
        <w:pStyle w:val="pxqbqp"/>
        <w:spacing w:line="276" w:lineRule="auto"/>
        <w:ind w:left="500"/>
        <w:rPr>
          <w:rFonts w:ascii="Times New Roman" w:hAnsi="Times New Roman" w:cs="Times New Roman"/>
        </w:rPr>
      </w:pPr>
      <w:r w:rsidRPr="004C0F11">
        <w:rPr>
          <w:rFonts w:ascii="Times New Roman" w:hAnsi="Times New Roman" w:cs="Times New Roman"/>
        </w:rPr>
        <w:fldChar w:fldCharType="begin"/>
      </w:r>
      <w:r w:rsidRPr="004C0F11">
        <w:rPr>
          <w:rFonts w:ascii="Times New Roman" w:hAnsi="Times New Roman" w:cs="Times New Roman"/>
        </w:rPr>
        <w:instrText>qp.pstart="n"</w:instrText>
      </w:r>
      <w:r w:rsidRPr="004C0F11">
        <w:rPr>
          <w:rFonts w:ascii="Times New Roman" w:hAnsi="Times New Roman" w:cs="Times New Roman"/>
        </w:rPr>
        <w:fldChar w:fldCharType="end"/>
      </w:r>
      <w:r w:rsidRPr="004C0F11">
        <w:rPr>
          <w:rFonts w:ascii="Times New Roman" w:hAnsi="Times New Roman" w:cs="Times New Roman"/>
        </w:rPr>
        <w:t xml:space="preserve">This negligence-based liability, however, may not stop only with the large biotechnology </w:t>
      </w:r>
      <w:r w:rsidRPr="004C0F11">
        <w:rPr>
          <w:rFonts w:ascii="Times New Roman" w:hAnsi="Times New Roman" w:cs="Times New Roman"/>
        </w:rPr>
        <w:lastRenderedPageBreak/>
        <w:t xml:space="preserve">firm. Farmers or other operators within the broader agricultural supply chain could face similar claims if they were to be found negligent in any future crop commingling litigation. </w:t>
      </w:r>
      <w:r w:rsidR="00EA69A1" w:rsidRPr="004C0F11">
        <w:rPr>
          <w:rFonts w:ascii="Times New Roman" w:hAnsi="Times New Roman" w:cs="Times New Roman"/>
        </w:rPr>
        <w:t>Therefore,</w:t>
      </w:r>
      <w:r w:rsidRPr="004C0F11">
        <w:rPr>
          <w:rFonts w:ascii="Times New Roman" w:hAnsi="Times New Roman" w:cs="Times New Roman"/>
        </w:rPr>
        <w:t xml:space="preserve"> basic precautionary strategies, such as following crop planting or marketing restrictions, should be followed and documented, especially if growing a new biotech variety.</w:t>
      </w:r>
      <w:r>
        <w:rPr>
          <w:rStyle w:val="FootnoteReference"/>
          <w:rFonts w:ascii="Times New Roman" w:hAnsi="Times New Roman" w:cs="Times New Roman"/>
        </w:rPr>
        <w:footnoteReference w:id="13"/>
      </w:r>
    </w:p>
    <w:p w14:paraId="16CD9978" w14:textId="77777777" w:rsidR="00610CE9" w:rsidRPr="00610CE9" w:rsidRDefault="00610CE9" w:rsidP="00610CE9">
      <w:pPr>
        <w:spacing w:line="276" w:lineRule="auto"/>
        <w:rPr>
          <w:rFonts w:ascii="Times New Roman" w:hAnsi="Times New Roman" w:cs="Times New Roman"/>
          <w:b/>
        </w:rPr>
      </w:pPr>
    </w:p>
    <w:p w14:paraId="477778AE" w14:textId="2B3A81F3" w:rsidR="00D65D00" w:rsidRPr="00610CE9" w:rsidRDefault="00D65D00" w:rsidP="00D65D00">
      <w:pPr>
        <w:pStyle w:val="ListParagraph"/>
        <w:numPr>
          <w:ilvl w:val="0"/>
          <w:numId w:val="12"/>
        </w:numPr>
        <w:spacing w:line="276" w:lineRule="auto"/>
        <w:rPr>
          <w:rFonts w:ascii="Times New Roman" w:hAnsi="Times New Roman" w:cs="Times New Roman"/>
          <w:b/>
        </w:rPr>
      </w:pPr>
      <w:r w:rsidRPr="00610CE9">
        <w:rPr>
          <w:rFonts w:ascii="Times New Roman" w:hAnsi="Times New Roman" w:cs="Times New Roman"/>
          <w:b/>
        </w:rPr>
        <w:t xml:space="preserve">Syngenta’s Duty to Foresee </w:t>
      </w:r>
    </w:p>
    <w:p w14:paraId="7E980A42" w14:textId="77777777" w:rsidR="00D65D00" w:rsidRPr="00D65D00" w:rsidRDefault="00D65D00" w:rsidP="00D65D00">
      <w:pPr>
        <w:pStyle w:val="ListParagraph"/>
        <w:spacing w:line="276" w:lineRule="auto"/>
        <w:ind w:left="1440"/>
        <w:rPr>
          <w:rFonts w:ascii="Times New Roman" w:hAnsi="Times New Roman" w:cs="Times New Roman"/>
        </w:rPr>
      </w:pPr>
    </w:p>
    <w:p w14:paraId="09E8AD01" w14:textId="3CC8325E" w:rsidR="00F274B1" w:rsidRPr="004C0F11" w:rsidRDefault="00610CE9" w:rsidP="000001EF">
      <w:pPr>
        <w:spacing w:line="276" w:lineRule="auto"/>
        <w:ind w:firstLine="720"/>
        <w:rPr>
          <w:rStyle w:val="pxvis"/>
          <w:rFonts w:ascii="Times New Roman" w:hAnsi="Times New Roman" w:cs="Times New Roman"/>
          <w:b w:val="0"/>
          <w:bCs w:val="0"/>
          <w:sz w:val="24"/>
          <w:szCs w:val="24"/>
        </w:rPr>
      </w:pPr>
      <w:r>
        <w:rPr>
          <w:rFonts w:ascii="Times New Roman" w:hAnsi="Times New Roman" w:cs="Times New Roman"/>
        </w:rPr>
        <w:t xml:space="preserve">The culmination of </w:t>
      </w:r>
      <w:proofErr w:type="spellStart"/>
      <w:r w:rsidRPr="00610CE9">
        <w:rPr>
          <w:rFonts w:ascii="Times New Roman" w:hAnsi="Times New Roman" w:cs="Times New Roman"/>
          <w:i/>
        </w:rPr>
        <w:t>Starlink’s</w:t>
      </w:r>
      <w:proofErr w:type="spellEnd"/>
      <w:r>
        <w:rPr>
          <w:rFonts w:ascii="Times New Roman" w:hAnsi="Times New Roman" w:cs="Times New Roman"/>
        </w:rPr>
        <w:t xml:space="preserve"> precedent and the billion dollars recovered in </w:t>
      </w:r>
      <w:r w:rsidRPr="00610CE9">
        <w:rPr>
          <w:rFonts w:ascii="Times New Roman" w:hAnsi="Times New Roman" w:cs="Times New Roman"/>
          <w:i/>
        </w:rPr>
        <w:t>LL Rice</w:t>
      </w:r>
      <w:r>
        <w:rPr>
          <w:rFonts w:ascii="Times New Roman" w:hAnsi="Times New Roman" w:cs="Times New Roman"/>
        </w:rPr>
        <w:t xml:space="preserve"> set the stage for the putative class action filed on behalf of corn growers (</w:t>
      </w:r>
      <w:r w:rsidRPr="00610CE9">
        <w:rPr>
          <w:rFonts w:ascii="Times New Roman" w:hAnsi="Times New Roman" w:cs="Times New Roman"/>
          <w:i/>
        </w:rPr>
        <w:t>In Re Syngenta</w:t>
      </w:r>
      <w:r>
        <w:rPr>
          <w:rFonts w:ascii="Times New Roman" w:hAnsi="Times New Roman" w:cs="Times New Roman"/>
          <w:i/>
        </w:rPr>
        <w:t xml:space="preserve"> AG MIR 162 Corn Litigation)</w:t>
      </w:r>
      <w:r w:rsidR="000D7D45">
        <w:rPr>
          <w:rFonts w:ascii="Times New Roman" w:hAnsi="Times New Roman" w:cs="Times New Roman"/>
        </w:rPr>
        <w:t>.</w:t>
      </w:r>
      <w:r w:rsidRPr="004C0F11">
        <w:rPr>
          <w:rStyle w:val="FootnoteReference"/>
          <w:rFonts w:ascii="Times New Roman" w:hAnsi="Times New Roman" w:cs="Times New Roman"/>
          <w:i/>
        </w:rPr>
        <w:footnoteReference w:id="14"/>
      </w:r>
      <w:r w:rsidRPr="004C0F11">
        <w:rPr>
          <w:rStyle w:val="pxvis"/>
          <w:rFonts w:ascii="Times New Roman" w:hAnsi="Times New Roman" w:cs="Times New Roman"/>
          <w:b w:val="0"/>
          <w:bCs w:val="0"/>
          <w:sz w:val="24"/>
          <w:szCs w:val="24"/>
        </w:rPr>
        <w:t xml:space="preserve"> </w:t>
      </w:r>
      <w:r>
        <w:rPr>
          <w:rStyle w:val="pxvis"/>
          <w:rFonts w:ascii="Times New Roman" w:hAnsi="Times New Roman" w:cs="Times New Roman"/>
          <w:b w:val="0"/>
          <w:bCs w:val="0"/>
          <w:sz w:val="24"/>
          <w:szCs w:val="24"/>
        </w:rPr>
        <w:t>T</w:t>
      </w:r>
      <w:r w:rsidR="000146CA" w:rsidRPr="004C0F11">
        <w:rPr>
          <w:rFonts w:ascii="Times New Roman" w:hAnsi="Times New Roman" w:cs="Times New Roman"/>
        </w:rPr>
        <w:t xml:space="preserve">he ongoing saga of Syngenta’s disruption of trade with China from its corn event </w:t>
      </w:r>
      <w:proofErr w:type="spellStart"/>
      <w:r w:rsidR="00FB21E0">
        <w:rPr>
          <w:rFonts w:ascii="Times New Roman" w:hAnsi="Times New Roman" w:cs="Times New Roman"/>
        </w:rPr>
        <w:t>Viptera</w:t>
      </w:r>
      <w:proofErr w:type="spellEnd"/>
      <w:r w:rsidR="00FB21E0">
        <w:rPr>
          <w:rFonts w:ascii="Times New Roman" w:hAnsi="Times New Roman" w:cs="Times New Roman"/>
        </w:rPr>
        <w:t>™</w:t>
      </w:r>
      <w:r w:rsidR="00C83AFB">
        <w:rPr>
          <w:rFonts w:ascii="Times New Roman" w:hAnsi="Times New Roman" w:cs="Times New Roman"/>
        </w:rPr>
        <w:t xml:space="preserve"> </w:t>
      </w:r>
      <w:r w:rsidR="000146CA" w:rsidRPr="004C0F11">
        <w:rPr>
          <w:rFonts w:ascii="Times New Roman" w:hAnsi="Times New Roman" w:cs="Times New Roman"/>
        </w:rPr>
        <w:t>could further expand biotech seed company liability to barely foreseeabl</w:t>
      </w:r>
      <w:r>
        <w:rPr>
          <w:rFonts w:ascii="Times New Roman" w:hAnsi="Times New Roman" w:cs="Times New Roman"/>
        </w:rPr>
        <w:t xml:space="preserve">e economic impacts to growers, </w:t>
      </w:r>
      <w:r w:rsidR="00D90717" w:rsidRPr="004C0F11">
        <w:rPr>
          <w:rStyle w:val="pxvis"/>
          <w:rFonts w:ascii="Times New Roman" w:hAnsi="Times New Roman" w:cs="Times New Roman"/>
          <w:b w:val="0"/>
          <w:bCs w:val="0"/>
          <w:sz w:val="24"/>
          <w:szCs w:val="24"/>
        </w:rPr>
        <w:t>extend</w:t>
      </w:r>
      <w:r>
        <w:rPr>
          <w:rStyle w:val="pxvis"/>
          <w:rFonts w:ascii="Times New Roman" w:hAnsi="Times New Roman" w:cs="Times New Roman"/>
          <w:b w:val="0"/>
          <w:bCs w:val="0"/>
          <w:sz w:val="24"/>
          <w:szCs w:val="24"/>
        </w:rPr>
        <w:t>ing</w:t>
      </w:r>
      <w:r w:rsidR="00D90717" w:rsidRPr="004C0F11">
        <w:rPr>
          <w:rStyle w:val="pxvis"/>
          <w:rFonts w:ascii="Times New Roman" w:hAnsi="Times New Roman" w:cs="Times New Roman"/>
          <w:b w:val="0"/>
          <w:bCs w:val="0"/>
          <w:sz w:val="24"/>
          <w:szCs w:val="24"/>
        </w:rPr>
        <w:t xml:space="preserve"> the boundaries of negligence liability beyond those established in</w:t>
      </w:r>
      <w:r w:rsidR="009923F5" w:rsidRPr="004C0F11">
        <w:rPr>
          <w:rStyle w:val="pxvis"/>
          <w:rFonts w:ascii="Times New Roman" w:hAnsi="Times New Roman" w:cs="Times New Roman"/>
          <w:b w:val="0"/>
          <w:bCs w:val="0"/>
          <w:sz w:val="24"/>
          <w:szCs w:val="24"/>
        </w:rPr>
        <w:t xml:space="preserve"> the</w:t>
      </w:r>
      <w:r w:rsidR="00D90717" w:rsidRPr="004C0F11">
        <w:rPr>
          <w:rStyle w:val="pxvis"/>
          <w:rFonts w:ascii="Times New Roman" w:hAnsi="Times New Roman" w:cs="Times New Roman"/>
          <w:b w:val="0"/>
          <w:bCs w:val="0"/>
          <w:sz w:val="24"/>
          <w:szCs w:val="24"/>
        </w:rPr>
        <w:t xml:space="preserve"> </w:t>
      </w:r>
      <w:proofErr w:type="spellStart"/>
      <w:r w:rsidR="00D90717" w:rsidRPr="004C0F11">
        <w:rPr>
          <w:rStyle w:val="pxvis"/>
          <w:rFonts w:ascii="Times New Roman" w:hAnsi="Times New Roman" w:cs="Times New Roman"/>
          <w:b w:val="0"/>
          <w:bCs w:val="0"/>
          <w:i/>
          <w:sz w:val="24"/>
          <w:szCs w:val="24"/>
        </w:rPr>
        <w:t>Starlink</w:t>
      </w:r>
      <w:proofErr w:type="spellEnd"/>
      <w:r w:rsidR="009923F5" w:rsidRPr="004C0F11">
        <w:rPr>
          <w:rStyle w:val="pxvis"/>
          <w:rFonts w:ascii="Times New Roman" w:hAnsi="Times New Roman" w:cs="Times New Roman"/>
          <w:b w:val="0"/>
          <w:bCs w:val="0"/>
          <w:sz w:val="24"/>
          <w:szCs w:val="24"/>
        </w:rPr>
        <w:t xml:space="preserve"> and </w:t>
      </w:r>
      <w:r w:rsidR="009923F5" w:rsidRPr="004C0F11">
        <w:rPr>
          <w:rStyle w:val="pxvis"/>
          <w:rFonts w:ascii="Times New Roman" w:hAnsi="Times New Roman" w:cs="Times New Roman"/>
          <w:b w:val="0"/>
          <w:bCs w:val="0"/>
          <w:i/>
          <w:sz w:val="24"/>
          <w:szCs w:val="24"/>
        </w:rPr>
        <w:t>LL R</w:t>
      </w:r>
      <w:r w:rsidR="00D90717" w:rsidRPr="004C0F11">
        <w:rPr>
          <w:rStyle w:val="pxvis"/>
          <w:rFonts w:ascii="Times New Roman" w:hAnsi="Times New Roman" w:cs="Times New Roman"/>
          <w:b w:val="0"/>
          <w:bCs w:val="0"/>
          <w:i/>
          <w:sz w:val="24"/>
          <w:szCs w:val="24"/>
        </w:rPr>
        <w:t>ice</w:t>
      </w:r>
      <w:r w:rsidR="009923F5" w:rsidRPr="004C0F11">
        <w:rPr>
          <w:rStyle w:val="pxvis"/>
          <w:rFonts w:ascii="Times New Roman" w:hAnsi="Times New Roman" w:cs="Times New Roman"/>
          <w:b w:val="0"/>
          <w:bCs w:val="0"/>
          <w:sz w:val="24"/>
          <w:szCs w:val="24"/>
        </w:rPr>
        <w:t xml:space="preserve"> cases</w:t>
      </w:r>
      <w:r w:rsidR="00D90717" w:rsidRPr="004C0F11">
        <w:rPr>
          <w:rStyle w:val="pxvis"/>
          <w:rFonts w:ascii="Times New Roman" w:hAnsi="Times New Roman" w:cs="Times New Roman"/>
          <w:b w:val="0"/>
          <w:bCs w:val="0"/>
          <w:sz w:val="24"/>
          <w:szCs w:val="24"/>
        </w:rPr>
        <w:t>.</w:t>
      </w:r>
      <w:r w:rsidR="00FB21E0">
        <w:rPr>
          <w:rStyle w:val="FootnoteReference"/>
          <w:rFonts w:ascii="Times New Roman" w:hAnsi="Times New Roman" w:cs="Times New Roman"/>
        </w:rPr>
        <w:footnoteReference w:id="15"/>
      </w:r>
      <w:r w:rsidR="009923F5" w:rsidRPr="004C0F11">
        <w:rPr>
          <w:rStyle w:val="pxvis"/>
          <w:rFonts w:ascii="Times New Roman" w:hAnsi="Times New Roman" w:cs="Times New Roman"/>
          <w:b w:val="0"/>
          <w:bCs w:val="0"/>
          <w:sz w:val="24"/>
          <w:szCs w:val="24"/>
        </w:rPr>
        <w:t xml:space="preserve">  </w:t>
      </w:r>
    </w:p>
    <w:p w14:paraId="3E41B217" w14:textId="256C9E14" w:rsidR="00F274B1" w:rsidRPr="004C0F11" w:rsidRDefault="00F274B1" w:rsidP="002D5ACB">
      <w:pPr>
        <w:pStyle w:val="pxs"/>
        <w:spacing w:before="180" w:line="276" w:lineRule="auto"/>
        <w:ind w:firstLine="500"/>
        <w:rPr>
          <w:rFonts w:ascii="Times New Roman" w:eastAsia="Times New Roman" w:hAnsi="Times New Roman" w:cs="Times New Roman"/>
          <w:color w:val="000000"/>
        </w:rPr>
      </w:pPr>
      <w:r w:rsidRPr="004C0F11">
        <w:rPr>
          <w:rFonts w:ascii="Times New Roman" w:eastAsia="Times New Roman" w:hAnsi="Times New Roman" w:cs="Times New Roman"/>
          <w:color w:val="000000"/>
        </w:rPr>
        <w:t>Starting in late</w:t>
      </w:r>
      <w:r w:rsidR="000001EF">
        <w:rPr>
          <w:rFonts w:ascii="Times New Roman" w:eastAsia="Times New Roman" w:hAnsi="Times New Roman" w:cs="Times New Roman"/>
          <w:color w:val="000000"/>
        </w:rPr>
        <w:t xml:space="preserve"> 2014</w:t>
      </w:r>
      <w:r w:rsidRPr="004C0F11">
        <w:rPr>
          <w:rFonts w:ascii="Times New Roman" w:eastAsia="Times New Roman" w:hAnsi="Times New Roman" w:cs="Times New Roman"/>
          <w:color w:val="000000"/>
        </w:rPr>
        <w:t xml:space="preserve">, growers and grain traders sued Syngenta seeking compensation for lost export markets and impacts to corn prices after China turned away U.S. corn exports in November 2013 after finding Syngenta’s unapproved biotech corn trait, </w:t>
      </w:r>
      <w:proofErr w:type="spellStart"/>
      <w:r w:rsidRPr="004C0F11">
        <w:rPr>
          <w:rFonts w:ascii="Times New Roman" w:eastAsia="Times New Roman" w:hAnsi="Times New Roman" w:cs="Times New Roman"/>
          <w:color w:val="000000"/>
        </w:rPr>
        <w:t>Agrisure</w:t>
      </w:r>
      <w:proofErr w:type="spellEnd"/>
      <w:r w:rsidRPr="004C0F11">
        <w:rPr>
          <w:rFonts w:ascii="Times New Roman" w:eastAsia="Times New Roman" w:hAnsi="Times New Roman" w:cs="Times New Roman"/>
          <w:color w:val="000000"/>
        </w:rPr>
        <w:t xml:space="preserve"> </w:t>
      </w:r>
      <w:r w:rsidR="00FB21E0">
        <w:rPr>
          <w:rFonts w:ascii="Times New Roman" w:eastAsia="Times New Roman" w:hAnsi="Times New Roman" w:cs="Times New Roman"/>
          <w:color w:val="000000"/>
        </w:rPr>
        <w:t>Viptera™</w:t>
      </w:r>
      <w:r w:rsidRPr="004C0F11">
        <w:rPr>
          <w:rFonts w:ascii="Times New Roman" w:eastAsia="Times New Roman" w:hAnsi="Times New Roman" w:cs="Times New Roman"/>
          <w:color w:val="000000"/>
        </w:rPr>
        <w:t>MIR162 (“</w:t>
      </w:r>
      <w:proofErr w:type="spellStart"/>
      <w:r w:rsidR="00FB21E0">
        <w:rPr>
          <w:rFonts w:ascii="Times New Roman" w:eastAsia="Times New Roman" w:hAnsi="Times New Roman" w:cs="Times New Roman"/>
          <w:color w:val="000000"/>
        </w:rPr>
        <w:t>Viptera</w:t>
      </w:r>
      <w:proofErr w:type="spellEnd"/>
      <w:r w:rsidR="00FB21E0">
        <w:rPr>
          <w:rFonts w:ascii="Times New Roman" w:eastAsia="Times New Roman" w:hAnsi="Times New Roman" w:cs="Times New Roman"/>
          <w:color w:val="000000"/>
        </w:rPr>
        <w:t>™</w:t>
      </w:r>
      <w:r w:rsidRPr="004C0F11">
        <w:rPr>
          <w:rFonts w:ascii="Times New Roman" w:eastAsia="Times New Roman" w:hAnsi="Times New Roman" w:cs="Times New Roman"/>
          <w:color w:val="000000"/>
        </w:rPr>
        <w:t xml:space="preserve">”).  Syngenta allegedly failed to follow industry standards for stewardship to keep </w:t>
      </w:r>
      <w:proofErr w:type="spellStart"/>
      <w:r w:rsidR="00FB21E0">
        <w:rPr>
          <w:rFonts w:ascii="Times New Roman" w:eastAsia="Times New Roman" w:hAnsi="Times New Roman" w:cs="Times New Roman"/>
          <w:color w:val="000000"/>
        </w:rPr>
        <w:t>Viptera</w:t>
      </w:r>
      <w:proofErr w:type="spellEnd"/>
      <w:r w:rsidR="00FB21E0">
        <w:rPr>
          <w:rFonts w:ascii="Times New Roman" w:eastAsia="Times New Roman" w:hAnsi="Times New Roman" w:cs="Times New Roman"/>
          <w:color w:val="000000"/>
        </w:rPr>
        <w:t xml:space="preserve">™ </w:t>
      </w:r>
      <w:r w:rsidRPr="004C0F11">
        <w:rPr>
          <w:rFonts w:ascii="Times New Roman" w:eastAsia="Times New Roman" w:hAnsi="Times New Roman" w:cs="Times New Roman"/>
          <w:color w:val="000000"/>
        </w:rPr>
        <w:t>out of exports and falsely told growers that China would approve the trait in 2012.</w:t>
      </w:r>
      <w:r w:rsidRPr="004C0F11">
        <w:rPr>
          <w:rStyle w:val="FootnoteReference"/>
          <w:rFonts w:ascii="Times New Roman" w:eastAsia="Times New Roman" w:hAnsi="Times New Roman" w:cs="Times New Roman"/>
          <w:color w:val="000000"/>
        </w:rPr>
        <w:footnoteReference w:id="16"/>
      </w:r>
      <w:r w:rsidRPr="004C0F11">
        <w:rPr>
          <w:rFonts w:ascii="Times New Roman" w:eastAsia="Times New Roman" w:hAnsi="Times New Roman" w:cs="Times New Roman"/>
          <w:color w:val="000000"/>
        </w:rPr>
        <w:t xml:space="preserve">   The federal cases were consolidated in the U.S. District Court for the District of Kansas in Kansas City.  Grower claims included public nuisance, negligence, and fraud claims; grain traders sued under consumer protection statutes and negligence. </w:t>
      </w:r>
    </w:p>
    <w:p w14:paraId="7959F511" w14:textId="77777777" w:rsidR="00F274B1" w:rsidRPr="004C0F11" w:rsidRDefault="00F274B1" w:rsidP="004E2B5B">
      <w:pPr>
        <w:pStyle w:val="pxp"/>
        <w:spacing w:line="276" w:lineRule="auto"/>
        <w:ind w:firstLine="500"/>
        <w:rPr>
          <w:rStyle w:val="pxvis"/>
          <w:rFonts w:ascii="Times New Roman" w:hAnsi="Times New Roman" w:cs="Times New Roman"/>
          <w:b w:val="0"/>
          <w:bCs w:val="0"/>
          <w:sz w:val="24"/>
          <w:szCs w:val="24"/>
        </w:rPr>
      </w:pPr>
    </w:p>
    <w:p w14:paraId="07EE9427" w14:textId="201E22F3" w:rsidR="004E2B5B" w:rsidRDefault="009923F5" w:rsidP="00D416C1">
      <w:pPr>
        <w:pStyle w:val="pxp"/>
        <w:spacing w:line="276" w:lineRule="auto"/>
        <w:ind w:firstLine="500"/>
      </w:pPr>
      <w:r w:rsidRPr="004C0F11">
        <w:rPr>
          <w:rStyle w:val="pxvis"/>
          <w:rFonts w:ascii="Times New Roman" w:hAnsi="Times New Roman" w:cs="Times New Roman"/>
          <w:b w:val="0"/>
          <w:bCs w:val="0"/>
          <w:sz w:val="24"/>
          <w:szCs w:val="24"/>
        </w:rPr>
        <w:t>On September 11, 2015</w:t>
      </w:r>
      <w:r w:rsidR="00D90717" w:rsidRPr="004C0F11">
        <w:rPr>
          <w:rStyle w:val="pxvis"/>
          <w:rFonts w:ascii="Times New Roman" w:hAnsi="Times New Roman" w:cs="Times New Roman"/>
          <w:b w:val="0"/>
          <w:bCs w:val="0"/>
          <w:sz w:val="24"/>
          <w:szCs w:val="24"/>
        </w:rPr>
        <w:t xml:space="preserve">, U.S. District Judge John W. </w:t>
      </w:r>
      <w:proofErr w:type="spellStart"/>
      <w:r w:rsidR="00D90717" w:rsidRPr="004C0F11">
        <w:rPr>
          <w:rStyle w:val="pxvis"/>
          <w:rFonts w:ascii="Times New Roman" w:hAnsi="Times New Roman" w:cs="Times New Roman"/>
          <w:b w:val="0"/>
          <w:bCs w:val="0"/>
          <w:sz w:val="24"/>
          <w:szCs w:val="24"/>
        </w:rPr>
        <w:t>Lungstrum</w:t>
      </w:r>
      <w:proofErr w:type="spellEnd"/>
      <w:r w:rsidR="00D90717" w:rsidRPr="004C0F11">
        <w:rPr>
          <w:rStyle w:val="pxvis"/>
          <w:rFonts w:ascii="Times New Roman" w:hAnsi="Times New Roman" w:cs="Times New Roman"/>
          <w:b w:val="0"/>
          <w:bCs w:val="0"/>
          <w:sz w:val="24"/>
          <w:szCs w:val="24"/>
        </w:rPr>
        <w:t xml:space="preserve"> rejected Syngenta’s two primary legal defenses and allowed the multidistrict litigation to proceed towards trial</w:t>
      </w:r>
      <w:r w:rsidRPr="004C0F11">
        <w:rPr>
          <w:rStyle w:val="pxvis"/>
          <w:rFonts w:ascii="Times New Roman" w:hAnsi="Times New Roman" w:cs="Times New Roman"/>
          <w:b w:val="0"/>
          <w:bCs w:val="0"/>
          <w:sz w:val="24"/>
          <w:szCs w:val="24"/>
        </w:rPr>
        <w:t>.</w:t>
      </w:r>
      <w:r w:rsidR="00D90717" w:rsidRPr="000D7D45">
        <w:rPr>
          <w:rStyle w:val="FootnoteReference"/>
          <w:rFonts w:ascii="Times New Roman" w:hAnsi="Times New Roman" w:cs="Times New Roman"/>
        </w:rPr>
        <w:footnoteReference w:id="17"/>
      </w:r>
      <w:r w:rsidRPr="004C0F11">
        <w:rPr>
          <w:rStyle w:val="pxvis"/>
          <w:rFonts w:ascii="Times New Roman" w:hAnsi="Times New Roman" w:cs="Times New Roman"/>
          <w:b w:val="0"/>
          <w:bCs w:val="0"/>
          <w:sz w:val="24"/>
          <w:szCs w:val="24"/>
        </w:rPr>
        <w:t xml:space="preserve">  </w:t>
      </w:r>
      <w:r w:rsidR="000D7D45">
        <w:rPr>
          <w:rStyle w:val="pxvis"/>
          <w:rFonts w:ascii="Times New Roman" w:hAnsi="Times New Roman" w:cs="Times New Roman"/>
          <w:b w:val="0"/>
          <w:bCs w:val="0"/>
          <w:sz w:val="24"/>
          <w:szCs w:val="24"/>
        </w:rPr>
        <w:t>First, i</w:t>
      </w:r>
      <w:r w:rsidRPr="004C0F11">
        <w:rPr>
          <w:rFonts w:ascii="Times New Roman" w:hAnsi="Times New Roman" w:cs="Times New Roman"/>
        </w:rPr>
        <w:t>n a lengthy opinion, the court rejected Syngenta’s argument that plaintiffs were “strangers” who could not recover “economic loss” for Syngenta’s corn having disrupted an export market</w:t>
      </w:r>
      <w:r w:rsidR="004E2B5B">
        <w:rPr>
          <w:rFonts w:ascii="Times New Roman" w:hAnsi="Times New Roman" w:cs="Times New Roman"/>
        </w:rPr>
        <w:t xml:space="preserve"> (the </w:t>
      </w:r>
      <w:r w:rsidR="004E2B5B">
        <w:t xml:space="preserve">“stranger economic </w:t>
      </w:r>
      <w:r w:rsidR="000D7D45">
        <w:t>loss doctrine”</w:t>
      </w:r>
      <w:r w:rsidR="004E2B5B">
        <w:t xml:space="preserve"> or “SELD”)</w:t>
      </w:r>
      <w:r w:rsidRPr="004C0F11">
        <w:rPr>
          <w:rFonts w:ascii="Times New Roman" w:hAnsi="Times New Roman" w:cs="Times New Roman"/>
        </w:rPr>
        <w:t>.</w:t>
      </w:r>
      <w:r w:rsidR="00B336D2">
        <w:rPr>
          <w:rFonts w:ascii="Times New Roman" w:hAnsi="Times New Roman" w:cs="Times New Roman"/>
        </w:rPr>
        <w:t xml:space="preserve"> The court stated that </w:t>
      </w:r>
      <w:r w:rsidR="00B336D2">
        <w:t>corn growers and Sy</w:t>
      </w:r>
      <w:r w:rsidR="004E2B5B">
        <w:t>n</w:t>
      </w:r>
      <w:r w:rsidR="00B336D2">
        <w:t>genta “were not strangers, but rather were part of an inter-connected industry and market, with expectations on all sides that manufacturers and growers and sellers would act at least in part for the mutual benefit of all in that inter-connected web.”</w:t>
      </w:r>
      <w:r w:rsidR="00B336D2">
        <w:rPr>
          <w:rStyle w:val="FootnoteReference"/>
        </w:rPr>
        <w:footnoteReference w:id="18"/>
      </w:r>
      <w:r w:rsidR="00B336D2">
        <w:t xml:space="preserve"> </w:t>
      </w:r>
      <w:r w:rsidR="004E2B5B">
        <w:t xml:space="preserve">The court did not see “remote and </w:t>
      </w:r>
      <w:r w:rsidR="004E2B5B">
        <w:lastRenderedPageBreak/>
        <w:t xml:space="preserve">indeterminate liability” so “far out of proportion to the </w:t>
      </w:r>
      <w:proofErr w:type="spellStart"/>
      <w:r w:rsidR="004E2B5B">
        <w:t>tortfeasor’s</w:t>
      </w:r>
      <w:proofErr w:type="spellEnd"/>
      <w:r w:rsidR="004E2B5B">
        <w:t xml:space="preserve"> culpability” to merit SELD application.  Syngenta “actually foresaw these very economic losses” in an inter-connected market of corn and milo that “are regularly traded commodities with readily measurable markets.”</w:t>
      </w:r>
      <w:r w:rsidR="00C6642E">
        <w:t xml:space="preserve"> Accepting</w:t>
      </w:r>
      <w:r w:rsidR="004E2B5B">
        <w:t xml:space="preserve"> plaintiffs’ allegations as true</w:t>
      </w:r>
      <w:r w:rsidR="00C6642E">
        <w:t xml:space="preserve"> for this motion to dismiss</w:t>
      </w:r>
      <w:r w:rsidR="004E2B5B">
        <w:t>,</w:t>
      </w:r>
      <w:r w:rsidR="00C6642E">
        <w:t xml:space="preserve"> the court held that</w:t>
      </w:r>
      <w:r w:rsidR="004E2B5B">
        <w:t xml:space="preserve"> the relevant states would not bar these particular claims under the SELD.</w:t>
      </w:r>
      <w:r w:rsidR="004E2B5B">
        <w:rPr>
          <w:rStyle w:val="FootnoteReference"/>
        </w:rPr>
        <w:footnoteReference w:id="19"/>
      </w:r>
    </w:p>
    <w:p w14:paraId="0482D739" w14:textId="2A8749E6" w:rsidR="004E2B5B" w:rsidRDefault="004E2B5B" w:rsidP="004E2B5B">
      <w:pPr>
        <w:spacing w:line="276" w:lineRule="auto"/>
      </w:pPr>
    </w:p>
    <w:p w14:paraId="4DE35E6D" w14:textId="43174F12" w:rsidR="00D416C1" w:rsidRDefault="00D416C1" w:rsidP="0064354B">
      <w:pPr>
        <w:spacing w:line="276" w:lineRule="auto"/>
        <w:ind w:firstLine="720"/>
      </w:pPr>
      <w:r>
        <w:t xml:space="preserve">Second, the court </w:t>
      </w:r>
      <w:r w:rsidR="0064354B">
        <w:t xml:space="preserve">endorsed narrow </w:t>
      </w:r>
      <w:r w:rsidR="00052D25">
        <w:t xml:space="preserve">federal </w:t>
      </w:r>
      <w:r>
        <w:t>preemption</w:t>
      </w:r>
      <w:r w:rsidR="00052D25">
        <w:t xml:space="preserve"> under the </w:t>
      </w:r>
      <w:r w:rsidR="00052D25" w:rsidRPr="00052D25">
        <w:t>Federal Insecticide, Fungicide, and Rodenticide Act (FIFRA)</w:t>
      </w:r>
      <w:r>
        <w:t>,</w:t>
      </w:r>
      <w:r w:rsidR="00052D25">
        <w:rPr>
          <w:rStyle w:val="FootnoteReference"/>
        </w:rPr>
        <w:footnoteReference w:id="20"/>
      </w:r>
      <w:r>
        <w:t xml:space="preserve"> reasoning</w:t>
      </w:r>
      <w:r w:rsidR="00052D25">
        <w:t xml:space="preserve"> that </w:t>
      </w:r>
      <w:r w:rsidR="0064354B">
        <w:t>“even though plaintiffs …disavow any such claim, the Court nevertheless grants the motions to dismiss [for any] claim based on an alleged failure to warn [if it is] based on a lack of warnings in materials accompanying the products</w:t>
      </w:r>
      <w:r w:rsidR="00052D25">
        <w:t>,</w:t>
      </w:r>
      <w:r w:rsidR="0064354B">
        <w:t>”</w:t>
      </w:r>
      <w:r w:rsidR="00052D25">
        <w:t xml:space="preserve"> citing </w:t>
      </w:r>
      <w:r w:rsidR="00052D25" w:rsidRPr="00052D25">
        <w:rPr>
          <w:i/>
        </w:rPr>
        <w:t>Bates v. Dow</w:t>
      </w:r>
      <w:r w:rsidR="00052D25">
        <w:rPr>
          <w:rFonts w:ascii="Times New Roman" w:hAnsi="Times New Roman" w:cs="Times New Roman"/>
          <w:sz w:val="26"/>
          <w:szCs w:val="26"/>
        </w:rPr>
        <w:t>.</w:t>
      </w:r>
      <w:r w:rsidR="00052D25">
        <w:rPr>
          <w:rStyle w:val="FootnoteReference"/>
          <w:rFonts w:ascii="Times New Roman" w:hAnsi="Times New Roman" w:cs="Times New Roman"/>
          <w:sz w:val="26"/>
          <w:szCs w:val="26"/>
        </w:rPr>
        <w:footnoteReference w:id="21"/>
      </w:r>
    </w:p>
    <w:p w14:paraId="6346936D" w14:textId="77777777" w:rsidR="00052D25" w:rsidRDefault="00052D25" w:rsidP="0064354B">
      <w:pPr>
        <w:spacing w:line="276" w:lineRule="auto"/>
      </w:pPr>
    </w:p>
    <w:p w14:paraId="03A9420A" w14:textId="70D674EC" w:rsidR="00052D25" w:rsidRDefault="00052D25" w:rsidP="00052D25">
      <w:pPr>
        <w:spacing w:line="276" w:lineRule="auto"/>
        <w:ind w:firstLine="720"/>
      </w:pPr>
      <w:r>
        <w:t xml:space="preserve">Syngenta argued that plaintiffs’ claims based on a failure to warn growers of trade disruption risks using its products were preempted </w:t>
      </w:r>
      <w:r w:rsidR="00FB21E0">
        <w:t xml:space="preserve">under </w:t>
      </w:r>
      <w:r>
        <w:t>FIFRA.</w:t>
      </w:r>
      <w:r>
        <w:rPr>
          <w:rStyle w:val="FootnoteReference"/>
        </w:rPr>
        <w:footnoteReference w:id="22"/>
      </w:r>
      <w:r>
        <w:t xml:space="preserve"> Plaintiffs argued that no direct failure-to-warn claim was alleged, but failure by Syngenta failures in stewardship with poor communication </w:t>
      </w:r>
      <w:r w:rsidR="00EF5EC1">
        <w:t xml:space="preserve">was </w:t>
      </w:r>
      <w:r>
        <w:t xml:space="preserve">only one aspect of how Syngenta was negligent. Plaintiffs also noted </w:t>
      </w:r>
      <w:r w:rsidR="00FB21E0">
        <w:t>that</w:t>
      </w:r>
      <w:r>
        <w:t xml:space="preserve"> plaintiff</w:t>
      </w:r>
      <w:r w:rsidR="00FB21E0">
        <w:t>s</w:t>
      </w:r>
      <w:r>
        <w:t xml:space="preserve"> who were not purchasers of Syngenta’s products would never have seen any such labels.</w:t>
      </w:r>
      <w:r w:rsidR="0064354B">
        <w:t xml:space="preserve"> Since plaintiffs’ core allegations relating to failure to warn were not preempted, the court’s narrow opinion had no effect on their core claims.</w:t>
      </w:r>
    </w:p>
    <w:p w14:paraId="3B928D11" w14:textId="7F5549A3" w:rsidR="000D7D45" w:rsidRDefault="000D7D45" w:rsidP="00D416C1">
      <w:pPr>
        <w:spacing w:line="276" w:lineRule="auto"/>
      </w:pPr>
    </w:p>
    <w:p w14:paraId="04600552" w14:textId="62483DD5" w:rsidR="000D7D45" w:rsidRPr="004E2B5B" w:rsidRDefault="000D7D45" w:rsidP="00C6642E">
      <w:pPr>
        <w:spacing w:line="276" w:lineRule="auto"/>
        <w:ind w:firstLine="720"/>
      </w:pPr>
      <w:r w:rsidRPr="004C0F11">
        <w:rPr>
          <w:rStyle w:val="pxvis"/>
          <w:rFonts w:ascii="Times New Roman" w:hAnsi="Times New Roman" w:cs="Times New Roman"/>
          <w:b w:val="0"/>
          <w:bCs w:val="0"/>
          <w:sz w:val="24"/>
          <w:szCs w:val="24"/>
        </w:rPr>
        <w:t>The judge recognized that his ruling could have a broad impact on the pipeline of future biotech crop launches in the U.S., (many of which may be specialty, small-scale “new use” crops that are not meant for export, and grown in tight identity-preserved production), stating that “</w:t>
      </w:r>
      <w:r w:rsidRPr="004C0F11">
        <w:rPr>
          <w:rFonts w:ascii="Times New Roman" w:hAnsi="Times New Roman" w:cs="Times New Roman"/>
        </w:rPr>
        <w:t>the Court does not believe that the risk of a flood of new litigation is sufficiently great and sufficiently unfair to preclude the recognition of a legal duty here.”</w:t>
      </w:r>
      <w:r>
        <w:rPr>
          <w:rStyle w:val="FootnoteReference"/>
          <w:rFonts w:ascii="Times New Roman" w:hAnsi="Times New Roman" w:cs="Times New Roman"/>
        </w:rPr>
        <w:footnoteReference w:id="23"/>
      </w:r>
    </w:p>
    <w:p w14:paraId="3B678FD9" w14:textId="60DADAED" w:rsidR="009923F5" w:rsidRDefault="009923F5" w:rsidP="002D5ACB">
      <w:pPr>
        <w:spacing w:line="276" w:lineRule="auto"/>
        <w:rPr>
          <w:rFonts w:ascii="Times New Roman" w:hAnsi="Times New Roman" w:cs="Times New Roman"/>
        </w:rPr>
      </w:pPr>
    </w:p>
    <w:p w14:paraId="6DF60041" w14:textId="57FF79BB" w:rsidR="00BA7D74" w:rsidRPr="00150C15" w:rsidRDefault="00BA7D74" w:rsidP="00BA7D74">
      <w:pPr>
        <w:spacing w:after="240" w:line="276" w:lineRule="auto"/>
        <w:ind w:firstLine="720"/>
        <w:rPr>
          <w:rFonts w:ascii="Times New Roman" w:hAnsi="Times New Roman" w:cs="Times New Roman"/>
        </w:rPr>
      </w:pPr>
      <w:r w:rsidRPr="00150C15">
        <w:rPr>
          <w:rFonts w:ascii="Times New Roman" w:hAnsi="Times New Roman" w:cs="Times New Roman"/>
        </w:rPr>
        <w:t>Th</w:t>
      </w:r>
      <w:r w:rsidR="00F34C16">
        <w:rPr>
          <w:rFonts w:ascii="Times New Roman" w:hAnsi="Times New Roman" w:cs="Times New Roman"/>
        </w:rPr>
        <w:t xml:space="preserve">e damages in this case have yet to be assessed, but the grain trade has studied the economic impact. </w:t>
      </w:r>
      <w:r w:rsidR="0064354B" w:rsidRPr="004C0F11">
        <w:rPr>
          <w:rFonts w:ascii="Times New Roman" w:eastAsia="Times New Roman" w:hAnsi="Times New Roman" w:cs="Times New Roman"/>
          <w:color w:val="000000"/>
        </w:rPr>
        <w:t xml:space="preserve">Costs of this trade disruption were estimated at up to $2.9 billion </w:t>
      </w:r>
      <w:r w:rsidR="0064354B" w:rsidRPr="00150C15">
        <w:rPr>
          <w:rFonts w:ascii="Times New Roman" w:hAnsi="Times New Roman" w:cs="Times New Roman"/>
        </w:rPr>
        <w:t xml:space="preserve">to $3.4 billion </w:t>
      </w:r>
      <w:r w:rsidR="00EF5EC1">
        <w:rPr>
          <w:rFonts w:ascii="Times New Roman" w:hAnsi="Times New Roman" w:cs="Times New Roman"/>
        </w:rPr>
        <w:t xml:space="preserve">in </w:t>
      </w:r>
      <w:r w:rsidRPr="00150C15">
        <w:rPr>
          <w:rFonts w:ascii="Times New Roman" w:hAnsi="Times New Roman" w:cs="Times New Roman"/>
        </w:rPr>
        <w:t xml:space="preserve">net economic loss </w:t>
      </w:r>
      <w:r w:rsidR="0064354B" w:rsidRPr="004C0F11">
        <w:rPr>
          <w:rFonts w:ascii="Times New Roman" w:eastAsia="Times New Roman" w:hAnsi="Times New Roman" w:cs="Times New Roman"/>
          <w:color w:val="000000"/>
        </w:rPr>
        <w:t>through April 2014</w:t>
      </w:r>
      <w:r w:rsidR="0064354B" w:rsidRPr="00150C15">
        <w:rPr>
          <w:rFonts w:ascii="Times New Roman" w:hAnsi="Times New Roman" w:cs="Times New Roman"/>
        </w:rPr>
        <w:t xml:space="preserve"> </w:t>
      </w:r>
      <w:r w:rsidRPr="00150C15">
        <w:rPr>
          <w:rFonts w:ascii="Times New Roman" w:hAnsi="Times New Roman" w:cs="Times New Roman"/>
        </w:rPr>
        <w:t xml:space="preserve">from Syngenta’s marketing of </w:t>
      </w:r>
      <w:proofErr w:type="spellStart"/>
      <w:r w:rsidR="00FB21E0">
        <w:rPr>
          <w:rFonts w:ascii="Times New Roman" w:hAnsi="Times New Roman" w:cs="Times New Roman"/>
        </w:rPr>
        <w:t>Viptera</w:t>
      </w:r>
      <w:proofErr w:type="spellEnd"/>
      <w:r w:rsidR="00FB21E0">
        <w:rPr>
          <w:rFonts w:ascii="Times New Roman" w:hAnsi="Times New Roman" w:cs="Times New Roman"/>
        </w:rPr>
        <w:t>™</w:t>
      </w:r>
      <w:r w:rsidR="001F0E06">
        <w:rPr>
          <w:rFonts w:ascii="Times New Roman" w:hAnsi="Times New Roman" w:cs="Times New Roman"/>
        </w:rPr>
        <w:t xml:space="preserve"> </w:t>
      </w:r>
      <w:r w:rsidRPr="00150C15">
        <w:rPr>
          <w:rFonts w:ascii="Times New Roman" w:hAnsi="Times New Roman" w:cs="Times New Roman"/>
        </w:rPr>
        <w:t>corn lacking approval in China</w:t>
      </w:r>
      <w:r w:rsidR="0064354B">
        <w:rPr>
          <w:rFonts w:ascii="Times New Roman" w:hAnsi="Times New Roman" w:cs="Times New Roman"/>
        </w:rPr>
        <w:t>.</w:t>
      </w:r>
      <w:r w:rsidR="00EA69A1">
        <w:rPr>
          <w:rFonts w:ascii="Times New Roman" w:hAnsi="Times New Roman" w:cs="Times New Roman"/>
        </w:rPr>
        <w:t xml:space="preserve"> </w:t>
      </w:r>
      <w:r w:rsidR="0064354B">
        <w:rPr>
          <w:rFonts w:ascii="Times New Roman" w:hAnsi="Times New Roman" w:cs="Times New Roman"/>
        </w:rPr>
        <w:t xml:space="preserve">This </w:t>
      </w:r>
      <w:r w:rsidR="0064354B" w:rsidRPr="00150C15">
        <w:rPr>
          <w:rFonts w:ascii="Times New Roman" w:hAnsi="Times New Roman" w:cs="Times New Roman"/>
        </w:rPr>
        <w:t>excerpt of the National Grain &amp; F</w:t>
      </w:r>
      <w:r w:rsidR="0064354B">
        <w:rPr>
          <w:rFonts w:ascii="Times New Roman" w:hAnsi="Times New Roman" w:cs="Times New Roman"/>
        </w:rPr>
        <w:t xml:space="preserve">eed Association’s paper </w:t>
      </w:r>
      <w:r w:rsidR="0064354B" w:rsidRPr="00150C15">
        <w:rPr>
          <w:rFonts w:ascii="Times New Roman" w:hAnsi="Times New Roman" w:cs="Times New Roman"/>
        </w:rPr>
        <w:t xml:space="preserve">shows how Syngenta tried </w:t>
      </w:r>
      <w:r w:rsidR="0064354B">
        <w:rPr>
          <w:rFonts w:ascii="Times New Roman" w:hAnsi="Times New Roman" w:cs="Times New Roman"/>
        </w:rPr>
        <w:t>to claim it would not be liable.</w:t>
      </w:r>
    </w:p>
    <w:p w14:paraId="22F8DA40" w14:textId="28B0A28C" w:rsidR="00835EC1" w:rsidRDefault="00BA7D74" w:rsidP="00EF5EC1">
      <w:pPr>
        <w:spacing w:after="240" w:line="276" w:lineRule="auto"/>
        <w:ind w:left="360"/>
        <w:rPr>
          <w:rFonts w:ascii="Times New Roman" w:eastAsia="Times New Roman" w:hAnsi="Times New Roman" w:cs="Times New Roman"/>
        </w:rPr>
      </w:pPr>
      <w:r w:rsidRPr="00150C15">
        <w:rPr>
          <w:rFonts w:ascii="Times New Roman" w:hAnsi="Times New Roman" w:cs="Times New Roman"/>
        </w:rPr>
        <w:t xml:space="preserve">The Syngenta Stewardship Agreement with growers purchasing and planting </w:t>
      </w:r>
      <w:r w:rsidR="0064354B">
        <w:rPr>
          <w:rFonts w:ascii="Times New Roman" w:hAnsi="Times New Roman" w:cs="Times New Roman"/>
        </w:rPr>
        <w:t>[</w:t>
      </w:r>
      <w:proofErr w:type="spellStart"/>
      <w:r w:rsidR="00FB21E0">
        <w:rPr>
          <w:rFonts w:ascii="Times New Roman" w:hAnsi="Times New Roman" w:cs="Times New Roman"/>
        </w:rPr>
        <w:t>Viptera</w:t>
      </w:r>
      <w:proofErr w:type="spellEnd"/>
      <w:r w:rsidR="00FB21E0">
        <w:rPr>
          <w:rFonts w:ascii="Times New Roman" w:hAnsi="Times New Roman" w:cs="Times New Roman"/>
        </w:rPr>
        <w:t>™</w:t>
      </w:r>
      <w:r w:rsidR="0064354B">
        <w:rPr>
          <w:rFonts w:ascii="Times New Roman" w:hAnsi="Times New Roman" w:cs="Times New Roman"/>
        </w:rPr>
        <w:t>]</w:t>
      </w:r>
      <w:r w:rsidRPr="00150C15">
        <w:rPr>
          <w:rFonts w:ascii="Times New Roman" w:hAnsi="Times New Roman" w:cs="Times New Roman"/>
        </w:rPr>
        <w:t xml:space="preserve"> seed states tha</w:t>
      </w:r>
      <w:r w:rsidR="00F34C16">
        <w:rPr>
          <w:rFonts w:ascii="Times New Roman" w:hAnsi="Times New Roman" w:cs="Times New Roman"/>
        </w:rPr>
        <w:t>t producers are responsible to ‘</w:t>
      </w:r>
      <w:r w:rsidRPr="00150C15">
        <w:rPr>
          <w:rFonts w:ascii="Times New Roman" w:hAnsi="Times New Roman" w:cs="Times New Roman"/>
        </w:rPr>
        <w:t xml:space="preserve">channel grain produced from seed products…to appropriate markets as necessary to prevent movement to markets where the grain has not yet received </w:t>
      </w:r>
      <w:r w:rsidR="00F34C16">
        <w:rPr>
          <w:rFonts w:ascii="Times New Roman" w:hAnsi="Times New Roman" w:cs="Times New Roman"/>
        </w:rPr>
        <w:t>regulatory approval for export.’</w:t>
      </w:r>
      <w:r w:rsidRPr="00150C15">
        <w:rPr>
          <w:rFonts w:ascii="Times New Roman" w:hAnsi="Times New Roman" w:cs="Times New Roman"/>
        </w:rPr>
        <w:t xml:space="preserve"> Further, in a March 11, 2014 letter to member </w:t>
      </w:r>
      <w:r w:rsidRPr="00150C15">
        <w:rPr>
          <w:rFonts w:ascii="Times New Roman" w:hAnsi="Times New Roman" w:cs="Times New Roman"/>
        </w:rPr>
        <w:lastRenderedPageBreak/>
        <w:t>companies of the NGFA and NAEGA, Synge</w:t>
      </w:r>
      <w:r w:rsidR="00F34C16">
        <w:rPr>
          <w:rFonts w:ascii="Times New Roman" w:hAnsi="Times New Roman" w:cs="Times New Roman"/>
        </w:rPr>
        <w:t>nta North America Inc. stated: ‘</w:t>
      </w:r>
      <w:r w:rsidRPr="00150C15">
        <w:rPr>
          <w:rFonts w:ascii="Times New Roman" w:hAnsi="Times New Roman" w:cs="Times New Roman"/>
        </w:rPr>
        <w:t>…[T]he grower remains responsible for planting, harvesting and stewardship of seed and grain, just as members of the grain handling industry purchasing grain and reselling it remain solely liable for any risks or liabilities arising from their commercial activity.</w:t>
      </w:r>
      <w:r w:rsidR="00F34C16">
        <w:rPr>
          <w:rFonts w:ascii="Times New Roman" w:hAnsi="Times New Roman" w:cs="Times New Roman"/>
        </w:rPr>
        <w:t>’</w:t>
      </w:r>
      <w:r>
        <w:rPr>
          <w:rStyle w:val="FootnoteReference"/>
          <w:rFonts w:ascii="Times New Roman" w:hAnsi="Times New Roman" w:cs="Times New Roman"/>
        </w:rPr>
        <w:footnoteReference w:id="24"/>
      </w:r>
      <w:r w:rsidRPr="00150C15">
        <w:rPr>
          <w:rFonts w:ascii="Times New Roman" w:hAnsi="Times New Roman" w:cs="Times New Roman"/>
        </w:rPr>
        <w:t xml:space="preserve"> </w:t>
      </w:r>
    </w:p>
    <w:p w14:paraId="75FA385A" w14:textId="63814AD4" w:rsidR="00FF209B" w:rsidRDefault="00BA7D74" w:rsidP="00BA7D74">
      <w:pPr>
        <w:spacing w:line="276" w:lineRule="auto"/>
        <w:ind w:firstLine="720"/>
        <w:rPr>
          <w:rFonts w:ascii="Times New Roman" w:eastAsia="Times New Roman" w:hAnsi="Times New Roman" w:cs="Times New Roman"/>
        </w:rPr>
      </w:pPr>
      <w:r w:rsidRPr="00150C15">
        <w:rPr>
          <w:rFonts w:ascii="Times New Roman" w:eastAsia="Times New Roman" w:hAnsi="Times New Roman" w:cs="Times New Roman"/>
        </w:rPr>
        <w:t>If</w:t>
      </w:r>
      <w:r w:rsidR="00B336D2">
        <w:rPr>
          <w:rFonts w:ascii="Times New Roman" w:eastAsia="Times New Roman" w:hAnsi="Times New Roman" w:cs="Times New Roman"/>
        </w:rPr>
        <w:t xml:space="preserve"> Syngenta</w:t>
      </w:r>
      <w:r>
        <w:rPr>
          <w:rFonts w:ascii="Times New Roman" w:eastAsia="Times New Roman" w:hAnsi="Times New Roman" w:cs="Times New Roman"/>
        </w:rPr>
        <w:t xml:space="preserve"> had waited </w:t>
      </w:r>
      <w:r w:rsidR="00B336D2">
        <w:rPr>
          <w:rFonts w:ascii="Times New Roman" w:eastAsia="Times New Roman" w:hAnsi="Times New Roman" w:cs="Times New Roman"/>
        </w:rPr>
        <w:t xml:space="preserve">to sell </w:t>
      </w:r>
      <w:proofErr w:type="spellStart"/>
      <w:r w:rsidR="00FB21E0">
        <w:rPr>
          <w:rFonts w:ascii="Times New Roman" w:eastAsia="Times New Roman" w:hAnsi="Times New Roman" w:cs="Times New Roman"/>
        </w:rPr>
        <w:t>Viptera</w:t>
      </w:r>
      <w:proofErr w:type="spellEnd"/>
      <w:r w:rsidR="00FB21E0">
        <w:rPr>
          <w:rFonts w:ascii="Times New Roman" w:eastAsia="Times New Roman" w:hAnsi="Times New Roman" w:cs="Times New Roman"/>
        </w:rPr>
        <w:t>™</w:t>
      </w:r>
      <w:r w:rsidR="00B336D2">
        <w:rPr>
          <w:rFonts w:ascii="Times New Roman" w:eastAsia="Times New Roman" w:hAnsi="Times New Roman" w:cs="Times New Roman"/>
        </w:rPr>
        <w:t xml:space="preserve"> corn until after China</w:t>
      </w:r>
      <w:r>
        <w:rPr>
          <w:rFonts w:ascii="Times New Roman" w:eastAsia="Times New Roman" w:hAnsi="Times New Roman" w:cs="Times New Roman"/>
        </w:rPr>
        <w:t xml:space="preserve"> </w:t>
      </w:r>
      <w:r w:rsidRPr="00150C15">
        <w:rPr>
          <w:rFonts w:ascii="Times New Roman" w:eastAsia="Times New Roman" w:hAnsi="Times New Roman" w:cs="Times New Roman"/>
        </w:rPr>
        <w:t>approval as the grain trader Bunge N.A requested in 2011, Syngenta could have avoided causing a “billion-dollar cataclysm” in corn exports</w:t>
      </w:r>
      <w:r w:rsidR="00FF209B">
        <w:rPr>
          <w:rFonts w:ascii="Times New Roman" w:eastAsia="Times New Roman" w:hAnsi="Times New Roman" w:cs="Times New Roman"/>
        </w:rPr>
        <w:t xml:space="preserve">. Syngenta can rightfully claim that </w:t>
      </w:r>
      <w:r w:rsidR="00AA2AC3">
        <w:rPr>
          <w:rFonts w:ascii="Times New Roman" w:eastAsia="Times New Roman" w:hAnsi="Times New Roman" w:cs="Times New Roman"/>
        </w:rPr>
        <w:t>from</w:t>
      </w:r>
      <w:r w:rsidR="00FF209B">
        <w:rPr>
          <w:rFonts w:ascii="Times New Roman" w:eastAsia="Times New Roman" w:hAnsi="Times New Roman" w:cs="Times New Roman"/>
        </w:rPr>
        <w:t xml:space="preserve"> 2011 to 2013, it sold corn that China bought and did so with the full consent of the National Corn Growers Association</w:t>
      </w:r>
      <w:r w:rsidR="00EA3FB6">
        <w:rPr>
          <w:rFonts w:ascii="Times New Roman" w:eastAsia="Times New Roman" w:hAnsi="Times New Roman" w:cs="Times New Roman"/>
        </w:rPr>
        <w:t xml:space="preserve"> (NCGA)</w:t>
      </w:r>
      <w:r w:rsidR="00FF209B">
        <w:rPr>
          <w:rFonts w:ascii="Times New Roman" w:eastAsia="Times New Roman" w:hAnsi="Times New Roman" w:cs="Times New Roman"/>
        </w:rPr>
        <w:t xml:space="preserve">. While Syngenta did not respect the assertions of grain traders that there were “market signals” coming in from China, </w:t>
      </w:r>
      <w:r w:rsidR="00EA69A1">
        <w:rPr>
          <w:rFonts w:ascii="Times New Roman" w:eastAsia="Times New Roman" w:hAnsi="Times New Roman" w:cs="Times New Roman"/>
        </w:rPr>
        <w:t>it is hard to see how containment could be implemented for a widely marketed crop a year or two after its uncontained commercial launch.</w:t>
      </w:r>
      <w:r w:rsidRPr="00150C15">
        <w:rPr>
          <w:rFonts w:ascii="Times New Roman" w:eastAsia="Times New Roman" w:hAnsi="Times New Roman" w:cs="Times New Roman"/>
        </w:rPr>
        <w:t xml:space="preserve">  </w:t>
      </w:r>
      <w:r w:rsidR="00EF5EC1">
        <w:rPr>
          <w:rFonts w:ascii="Times New Roman" w:eastAsia="Times New Roman" w:hAnsi="Times New Roman" w:cs="Times New Roman"/>
        </w:rPr>
        <w:t xml:space="preserve">Syngenta was arguably misled by China’s acceptance of U.S. corn for two years (although mere traces of the 1% of U.S. acres in </w:t>
      </w:r>
      <w:proofErr w:type="spellStart"/>
      <w:r w:rsidR="00EF5EC1">
        <w:rPr>
          <w:rFonts w:ascii="Times New Roman" w:eastAsia="Times New Roman" w:hAnsi="Times New Roman" w:cs="Times New Roman"/>
        </w:rPr>
        <w:t>Viptera</w:t>
      </w:r>
      <w:proofErr w:type="spellEnd"/>
      <w:r w:rsidR="00EF5EC1">
        <w:rPr>
          <w:rFonts w:ascii="Times New Roman" w:eastAsia="Times New Roman" w:hAnsi="Times New Roman" w:cs="Times New Roman"/>
        </w:rPr>
        <w:t xml:space="preserve">™ might elude tests for months or years, depending on sample sizes and frequency of testing). </w:t>
      </w:r>
    </w:p>
    <w:p w14:paraId="4849505C" w14:textId="77777777" w:rsidR="00FF209B" w:rsidRDefault="00FF209B" w:rsidP="00BA7D74">
      <w:pPr>
        <w:spacing w:line="276" w:lineRule="auto"/>
        <w:ind w:firstLine="720"/>
        <w:rPr>
          <w:rFonts w:ascii="Times New Roman" w:eastAsia="Times New Roman" w:hAnsi="Times New Roman" w:cs="Times New Roman"/>
        </w:rPr>
      </w:pPr>
    </w:p>
    <w:p w14:paraId="4491E478" w14:textId="59270074" w:rsidR="00BA7D74" w:rsidRDefault="00BA7D74" w:rsidP="00BA7D74">
      <w:pPr>
        <w:spacing w:line="276" w:lineRule="auto"/>
        <w:ind w:firstLine="720"/>
        <w:rPr>
          <w:rFonts w:ascii="Times New Roman" w:eastAsia="Times New Roman" w:hAnsi="Times New Roman" w:cs="Times New Roman"/>
        </w:rPr>
      </w:pPr>
      <w:r w:rsidRPr="00150C15">
        <w:rPr>
          <w:rFonts w:ascii="Times New Roman" w:eastAsia="Times New Roman" w:hAnsi="Times New Roman" w:cs="Times New Roman"/>
        </w:rPr>
        <w:t xml:space="preserve">Past precedents in </w:t>
      </w:r>
      <w:proofErr w:type="spellStart"/>
      <w:r w:rsidRPr="00150C15">
        <w:rPr>
          <w:rFonts w:ascii="Times New Roman" w:eastAsia="Times New Roman" w:hAnsi="Times New Roman" w:cs="Times New Roman"/>
        </w:rPr>
        <w:t>Starlink</w:t>
      </w:r>
      <w:proofErr w:type="spellEnd"/>
      <w:r w:rsidRPr="00150C15">
        <w:rPr>
          <w:rFonts w:ascii="Times New Roman" w:eastAsia="Times New Roman" w:hAnsi="Times New Roman" w:cs="Times New Roman"/>
        </w:rPr>
        <w:t xml:space="preserve"> corn and Liberty Link rice arguably provide any party in the chain of commodity commerce with ample authority for demanding proof from biotech companies of sound stewardship to avoid billion-dollar trade disruption liability. As a result, well-managed biotech companies are generally very attentive when their customers (for example, soybean growers) alert the company to a potential billion-dollar liability threat that could be created by the biotech company's marketing practices.</w:t>
      </w:r>
      <w:r w:rsidR="00B336D2" w:rsidRPr="00B336D2">
        <w:rPr>
          <w:rFonts w:ascii="Times New Roman" w:eastAsia="Times New Roman" w:hAnsi="Times New Roman" w:cs="Times New Roman"/>
        </w:rPr>
        <w:t xml:space="preserve"> </w:t>
      </w:r>
      <w:r w:rsidR="00B336D2" w:rsidRPr="00150C15">
        <w:rPr>
          <w:rFonts w:ascii="Times New Roman" w:eastAsia="Times New Roman" w:hAnsi="Times New Roman" w:cs="Times New Roman"/>
        </w:rPr>
        <w:t xml:space="preserve">Unfortunately, </w:t>
      </w:r>
      <w:r w:rsidR="00B336D2">
        <w:rPr>
          <w:rFonts w:ascii="Times New Roman" w:eastAsia="Times New Roman" w:hAnsi="Times New Roman" w:cs="Times New Roman"/>
        </w:rPr>
        <w:t>Syngenta’s</w:t>
      </w:r>
      <w:r w:rsidR="00B336D2" w:rsidRPr="00150C15">
        <w:rPr>
          <w:rFonts w:ascii="Times New Roman" w:eastAsia="Times New Roman" w:hAnsi="Times New Roman" w:cs="Times New Roman"/>
        </w:rPr>
        <w:t xml:space="preserve"> pending case will set the standards for what is “foreseeable” in terms of an export market for any biotech crop sold in the U.S.  </w:t>
      </w:r>
    </w:p>
    <w:p w14:paraId="470D8D64" w14:textId="3F8591E2" w:rsidR="00BA7D74" w:rsidRDefault="00BA7D74" w:rsidP="002D5ACB">
      <w:pPr>
        <w:spacing w:line="276" w:lineRule="auto"/>
        <w:rPr>
          <w:rFonts w:ascii="Times New Roman" w:hAnsi="Times New Roman" w:cs="Times New Roman"/>
        </w:rPr>
      </w:pPr>
    </w:p>
    <w:p w14:paraId="330D5A8F" w14:textId="16C4E5D6" w:rsidR="00A55480" w:rsidRDefault="00D416C1" w:rsidP="00B336D2">
      <w:pPr>
        <w:spacing w:line="276" w:lineRule="auto"/>
        <w:ind w:firstLine="500"/>
      </w:pPr>
      <w:r>
        <w:t xml:space="preserve"> In a subsequent motion and</w:t>
      </w:r>
      <w:r w:rsidR="00B336D2">
        <w:t xml:space="preserve"> order dated August 17, 2016, the court granted Syngenta’s motion to dismiss in part holding that certain claims by the Phipps plaintiffs were preempted by </w:t>
      </w:r>
      <w:r w:rsidR="001F0E06">
        <w:t xml:space="preserve">the U.S. </w:t>
      </w:r>
      <w:r w:rsidR="00EF5EC1">
        <w:t xml:space="preserve">Grain Standards Act. Syngenta successfully argued for FIFRA preemption of claims that it had a duty to warn </w:t>
      </w:r>
      <w:proofErr w:type="spellStart"/>
      <w:r w:rsidR="00EF5EC1">
        <w:t>Viptera</w:t>
      </w:r>
      <w:proofErr w:type="spellEnd"/>
      <w:r w:rsidR="00EF5EC1">
        <w:t>™ growers to protect export markets and segregate the corn.</w:t>
      </w:r>
      <w:r w:rsidR="00EF5EC1">
        <w:rPr>
          <w:rStyle w:val="FootnoteReference"/>
        </w:rPr>
        <w:footnoteReference w:id="25"/>
      </w:r>
      <w:r w:rsidR="00EF5EC1">
        <w:t xml:space="preserve"> This only relates to claims based on a lack of warnings in materials accompanying Syngenta’s products, and plaintiffs do not link Syngenta’s negligence and fraud to statements made on the product packaging.</w:t>
      </w:r>
      <w:r w:rsidR="00B336D2">
        <w:t xml:space="preserve"> </w:t>
      </w:r>
      <w:r w:rsidR="00EF5EC1">
        <w:t>Further explaining its position on FIFRA preemption, t</w:t>
      </w:r>
      <w:r w:rsidR="00A55480">
        <w:t>he court did not preempt any claim by</w:t>
      </w:r>
      <w:r>
        <w:t xml:space="preserve"> these</w:t>
      </w:r>
      <w:r w:rsidR="00A55480">
        <w:t xml:space="preserve"> plaintiffs based on a duty to limit sales to those who agree to avoid crosspollination, or educate farmers in planting their seeds to avoid cross-pollination, or keep the corn out of exports by not selling their corn across state lines. </w:t>
      </w:r>
      <w:r w:rsidR="00EA69A1">
        <w:t>The Court</w:t>
      </w:r>
      <w:r w:rsidR="00A55480">
        <w:t xml:space="preserve"> found plaintiffs’ claims </w:t>
      </w:r>
      <w:r w:rsidR="00A55480">
        <w:lastRenderedPageBreak/>
        <w:t>preempted if based on “duties that would require inspection or description of corn by reference to the presence or absence</w:t>
      </w:r>
      <w:r>
        <w:t>”</w:t>
      </w:r>
      <w:r w:rsidR="00A55480">
        <w:t xml:space="preserve"> of </w:t>
      </w:r>
      <w:proofErr w:type="spellStart"/>
      <w:r w:rsidR="00FB21E0">
        <w:rPr>
          <w:rFonts w:ascii="Times New Roman" w:eastAsia="Times New Roman" w:hAnsi="Times New Roman" w:cs="Times New Roman"/>
        </w:rPr>
        <w:t>Viptera</w:t>
      </w:r>
      <w:proofErr w:type="spellEnd"/>
      <w:r w:rsidR="00FB21E0">
        <w:rPr>
          <w:rFonts w:ascii="Times New Roman" w:eastAsia="Times New Roman" w:hAnsi="Times New Roman" w:cs="Times New Roman"/>
        </w:rPr>
        <w:t>™</w:t>
      </w:r>
      <w:r w:rsidR="00A55480">
        <w:t xml:space="preserve"> such as claims based on a duty to assist more directly in the segregation of corn through contract requirements, education, inspection, or tracing the product through the supply chain.  Since preemption would require a nexus to interstate or foreign commerce, such education must </w:t>
      </w:r>
      <w:r>
        <w:t>involve the activity of sell</w:t>
      </w:r>
      <w:r w:rsidR="00A55480">
        <w:t>ing corn</w:t>
      </w:r>
      <w:r>
        <w:t xml:space="preserve"> to be preempted</w:t>
      </w:r>
      <w:r w:rsidR="00A55480">
        <w:t>.</w:t>
      </w:r>
    </w:p>
    <w:p w14:paraId="19D415A0" w14:textId="57468DB0" w:rsidR="00B336D2" w:rsidRPr="004C0F11" w:rsidRDefault="00B336D2" w:rsidP="002D5ACB">
      <w:pPr>
        <w:spacing w:line="276" w:lineRule="auto"/>
        <w:rPr>
          <w:rFonts w:ascii="Times New Roman" w:hAnsi="Times New Roman" w:cs="Times New Roman"/>
        </w:rPr>
      </w:pPr>
    </w:p>
    <w:p w14:paraId="1C7FBDD6" w14:textId="77777777" w:rsidR="00B336D2" w:rsidRDefault="00BA7D74" w:rsidP="00B336D2">
      <w:pPr>
        <w:spacing w:line="276" w:lineRule="auto"/>
        <w:ind w:firstLine="720"/>
        <w:rPr>
          <w:rFonts w:ascii="Times New Roman" w:eastAsia="Times New Roman" w:hAnsi="Times New Roman" w:cs="Times New Roman"/>
        </w:rPr>
      </w:pPr>
      <w:r>
        <w:rPr>
          <w:rFonts w:ascii="Times New Roman" w:hAnsi="Times New Roman" w:cs="Times New Roman"/>
        </w:rPr>
        <w:t>Despite this minor setback</w:t>
      </w:r>
      <w:r w:rsidR="007B3CE9" w:rsidRPr="004C0F11">
        <w:rPr>
          <w:rFonts w:ascii="Times New Roman" w:hAnsi="Times New Roman" w:cs="Times New Roman"/>
        </w:rPr>
        <w:t xml:space="preserve">, the type of economic impacts that are being compensated in </w:t>
      </w:r>
      <w:r w:rsidR="007B3CE9" w:rsidRPr="004C0F11">
        <w:rPr>
          <w:rStyle w:val="pxi"/>
          <w:rFonts w:ascii="Times New Roman" w:hAnsi="Times New Roman" w:cs="Times New Roman"/>
          <w:i/>
          <w:iCs/>
        </w:rPr>
        <w:t>LL601 Rice</w:t>
      </w:r>
      <w:r w:rsidR="007B3CE9" w:rsidRPr="004C0F11">
        <w:rPr>
          <w:rFonts w:ascii="Times New Roman" w:hAnsi="Times New Roman" w:cs="Times New Roman"/>
        </w:rPr>
        <w:t xml:space="preserve"> </w:t>
      </w:r>
      <w:r w:rsidR="009923F5" w:rsidRPr="004C0F11">
        <w:rPr>
          <w:rFonts w:ascii="Times New Roman" w:hAnsi="Times New Roman" w:cs="Times New Roman"/>
        </w:rPr>
        <w:t>and may soon be compensated in the Syng</w:t>
      </w:r>
      <w:r w:rsidR="00B336D2">
        <w:rPr>
          <w:rFonts w:ascii="Times New Roman" w:hAnsi="Times New Roman" w:cs="Times New Roman"/>
        </w:rPr>
        <w:t>enta case. A ten cent drop in corn prices could lead to over one billion dollars in economic loss damages under plaintiffs’ expert’s current formula for calculating economic loss damages.</w:t>
      </w:r>
      <w:r w:rsidR="00B336D2" w:rsidRPr="00B336D2">
        <w:rPr>
          <w:rFonts w:ascii="Times New Roman" w:eastAsia="Times New Roman" w:hAnsi="Times New Roman" w:cs="Times New Roman"/>
        </w:rPr>
        <w:t xml:space="preserve"> </w:t>
      </w:r>
    </w:p>
    <w:p w14:paraId="54D224D4" w14:textId="35F2F001" w:rsidR="00B336D2" w:rsidRDefault="00B336D2" w:rsidP="00B336D2">
      <w:pPr>
        <w:spacing w:line="276" w:lineRule="auto"/>
        <w:ind w:firstLine="720"/>
        <w:rPr>
          <w:rFonts w:ascii="Times New Roman" w:eastAsia="Times New Roman" w:hAnsi="Times New Roman" w:cs="Times New Roman"/>
        </w:rPr>
      </w:pPr>
    </w:p>
    <w:p w14:paraId="46D730E4" w14:textId="149194AD" w:rsidR="00B336D2" w:rsidRDefault="00B336D2" w:rsidP="00B336D2">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A hearing on class certification is set for September 13, 2016, and plaintiffs’ counsel expressed confidence in winning this motion to certify the class. Growers who grew MIR 162 are excluded from the class.  </w:t>
      </w:r>
    </w:p>
    <w:p w14:paraId="30016A05" w14:textId="4802B64C" w:rsidR="00FF209B" w:rsidRDefault="00FF209B" w:rsidP="00B336D2">
      <w:pPr>
        <w:spacing w:line="276" w:lineRule="auto"/>
        <w:ind w:firstLine="720"/>
        <w:rPr>
          <w:rFonts w:ascii="Times New Roman" w:eastAsia="Times New Roman" w:hAnsi="Times New Roman" w:cs="Times New Roman"/>
        </w:rPr>
      </w:pPr>
    </w:p>
    <w:p w14:paraId="2B185156" w14:textId="78949410" w:rsidR="00FF209B" w:rsidRDefault="00FF209B" w:rsidP="00B336D2">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Depending on the outcome of pretrial motions and trial, this Syngenta case could pose a serious threat to the pipeline of </w:t>
      </w:r>
      <w:r w:rsidR="001F0E06">
        <w:rPr>
          <w:rFonts w:ascii="Times New Roman" w:eastAsia="Times New Roman" w:hAnsi="Times New Roman" w:cs="Times New Roman"/>
        </w:rPr>
        <w:t xml:space="preserve">coming </w:t>
      </w:r>
      <w:r>
        <w:rPr>
          <w:rFonts w:ascii="Times New Roman" w:eastAsia="Times New Roman" w:hAnsi="Times New Roman" w:cs="Times New Roman"/>
        </w:rPr>
        <w:t>biotech crops, including the new genetically edited</w:t>
      </w:r>
      <w:r w:rsidR="00AA2AC3">
        <w:rPr>
          <w:rFonts w:ascii="Times New Roman" w:eastAsia="Times New Roman" w:hAnsi="Times New Roman" w:cs="Times New Roman"/>
        </w:rPr>
        <w:t>-created</w:t>
      </w:r>
      <w:r>
        <w:rPr>
          <w:rFonts w:ascii="Times New Roman" w:eastAsia="Times New Roman" w:hAnsi="Times New Roman" w:cs="Times New Roman"/>
        </w:rPr>
        <w:t xml:space="preserve"> varieties that are coming soon (but whose overseas regulatory status remains uncertain). If the court decides that Syngenta is liable for billions of dollars in economic loss for failing to foresee that China would become a major market, </w:t>
      </w:r>
      <w:r w:rsidR="00807292">
        <w:rPr>
          <w:rFonts w:ascii="Times New Roman" w:eastAsia="Times New Roman" w:hAnsi="Times New Roman" w:cs="Times New Roman"/>
        </w:rPr>
        <w:t>it would</w:t>
      </w:r>
      <w:r>
        <w:rPr>
          <w:rFonts w:ascii="Times New Roman" w:eastAsia="Times New Roman" w:hAnsi="Times New Roman" w:cs="Times New Roman"/>
        </w:rPr>
        <w:t xml:space="preserve"> create a standard that no biotech seed company could follow. Even the strict standards for soybean “major market approval” would require some imports, not prospective imports. If the court or jury narrows the claims to those involving Syngenta’s particular wrong acts (e.g., misrepresentations that others relied on to their detriment), then the path ahead is safer for other biotech genetic events. </w:t>
      </w:r>
    </w:p>
    <w:p w14:paraId="184C6E9B" w14:textId="6133E994" w:rsidR="00BA7D74" w:rsidRDefault="00BA7D74" w:rsidP="002D5ACB">
      <w:pPr>
        <w:pStyle w:val="pxp"/>
        <w:spacing w:line="276" w:lineRule="auto"/>
        <w:ind w:firstLine="500"/>
        <w:rPr>
          <w:rFonts w:ascii="Times New Roman" w:hAnsi="Times New Roman" w:cs="Times New Roman"/>
        </w:rPr>
      </w:pPr>
    </w:p>
    <w:p w14:paraId="1F94BD64" w14:textId="0C34F099" w:rsidR="00EA69A1" w:rsidRPr="00EA69A1" w:rsidRDefault="00EA69A1" w:rsidP="00D416C1">
      <w:pPr>
        <w:spacing w:line="276" w:lineRule="auto"/>
      </w:pPr>
      <w:r>
        <w:tab/>
        <w:t xml:space="preserve">In closing, it is worth noting that </w:t>
      </w:r>
      <w:proofErr w:type="spellStart"/>
      <w:r>
        <w:t>ChinaChem</w:t>
      </w:r>
      <w:proofErr w:type="spellEnd"/>
      <w:r>
        <w:t xml:space="preserve">, a </w:t>
      </w:r>
      <w:r w:rsidRPr="00EA69A1">
        <w:t>state-owned chemical company</w:t>
      </w:r>
      <w:r>
        <w:t>, is proceeding with a merger with Syngenta that has cleared the U.S. Congressional oversight process. In the end, China may pay billions for the acts of its predecessor, assuming it takes all the liability on Syngenta’s books.</w:t>
      </w:r>
    </w:p>
    <w:p w14:paraId="623949B0" w14:textId="77777777" w:rsidR="00BA7D74" w:rsidRDefault="00BA7D74" w:rsidP="002D5ACB">
      <w:pPr>
        <w:pStyle w:val="pxp"/>
        <w:spacing w:line="276" w:lineRule="auto"/>
        <w:ind w:firstLine="500"/>
        <w:rPr>
          <w:rFonts w:ascii="Times New Roman" w:hAnsi="Times New Roman" w:cs="Times New Roman"/>
        </w:rPr>
      </w:pPr>
    </w:p>
    <w:p w14:paraId="6D4BB150" w14:textId="7FD9D2F5" w:rsidR="002E5A06" w:rsidRPr="00D416C1" w:rsidRDefault="002E5A06" w:rsidP="00D416C1">
      <w:pPr>
        <w:pStyle w:val="pxp"/>
        <w:numPr>
          <w:ilvl w:val="0"/>
          <w:numId w:val="12"/>
        </w:numPr>
        <w:spacing w:line="276" w:lineRule="auto"/>
        <w:rPr>
          <w:rFonts w:ascii="Times New Roman" w:hAnsi="Times New Roman" w:cs="Times New Roman"/>
          <w:b/>
        </w:rPr>
      </w:pPr>
      <w:r>
        <w:rPr>
          <w:rFonts w:ascii="Times New Roman" w:hAnsi="Times New Roman" w:cs="Times New Roman"/>
          <w:b/>
        </w:rPr>
        <w:t>Monsanto Wheat Woes</w:t>
      </w:r>
    </w:p>
    <w:p w14:paraId="65BB9043" w14:textId="656BB26A" w:rsidR="002E5A06" w:rsidRDefault="002E5A06" w:rsidP="002E5A06">
      <w:pPr>
        <w:pStyle w:val="ListParagraph"/>
        <w:ind w:left="1440"/>
      </w:pPr>
    </w:p>
    <w:p w14:paraId="63133AA6" w14:textId="643A495A" w:rsidR="00B16BA7" w:rsidRDefault="002E5A06" w:rsidP="002E5A06">
      <w:pPr>
        <w:pStyle w:val="pxp"/>
        <w:spacing w:line="276" w:lineRule="auto"/>
        <w:ind w:firstLine="720"/>
        <w:rPr>
          <w:rFonts w:ascii="Times New Roman" w:hAnsi="Times New Roman" w:cs="Times New Roman"/>
        </w:rPr>
      </w:pPr>
      <w:r>
        <w:rPr>
          <w:rFonts w:ascii="Times New Roman" w:hAnsi="Times New Roman" w:cs="Times New Roman"/>
        </w:rPr>
        <w:t>Monsanto</w:t>
      </w:r>
      <w:r w:rsidRPr="004C0F11">
        <w:rPr>
          <w:rFonts w:ascii="Times New Roman" w:hAnsi="Times New Roman" w:cs="Times New Roman"/>
        </w:rPr>
        <w:t xml:space="preserve"> has led the way in the seed industry in obtaining major market approval for its soybean genetic events. It has also manag</w:t>
      </w:r>
      <w:r w:rsidR="0064354B">
        <w:rPr>
          <w:rFonts w:ascii="Times New Roman" w:hAnsi="Times New Roman" w:cs="Times New Roman"/>
        </w:rPr>
        <w:t>ed to conduct field trials with</w:t>
      </w:r>
      <w:r w:rsidR="00EF5EC1">
        <w:rPr>
          <w:rFonts w:ascii="Times New Roman" w:hAnsi="Times New Roman" w:cs="Times New Roman"/>
        </w:rPr>
        <w:t>out</w:t>
      </w:r>
      <w:r w:rsidRPr="004C0F11">
        <w:rPr>
          <w:rFonts w:ascii="Times New Roman" w:hAnsi="Times New Roman" w:cs="Times New Roman"/>
        </w:rPr>
        <w:t xml:space="preserve"> </w:t>
      </w:r>
      <w:r w:rsidR="00C83AFB">
        <w:rPr>
          <w:rFonts w:ascii="Times New Roman" w:hAnsi="Times New Roman" w:cs="Times New Roman"/>
        </w:rPr>
        <w:t xml:space="preserve">widespread </w:t>
      </w:r>
      <w:r w:rsidRPr="004C0F11">
        <w:rPr>
          <w:rFonts w:ascii="Times New Roman" w:hAnsi="Times New Roman" w:cs="Times New Roman"/>
        </w:rPr>
        <w:t xml:space="preserve">commingling </w:t>
      </w:r>
      <w:r w:rsidR="00C83AFB">
        <w:rPr>
          <w:rFonts w:ascii="Times New Roman" w:hAnsi="Times New Roman" w:cs="Times New Roman"/>
        </w:rPr>
        <w:t xml:space="preserve">and regulatory </w:t>
      </w:r>
      <w:r w:rsidRPr="004C0F11">
        <w:rPr>
          <w:rFonts w:ascii="Times New Roman" w:hAnsi="Times New Roman" w:cs="Times New Roman"/>
        </w:rPr>
        <w:t xml:space="preserve">violations like the one that has led to billion-dollar liability for Bayer. </w:t>
      </w:r>
      <w:r w:rsidR="00C83AFB">
        <w:rPr>
          <w:rFonts w:ascii="Times New Roman" w:hAnsi="Times New Roman" w:cs="Times New Roman"/>
        </w:rPr>
        <w:t>In 2003, Monsanto</w:t>
      </w:r>
      <w:r w:rsidR="00B16BA7">
        <w:rPr>
          <w:rFonts w:ascii="Times New Roman" w:hAnsi="Times New Roman" w:cs="Times New Roman"/>
        </w:rPr>
        <w:t xml:space="preserve"> won a case filed by growers seeking economic loss for corn trade disruption</w:t>
      </w:r>
      <w:r w:rsidR="00C83AFB">
        <w:rPr>
          <w:rFonts w:ascii="Times New Roman" w:hAnsi="Times New Roman" w:cs="Times New Roman"/>
        </w:rPr>
        <w:t xml:space="preserve"> with the EU</w:t>
      </w:r>
      <w:r w:rsidR="00B16BA7">
        <w:rPr>
          <w:rFonts w:ascii="Times New Roman" w:hAnsi="Times New Roman" w:cs="Times New Roman"/>
        </w:rPr>
        <w:t>.</w:t>
      </w:r>
      <w:r w:rsidR="00B16BA7">
        <w:rPr>
          <w:rStyle w:val="FootnoteReference"/>
          <w:rFonts w:ascii="Times New Roman" w:hAnsi="Times New Roman" w:cs="Times New Roman"/>
        </w:rPr>
        <w:footnoteReference w:id="26"/>
      </w:r>
      <w:r w:rsidR="00B16BA7">
        <w:rPr>
          <w:rFonts w:ascii="Times New Roman" w:hAnsi="Times New Roman" w:cs="Times New Roman"/>
        </w:rPr>
        <w:t xml:space="preserve"> </w:t>
      </w:r>
    </w:p>
    <w:p w14:paraId="5E776C71" w14:textId="77777777" w:rsidR="00B16BA7" w:rsidRDefault="00B16BA7" w:rsidP="002E5A06">
      <w:pPr>
        <w:pStyle w:val="pxp"/>
        <w:spacing w:line="276" w:lineRule="auto"/>
        <w:ind w:firstLine="720"/>
        <w:rPr>
          <w:rFonts w:ascii="Times New Roman" w:hAnsi="Times New Roman" w:cs="Times New Roman"/>
        </w:rPr>
      </w:pPr>
    </w:p>
    <w:p w14:paraId="1930B196" w14:textId="2931E761" w:rsidR="002E5A06" w:rsidRDefault="002E5A06" w:rsidP="002E5A06">
      <w:pPr>
        <w:pStyle w:val="pxp"/>
        <w:spacing w:line="276" w:lineRule="auto"/>
        <w:ind w:firstLine="720"/>
        <w:rPr>
          <w:rFonts w:ascii="Times New Roman" w:hAnsi="Times New Roman" w:cs="Times New Roman"/>
        </w:rPr>
      </w:pPr>
      <w:r w:rsidRPr="004C0F11">
        <w:rPr>
          <w:rFonts w:ascii="Times New Roman" w:hAnsi="Times New Roman" w:cs="Times New Roman"/>
        </w:rPr>
        <w:lastRenderedPageBreak/>
        <w:t xml:space="preserve">In May 2013, however, a wheat grower in Oregon reported finding </w:t>
      </w:r>
      <w:r>
        <w:rPr>
          <w:rFonts w:ascii="Times New Roman" w:hAnsi="Times New Roman" w:cs="Times New Roman"/>
        </w:rPr>
        <w:t xml:space="preserve">Monsanto’s </w:t>
      </w:r>
      <w:r w:rsidR="001F0E06">
        <w:rPr>
          <w:rFonts w:ascii="Times New Roman" w:hAnsi="Times New Roman" w:cs="Times New Roman"/>
        </w:rPr>
        <w:t xml:space="preserve">glyphosate-tolerant </w:t>
      </w:r>
      <w:r w:rsidRPr="004C0F11">
        <w:rPr>
          <w:rFonts w:ascii="Times New Roman" w:hAnsi="Times New Roman" w:cs="Times New Roman"/>
        </w:rPr>
        <w:t>wheat inexplicably growing in his field after he sprayed glyphosate while pre-planting. Lawsuits were filed in various courts (e.g., in Kansas and Washington), seeking recovery for price impacts nationwide</w:t>
      </w:r>
      <w:r>
        <w:rPr>
          <w:rStyle w:val="FootnoteReference"/>
          <w:rFonts w:ascii="Times New Roman" w:hAnsi="Times New Roman" w:cs="Times New Roman"/>
        </w:rPr>
        <w:footnoteReference w:id="27"/>
      </w:r>
      <w:r>
        <w:rPr>
          <w:rFonts w:ascii="Times New Roman" w:hAnsi="Times New Roman" w:cs="Times New Roman"/>
        </w:rPr>
        <w:t xml:space="preserve"> </w:t>
      </w:r>
      <w:r w:rsidRPr="004C0F11">
        <w:rPr>
          <w:rFonts w:ascii="Times New Roman" w:hAnsi="Times New Roman" w:cs="Times New Roman"/>
        </w:rPr>
        <w:t xml:space="preserve">and </w:t>
      </w:r>
      <w:r>
        <w:rPr>
          <w:rFonts w:ascii="Times New Roman" w:hAnsi="Times New Roman" w:cs="Times New Roman"/>
        </w:rPr>
        <w:t xml:space="preserve">Monsanto paid </w:t>
      </w:r>
      <w:r w:rsidRPr="004C0F11">
        <w:rPr>
          <w:rFonts w:ascii="Times New Roman" w:hAnsi="Times New Roman" w:cs="Times New Roman"/>
        </w:rPr>
        <w:t>settlements of approximately $2.75 million to U.S. wheat growers.</w:t>
      </w:r>
      <w:r w:rsidRPr="004C0F11">
        <w:rPr>
          <w:rStyle w:val="FootnoteReference"/>
          <w:rFonts w:ascii="Times New Roman" w:hAnsi="Times New Roman" w:cs="Times New Roman"/>
        </w:rPr>
        <w:footnoteReference w:id="28"/>
      </w:r>
    </w:p>
    <w:p w14:paraId="2D3688D3" w14:textId="017E3811" w:rsidR="002E5A06" w:rsidRDefault="002E5A06" w:rsidP="002E5A06"/>
    <w:p w14:paraId="62399B2C" w14:textId="2BB86644" w:rsidR="002E5A06" w:rsidRPr="004A4B7C" w:rsidRDefault="002E5A06" w:rsidP="00D416C1">
      <w:pPr>
        <w:spacing w:line="276" w:lineRule="auto"/>
      </w:pPr>
      <w:r>
        <w:tab/>
        <w:t>The discovery of yet another release of Monsanto wheat in 2016</w:t>
      </w:r>
      <w:r>
        <w:rPr>
          <w:rStyle w:val="FootnoteReference"/>
        </w:rPr>
        <w:footnoteReference w:id="29"/>
      </w:r>
      <w:r w:rsidRPr="002E5A06">
        <w:rPr>
          <w:rStyle w:val="pxi"/>
          <w:rFonts w:ascii="Times" w:hAnsi="Times"/>
          <w:color w:val="333333"/>
          <w:shd w:val="clear" w:color="auto" w:fill="FFFFFF"/>
        </w:rPr>
        <w:t xml:space="preserve"> </w:t>
      </w:r>
      <w:r>
        <w:rPr>
          <w:rStyle w:val="pxi"/>
          <w:rFonts w:ascii="Times" w:hAnsi="Times"/>
          <w:color w:val="333333"/>
          <w:shd w:val="clear" w:color="auto" w:fill="FFFFFF"/>
        </w:rPr>
        <w:t>by</w:t>
      </w:r>
      <w:r>
        <w:rPr>
          <w:rStyle w:val="apple-converted-space"/>
          <w:rFonts w:ascii="Times" w:hAnsi="Times"/>
          <w:color w:val="333333"/>
          <w:shd w:val="clear" w:color="auto" w:fill="FFFFFF"/>
        </w:rPr>
        <w:t> </w:t>
      </w:r>
      <w:r>
        <w:rPr>
          <w:rFonts w:ascii="Times" w:hAnsi="Times"/>
          <w:color w:val="333333"/>
          <w:shd w:val="clear" w:color="auto" w:fill="FFFFFF"/>
        </w:rPr>
        <w:t>the</w:t>
      </w:r>
      <w:r>
        <w:rPr>
          <w:rStyle w:val="apple-converted-space"/>
          <w:rFonts w:ascii="Times" w:hAnsi="Times"/>
          <w:color w:val="333333"/>
          <w:shd w:val="clear" w:color="auto" w:fill="FFFFFF"/>
        </w:rPr>
        <w:t> </w:t>
      </w:r>
      <w:hyperlink r:id="rId7" w:history="1">
        <w:r w:rsidRPr="004A4B7C">
          <w:rPr>
            <w:rStyle w:val="Hyperlink"/>
            <w:rFonts w:ascii="Times" w:hAnsi="Times"/>
            <w:color w:val="auto"/>
            <w:u w:val="none"/>
            <w:shd w:val="clear" w:color="auto" w:fill="FFFFFF"/>
          </w:rPr>
          <w:t>U.S. Department of Agriculture’s (USDA) Animal Plant Health and Inspection S</w:t>
        </w:r>
        <w:r w:rsidR="00D416C1">
          <w:rPr>
            <w:rStyle w:val="Hyperlink"/>
            <w:rFonts w:ascii="Times" w:hAnsi="Times"/>
            <w:color w:val="auto"/>
            <w:u w:val="none"/>
            <w:shd w:val="clear" w:color="auto" w:fill="FFFFFF"/>
          </w:rPr>
          <w:t xml:space="preserve">ervice (APHIS) </w:t>
        </w:r>
        <w:r w:rsidRPr="004A4B7C">
          <w:rPr>
            <w:rStyle w:val="Hyperlink"/>
            <w:rFonts w:ascii="Times" w:hAnsi="Times"/>
            <w:color w:val="auto"/>
            <w:u w:val="none"/>
            <w:shd w:val="clear" w:color="auto" w:fill="FFFFFF"/>
          </w:rPr>
          <w:t>said</w:t>
        </w:r>
      </w:hyperlink>
      <w:r w:rsidRPr="004A4B7C">
        <w:rPr>
          <w:rStyle w:val="apple-converted-space"/>
          <w:rFonts w:ascii="Times" w:hAnsi="Times"/>
          <w:shd w:val="clear" w:color="auto" w:fill="FFFFFF"/>
        </w:rPr>
        <w:t> </w:t>
      </w:r>
      <w:r w:rsidRPr="004A4B7C">
        <w:rPr>
          <w:rFonts w:ascii="Times" w:hAnsi="Times"/>
          <w:shd w:val="clear" w:color="auto" w:fill="FFFFFF"/>
        </w:rPr>
        <w:t>it has “confirmed the discovery of 22 genetically engineered wheat plants” in a field in the state of Washingto</w:t>
      </w:r>
      <w:r w:rsidR="00C83AFB">
        <w:rPr>
          <w:rFonts w:ascii="Times" w:hAnsi="Times"/>
          <w:shd w:val="clear" w:color="auto" w:fill="FFFFFF"/>
        </w:rPr>
        <w:t xml:space="preserve">n. </w:t>
      </w:r>
      <w:r w:rsidR="004A4B7C">
        <w:rPr>
          <w:rFonts w:ascii="Times" w:hAnsi="Times"/>
          <w:shd w:val="clear" w:color="auto" w:fill="FFFFFF"/>
        </w:rPr>
        <w:t xml:space="preserve"> Fortunately, </w:t>
      </w:r>
      <w:r w:rsidR="00982471">
        <w:rPr>
          <w:rFonts w:ascii="Times" w:hAnsi="Times"/>
          <w:shd w:val="clear" w:color="auto" w:fill="FFFFFF"/>
        </w:rPr>
        <w:t xml:space="preserve">following </w:t>
      </w:r>
      <w:r w:rsidR="00AA2AC3">
        <w:rPr>
          <w:rFonts w:ascii="Times" w:hAnsi="Times"/>
          <w:shd w:val="clear" w:color="auto" w:fill="FFFFFF"/>
        </w:rPr>
        <w:t xml:space="preserve">wheat </w:t>
      </w:r>
      <w:r w:rsidR="001F0E06">
        <w:rPr>
          <w:rFonts w:ascii="Times" w:hAnsi="Times"/>
          <w:shd w:val="clear" w:color="auto" w:fill="FFFFFF"/>
        </w:rPr>
        <w:t xml:space="preserve">export </w:t>
      </w:r>
      <w:r w:rsidR="0064354B">
        <w:rPr>
          <w:rFonts w:ascii="Times" w:hAnsi="Times"/>
          <w:shd w:val="clear" w:color="auto" w:fill="FFFFFF"/>
        </w:rPr>
        <w:t>disruption</w:t>
      </w:r>
      <w:r w:rsidR="00AA2AC3">
        <w:rPr>
          <w:rFonts w:ascii="Times" w:hAnsi="Times"/>
          <w:shd w:val="clear" w:color="auto" w:fill="FFFFFF"/>
        </w:rPr>
        <w:t xml:space="preserve"> to Japan and South Korea</w:t>
      </w:r>
      <w:r w:rsidR="0064354B">
        <w:rPr>
          <w:rFonts w:ascii="Times" w:hAnsi="Times"/>
          <w:shd w:val="clear" w:color="auto" w:fill="FFFFFF"/>
        </w:rPr>
        <w:t xml:space="preserve"> in 2016</w:t>
      </w:r>
      <w:r w:rsidR="001F0E06">
        <w:rPr>
          <w:rFonts w:ascii="Times" w:hAnsi="Times"/>
          <w:shd w:val="clear" w:color="auto" w:fill="FFFFFF"/>
        </w:rPr>
        <w:t xml:space="preserve">, </w:t>
      </w:r>
      <w:r w:rsidR="004A4B7C">
        <w:rPr>
          <w:rFonts w:ascii="Times" w:hAnsi="Times"/>
          <w:shd w:val="clear" w:color="auto" w:fill="FFFFFF"/>
        </w:rPr>
        <w:t xml:space="preserve">both </w:t>
      </w:r>
      <w:r w:rsidR="00982471">
        <w:rPr>
          <w:rFonts w:ascii="Times" w:hAnsi="Times"/>
          <w:shd w:val="clear" w:color="auto" w:fill="FFFFFF"/>
        </w:rPr>
        <w:t xml:space="preserve">Japanese and </w:t>
      </w:r>
      <w:r w:rsidR="004A4B7C">
        <w:rPr>
          <w:rFonts w:ascii="Times" w:hAnsi="Times"/>
          <w:shd w:val="clear" w:color="auto" w:fill="FFFFFF"/>
        </w:rPr>
        <w:t>Korean authorities (</w:t>
      </w:r>
      <w:r w:rsidR="00982471">
        <w:rPr>
          <w:rFonts w:ascii="Times" w:hAnsi="Times"/>
          <w:shd w:val="clear" w:color="auto" w:fill="FFFFFF"/>
        </w:rPr>
        <w:t>i.e.,</w:t>
      </w:r>
      <w:r w:rsidR="004A4B7C">
        <w:rPr>
          <w:rFonts w:ascii="Times" w:hAnsi="Times"/>
          <w:shd w:val="clear" w:color="auto" w:fill="FFFFFF"/>
        </w:rPr>
        <w:t xml:space="preserve"> major market</w:t>
      </w:r>
      <w:r w:rsidR="00982471">
        <w:rPr>
          <w:rFonts w:ascii="Times" w:hAnsi="Times"/>
          <w:shd w:val="clear" w:color="auto" w:fill="FFFFFF"/>
        </w:rPr>
        <w:t>s</w:t>
      </w:r>
      <w:r w:rsidR="004A4B7C">
        <w:rPr>
          <w:rFonts w:ascii="Times" w:hAnsi="Times"/>
          <w:shd w:val="clear" w:color="auto" w:fill="FFFFFF"/>
        </w:rPr>
        <w:t xml:space="preserve"> for US wheat exports) and the USDA confirmed that this</w:t>
      </w:r>
      <w:r w:rsidR="004A4B7C" w:rsidRPr="004A4B7C">
        <w:rPr>
          <w:rFonts w:ascii="Times" w:hAnsi="Times"/>
          <w:shd w:val="clear" w:color="auto" w:fill="FFFFFF"/>
        </w:rPr>
        <w:t xml:space="preserve"> isolated incident </w:t>
      </w:r>
      <w:r w:rsidR="004A4B7C">
        <w:rPr>
          <w:rFonts w:ascii="Times" w:hAnsi="Times"/>
          <w:shd w:val="clear" w:color="auto" w:fill="FFFFFF"/>
        </w:rPr>
        <w:t>left behind</w:t>
      </w:r>
      <w:r w:rsidR="004A4B7C" w:rsidRPr="004A4B7C">
        <w:rPr>
          <w:rFonts w:ascii="Times" w:hAnsi="Times"/>
          <w:shd w:val="clear" w:color="auto" w:fill="FFFFFF"/>
        </w:rPr>
        <w:t xml:space="preserve"> “no evidence of GE wheat in commerce.”</w:t>
      </w:r>
      <w:r w:rsidR="004A4B7C">
        <w:rPr>
          <w:rStyle w:val="FootnoteReference"/>
          <w:rFonts w:ascii="Times" w:hAnsi="Times"/>
          <w:shd w:val="clear" w:color="auto" w:fill="FFFFFF"/>
        </w:rPr>
        <w:footnoteReference w:id="30"/>
      </w:r>
    </w:p>
    <w:p w14:paraId="308FAE1D" w14:textId="27FE3087" w:rsidR="00EA3FB6" w:rsidRPr="00EA3FB6" w:rsidRDefault="00EA3FB6" w:rsidP="00EA3FB6"/>
    <w:p w14:paraId="1AA78E4D" w14:textId="07E7B1C3" w:rsidR="00D40C64" w:rsidRDefault="00EA3FB6" w:rsidP="00D40C64">
      <w:pPr>
        <w:pStyle w:val="pxp"/>
        <w:numPr>
          <w:ilvl w:val="0"/>
          <w:numId w:val="12"/>
        </w:numPr>
        <w:spacing w:line="276" w:lineRule="auto"/>
        <w:rPr>
          <w:rFonts w:ascii="Times New Roman" w:hAnsi="Times New Roman" w:cs="Times New Roman"/>
          <w:b/>
        </w:rPr>
      </w:pPr>
      <w:r>
        <w:rPr>
          <w:rFonts w:ascii="Times New Roman" w:hAnsi="Times New Roman" w:cs="Times New Roman"/>
          <w:b/>
        </w:rPr>
        <w:t>Commingling Incidents involving Plant-Made Pharmaceuticals</w:t>
      </w:r>
    </w:p>
    <w:p w14:paraId="14D81A21" w14:textId="18E6CC18" w:rsidR="00D40C64" w:rsidRDefault="00D40C64" w:rsidP="00D40C64"/>
    <w:p w14:paraId="732BAF04" w14:textId="77777777" w:rsidR="00EA3FB6" w:rsidRDefault="00D40C64" w:rsidP="00D40C64">
      <w:pPr>
        <w:spacing w:line="276" w:lineRule="auto"/>
        <w:ind w:firstLine="720"/>
        <w:rPr>
          <w:rFonts w:ascii="Times New Roman" w:hAnsi="Times New Roman" w:cs="Times New Roman"/>
        </w:rPr>
      </w:pPr>
      <w:r>
        <w:rPr>
          <w:rFonts w:ascii="Times New Roman" w:hAnsi="Times New Roman" w:cs="Times New Roman"/>
        </w:rPr>
        <w:t xml:space="preserve">The unauthorized releases of </w:t>
      </w:r>
      <w:proofErr w:type="spellStart"/>
      <w:r>
        <w:rPr>
          <w:rFonts w:ascii="Times New Roman" w:hAnsi="Times New Roman" w:cs="Times New Roman"/>
        </w:rPr>
        <w:t>Prodigene’s</w:t>
      </w:r>
      <w:proofErr w:type="spellEnd"/>
      <w:r>
        <w:rPr>
          <w:rFonts w:ascii="Times New Roman" w:hAnsi="Times New Roman" w:cs="Times New Roman"/>
        </w:rPr>
        <w:t xml:space="preserve"> PMP corn </w:t>
      </w:r>
      <w:r w:rsidRPr="00BC4634">
        <w:rPr>
          <w:rFonts w:ascii="Times New Roman" w:hAnsi="Times New Roman" w:cs="Times New Roman"/>
        </w:rPr>
        <w:t xml:space="preserve">in 2002 illustrates the risks </w:t>
      </w:r>
      <w:r>
        <w:rPr>
          <w:rFonts w:ascii="Times New Roman" w:hAnsi="Times New Roman" w:cs="Times New Roman"/>
        </w:rPr>
        <w:t>of commingling that have made</w:t>
      </w:r>
      <w:r w:rsidRPr="00BC4634">
        <w:rPr>
          <w:rFonts w:ascii="Times New Roman" w:hAnsi="Times New Roman" w:cs="Times New Roman"/>
        </w:rPr>
        <w:t xml:space="preserve"> the food industry</w:t>
      </w:r>
      <w:r>
        <w:rPr>
          <w:rFonts w:ascii="Times New Roman" w:hAnsi="Times New Roman" w:cs="Times New Roman"/>
        </w:rPr>
        <w:t xml:space="preserve"> leery of the use of food crops to make pharmaceuticals, and caused USDA to revamp its regulations in 2003</w:t>
      </w:r>
      <w:r w:rsidRPr="00BC4634">
        <w:rPr>
          <w:rFonts w:ascii="Times New Roman" w:hAnsi="Times New Roman" w:cs="Times New Roman"/>
        </w:rPr>
        <w:t xml:space="preserve">. </w:t>
      </w:r>
    </w:p>
    <w:p w14:paraId="2865DBE4" w14:textId="43E4CA27" w:rsidR="00EA3FB6" w:rsidRDefault="00C83AFB" w:rsidP="00D40C64">
      <w:pPr>
        <w:spacing w:line="276" w:lineRule="auto"/>
        <w:ind w:firstLine="720"/>
        <w:rPr>
          <w:rFonts w:ascii="Times New Roman" w:hAnsi="Times New Roman" w:cs="Times New Roman"/>
        </w:rPr>
      </w:pPr>
      <w:r>
        <w:rPr>
          <w:rFonts w:ascii="Times New Roman" w:hAnsi="Times New Roman" w:cs="Times New Roman"/>
        </w:rPr>
        <w:t xml:space="preserve"> </w:t>
      </w:r>
    </w:p>
    <w:p w14:paraId="0138E6B8" w14:textId="0511CD77" w:rsidR="00D40C64" w:rsidRDefault="00D40C64" w:rsidP="00D40C64">
      <w:pPr>
        <w:spacing w:line="276" w:lineRule="auto"/>
        <w:ind w:firstLine="720"/>
        <w:rPr>
          <w:rFonts w:ascii="Times New Roman" w:hAnsi="Times New Roman" w:cs="Times New Roman"/>
        </w:rPr>
      </w:pPr>
      <w:r w:rsidRPr="00BC4634">
        <w:rPr>
          <w:rFonts w:ascii="Times New Roman" w:hAnsi="Times New Roman" w:cs="Times New Roman"/>
        </w:rPr>
        <w:t>In Nebraska</w:t>
      </w:r>
      <w:r>
        <w:rPr>
          <w:rFonts w:ascii="Times New Roman" w:hAnsi="Times New Roman" w:cs="Times New Roman"/>
        </w:rPr>
        <w:t xml:space="preserve"> in</w:t>
      </w:r>
      <w:r w:rsidRPr="00BC4634">
        <w:rPr>
          <w:rFonts w:ascii="Times New Roman" w:hAnsi="Times New Roman" w:cs="Times New Roman"/>
        </w:rPr>
        <w:t xml:space="preserve"> 2002, APHIS inspectors discovered "pharmaceutical" volunteer corn growing in a soybean field</w:t>
      </w:r>
      <w:r>
        <w:rPr>
          <w:rFonts w:ascii="Times New Roman" w:hAnsi="Times New Roman" w:cs="Times New Roman"/>
        </w:rPr>
        <w:t>, having resurfaced from the previous year</w:t>
      </w:r>
      <w:r w:rsidR="00982471">
        <w:rPr>
          <w:rFonts w:ascii="Times New Roman" w:hAnsi="Times New Roman" w:cs="Times New Roman"/>
        </w:rPr>
        <w:t xml:space="preserve"> in which</w:t>
      </w:r>
      <w:r w:rsidR="00807292">
        <w:rPr>
          <w:rFonts w:ascii="Times New Roman" w:hAnsi="Times New Roman" w:cs="Times New Roman"/>
        </w:rPr>
        <w:t xml:space="preserve"> </w:t>
      </w:r>
      <w:proofErr w:type="spellStart"/>
      <w:r w:rsidRPr="00BC4634">
        <w:rPr>
          <w:rFonts w:ascii="Times New Roman" w:hAnsi="Times New Roman" w:cs="Times New Roman"/>
        </w:rPr>
        <w:t>Prodigene</w:t>
      </w:r>
      <w:proofErr w:type="spellEnd"/>
      <w:r w:rsidRPr="00BC4634">
        <w:rPr>
          <w:rFonts w:ascii="Times New Roman" w:hAnsi="Times New Roman" w:cs="Times New Roman"/>
        </w:rPr>
        <w:t xml:space="preserve"> </w:t>
      </w:r>
      <w:r>
        <w:rPr>
          <w:rFonts w:ascii="Times New Roman" w:hAnsi="Times New Roman" w:cs="Times New Roman"/>
        </w:rPr>
        <w:t xml:space="preserve">was field testing its pharma corn to produce a </w:t>
      </w:r>
      <w:r w:rsidRPr="00BC4634">
        <w:rPr>
          <w:rFonts w:ascii="Times New Roman" w:hAnsi="Times New Roman" w:cs="Times New Roman"/>
        </w:rPr>
        <w:t>swine vaccine</w:t>
      </w:r>
      <w:r>
        <w:rPr>
          <w:rFonts w:ascii="Times New Roman" w:hAnsi="Times New Roman" w:cs="Times New Roman"/>
        </w:rPr>
        <w:t xml:space="preserve">.  No one removed the </w:t>
      </w:r>
      <w:r w:rsidR="00982471">
        <w:rPr>
          <w:rFonts w:ascii="Times New Roman" w:hAnsi="Times New Roman" w:cs="Times New Roman"/>
        </w:rPr>
        <w:t>2002 corn</w:t>
      </w:r>
      <w:r w:rsidR="00AA2AC3">
        <w:rPr>
          <w:rFonts w:ascii="Times New Roman" w:hAnsi="Times New Roman" w:cs="Times New Roman"/>
        </w:rPr>
        <w:t xml:space="preserve"> plant</w:t>
      </w:r>
      <w:r w:rsidR="00982471">
        <w:rPr>
          <w:rFonts w:ascii="Times New Roman" w:hAnsi="Times New Roman" w:cs="Times New Roman"/>
        </w:rPr>
        <w:t xml:space="preserve"> </w:t>
      </w:r>
      <w:r>
        <w:rPr>
          <w:rFonts w:ascii="Times New Roman" w:hAnsi="Times New Roman" w:cs="Times New Roman"/>
        </w:rPr>
        <w:t>volunteers despite a regulatory inspection and order to remove them before the corn commingled with the soybeans being grown there.</w:t>
      </w:r>
      <w:r w:rsidRPr="00BC4634">
        <w:rPr>
          <w:rFonts w:ascii="Times New Roman" w:hAnsi="Times New Roman" w:cs="Times New Roman"/>
        </w:rPr>
        <w:t xml:space="preserve"> </w:t>
      </w:r>
    </w:p>
    <w:p w14:paraId="4FE8956B" w14:textId="77777777" w:rsidR="00D40C64" w:rsidRDefault="00D40C64" w:rsidP="00D40C64">
      <w:pPr>
        <w:spacing w:line="276" w:lineRule="auto"/>
        <w:ind w:firstLine="720"/>
        <w:rPr>
          <w:rFonts w:ascii="Times New Roman" w:hAnsi="Times New Roman" w:cs="Times New Roman"/>
        </w:rPr>
      </w:pPr>
    </w:p>
    <w:p w14:paraId="290BAF9F" w14:textId="77777777" w:rsidR="00EA3FB6" w:rsidRDefault="00D40C64" w:rsidP="00D40C64">
      <w:pPr>
        <w:spacing w:line="276" w:lineRule="auto"/>
        <w:ind w:firstLine="720"/>
        <w:rPr>
          <w:rFonts w:ascii="Times New Roman" w:hAnsi="Times New Roman" w:cs="Times New Roman"/>
        </w:rPr>
      </w:pPr>
      <w:r>
        <w:rPr>
          <w:rFonts w:ascii="Times New Roman" w:hAnsi="Times New Roman" w:cs="Times New Roman"/>
        </w:rPr>
        <w:t xml:space="preserve">With this corn commingling in them, the soybeans were </w:t>
      </w:r>
      <w:r w:rsidRPr="00BC4634">
        <w:rPr>
          <w:rFonts w:ascii="Times New Roman" w:hAnsi="Times New Roman" w:cs="Times New Roman"/>
        </w:rPr>
        <w:t>harvested (500 bushels) and</w:t>
      </w:r>
      <w:r>
        <w:rPr>
          <w:rFonts w:ascii="Times New Roman" w:hAnsi="Times New Roman" w:cs="Times New Roman"/>
        </w:rPr>
        <w:t xml:space="preserve"> commingled with another </w:t>
      </w:r>
      <w:r w:rsidRPr="00BC4634">
        <w:rPr>
          <w:rFonts w:ascii="Times New Roman" w:hAnsi="Times New Roman" w:cs="Times New Roman"/>
        </w:rPr>
        <w:t xml:space="preserve">500,000 bushels in </w:t>
      </w:r>
      <w:r>
        <w:rPr>
          <w:rFonts w:ascii="Times New Roman" w:hAnsi="Times New Roman" w:cs="Times New Roman"/>
        </w:rPr>
        <w:t xml:space="preserve">a </w:t>
      </w:r>
      <w:r w:rsidRPr="00BC4634">
        <w:rPr>
          <w:rFonts w:ascii="Times New Roman" w:hAnsi="Times New Roman" w:cs="Times New Roman"/>
        </w:rPr>
        <w:t>local elevator</w:t>
      </w:r>
      <w:r>
        <w:rPr>
          <w:rFonts w:ascii="Times New Roman" w:hAnsi="Times New Roman" w:cs="Times New Roman"/>
        </w:rPr>
        <w:t>. These were quarantined and destroyed.</w:t>
      </w:r>
    </w:p>
    <w:p w14:paraId="43CAAA16" w14:textId="77777777" w:rsidR="00EA3FB6" w:rsidRDefault="00EA3FB6" w:rsidP="00D40C64">
      <w:pPr>
        <w:spacing w:line="276" w:lineRule="auto"/>
        <w:ind w:firstLine="720"/>
        <w:rPr>
          <w:rFonts w:ascii="Times New Roman" w:hAnsi="Times New Roman" w:cs="Times New Roman"/>
        </w:rPr>
      </w:pPr>
    </w:p>
    <w:p w14:paraId="02626201" w14:textId="5A9AB802" w:rsidR="00D40C64" w:rsidRPr="00A46DFF" w:rsidRDefault="00D40C64" w:rsidP="00D40C64">
      <w:pPr>
        <w:spacing w:line="276" w:lineRule="auto"/>
        <w:ind w:firstLine="720"/>
        <w:rPr>
          <w:rFonts w:ascii="Times New Roman" w:hAnsi="Times New Roman" w:cs="Times New Roman"/>
        </w:rPr>
      </w:pPr>
      <w:r w:rsidRPr="00BC4634">
        <w:rPr>
          <w:rFonts w:ascii="Times New Roman" w:hAnsi="Times New Roman" w:cs="Times New Roman"/>
        </w:rPr>
        <w:t xml:space="preserve">In another </w:t>
      </w:r>
      <w:r>
        <w:rPr>
          <w:rFonts w:ascii="Times New Roman" w:hAnsi="Times New Roman" w:cs="Times New Roman"/>
        </w:rPr>
        <w:t>unauthorized release</w:t>
      </w:r>
      <w:r w:rsidRPr="00BC4634">
        <w:rPr>
          <w:rFonts w:ascii="Times New Roman" w:hAnsi="Times New Roman" w:cs="Times New Roman"/>
        </w:rPr>
        <w:t xml:space="preserve">, USDA </w:t>
      </w:r>
      <w:r>
        <w:rPr>
          <w:rFonts w:ascii="Times New Roman" w:hAnsi="Times New Roman" w:cs="Times New Roman"/>
        </w:rPr>
        <w:t xml:space="preserve">made </w:t>
      </w:r>
      <w:proofErr w:type="spellStart"/>
      <w:r>
        <w:rPr>
          <w:rFonts w:ascii="Times New Roman" w:hAnsi="Times New Roman" w:cs="Times New Roman"/>
        </w:rPr>
        <w:t>Prodigene</w:t>
      </w:r>
      <w:proofErr w:type="spellEnd"/>
      <w:r>
        <w:rPr>
          <w:rFonts w:ascii="Times New Roman" w:hAnsi="Times New Roman" w:cs="Times New Roman"/>
        </w:rPr>
        <w:t xml:space="preserve"> burn 155 acr</w:t>
      </w:r>
      <w:r w:rsidRPr="00BC4634">
        <w:rPr>
          <w:rFonts w:ascii="Times New Roman" w:hAnsi="Times New Roman" w:cs="Times New Roman"/>
        </w:rPr>
        <w:t xml:space="preserve">es of conventional corn </w:t>
      </w:r>
      <w:r>
        <w:rPr>
          <w:rFonts w:ascii="Times New Roman" w:hAnsi="Times New Roman" w:cs="Times New Roman"/>
        </w:rPr>
        <w:t>after it</w:t>
      </w:r>
      <w:r w:rsidRPr="00BC4634">
        <w:rPr>
          <w:rFonts w:ascii="Times New Roman" w:hAnsi="Times New Roman" w:cs="Times New Roman"/>
        </w:rPr>
        <w:t xml:space="preserve"> cross-pollinated with some of the company's pharmaceutical plants</w:t>
      </w:r>
      <w:r>
        <w:rPr>
          <w:rFonts w:ascii="Times New Roman" w:hAnsi="Times New Roman" w:cs="Times New Roman"/>
        </w:rPr>
        <w:t>, before it could be harvested</w:t>
      </w:r>
      <w:r w:rsidRPr="00BC4634">
        <w:rPr>
          <w:rFonts w:ascii="Times New Roman" w:hAnsi="Times New Roman" w:cs="Times New Roman"/>
        </w:rPr>
        <w:t xml:space="preserve">. In both cases, </w:t>
      </w:r>
      <w:proofErr w:type="spellStart"/>
      <w:r>
        <w:rPr>
          <w:rFonts w:ascii="Times New Roman" w:hAnsi="Times New Roman" w:cs="Times New Roman"/>
        </w:rPr>
        <w:t>Prodigene</w:t>
      </w:r>
      <w:proofErr w:type="spellEnd"/>
      <w:r>
        <w:rPr>
          <w:rFonts w:ascii="Times New Roman" w:hAnsi="Times New Roman" w:cs="Times New Roman"/>
        </w:rPr>
        <w:t xml:space="preserve"> fail</w:t>
      </w:r>
      <w:r w:rsidRPr="00BC4634">
        <w:rPr>
          <w:rFonts w:ascii="Times New Roman" w:hAnsi="Times New Roman" w:cs="Times New Roman"/>
        </w:rPr>
        <w:t>e</w:t>
      </w:r>
      <w:r>
        <w:rPr>
          <w:rFonts w:ascii="Times New Roman" w:hAnsi="Times New Roman" w:cs="Times New Roman"/>
        </w:rPr>
        <w:t>d</w:t>
      </w:r>
      <w:r w:rsidRPr="00BC4634">
        <w:rPr>
          <w:rFonts w:ascii="Times New Roman" w:hAnsi="Times New Roman" w:cs="Times New Roman"/>
        </w:rPr>
        <w:t xml:space="preserve"> to </w:t>
      </w:r>
      <w:r>
        <w:rPr>
          <w:rFonts w:ascii="Times New Roman" w:hAnsi="Times New Roman" w:cs="Times New Roman"/>
        </w:rPr>
        <w:t xml:space="preserve">follow </w:t>
      </w:r>
      <w:r w:rsidRPr="00BC4634">
        <w:rPr>
          <w:rFonts w:ascii="Times New Roman" w:hAnsi="Times New Roman" w:cs="Times New Roman"/>
        </w:rPr>
        <w:t xml:space="preserve">permit protocols </w:t>
      </w:r>
      <w:r>
        <w:rPr>
          <w:rFonts w:ascii="Times New Roman" w:hAnsi="Times New Roman" w:cs="Times New Roman"/>
        </w:rPr>
        <w:t xml:space="preserve">so it was fined </w:t>
      </w:r>
      <w:r w:rsidRPr="00BC4634">
        <w:rPr>
          <w:rFonts w:ascii="Times New Roman" w:hAnsi="Times New Roman" w:cs="Times New Roman"/>
        </w:rPr>
        <w:t xml:space="preserve">$250,000 and required to pay approximately $3 million for the cleanup costs and disposal of contaminated </w:t>
      </w:r>
      <w:r w:rsidRPr="00BC4634">
        <w:rPr>
          <w:rFonts w:ascii="Times New Roman" w:hAnsi="Times New Roman" w:cs="Times New Roman"/>
        </w:rPr>
        <w:lastRenderedPageBreak/>
        <w:t>corn and soybeans</w:t>
      </w:r>
      <w:r>
        <w:rPr>
          <w:rFonts w:ascii="Times New Roman" w:hAnsi="Times New Roman" w:cs="Times New Roman"/>
        </w:rPr>
        <w:t>.</w:t>
      </w:r>
      <w:r w:rsidR="00253D1C">
        <w:rPr>
          <w:rStyle w:val="FootnoteReference"/>
          <w:rFonts w:ascii="Times New Roman" w:hAnsi="Times New Roman" w:cs="Times New Roman"/>
        </w:rPr>
        <w:footnoteReference w:id="31"/>
      </w:r>
    </w:p>
    <w:p w14:paraId="1F7299C7" w14:textId="77777777" w:rsidR="000E650F" w:rsidRDefault="00D40C64" w:rsidP="0064354B">
      <w:pPr>
        <w:pStyle w:val="NormalWeb"/>
        <w:spacing w:line="320" w:lineRule="atLeast"/>
        <w:rPr>
          <w:color w:val="222222"/>
        </w:rPr>
      </w:pPr>
      <w:r>
        <w:rPr>
          <w:color w:val="222222"/>
        </w:rPr>
        <w:tab/>
        <w:t xml:space="preserve">In 2003, responding to public pressures, </w:t>
      </w:r>
      <w:r w:rsidRPr="00A46DFF">
        <w:rPr>
          <w:color w:val="222222"/>
        </w:rPr>
        <w:t xml:space="preserve">APHIS </w:t>
      </w:r>
      <w:r>
        <w:rPr>
          <w:color w:val="222222"/>
        </w:rPr>
        <w:t>im</w:t>
      </w:r>
      <w:r w:rsidRPr="00A46DFF">
        <w:rPr>
          <w:color w:val="222222"/>
        </w:rPr>
        <w:t xml:space="preserve">posed </w:t>
      </w:r>
      <w:r>
        <w:rPr>
          <w:color w:val="222222"/>
        </w:rPr>
        <w:t>stricter f</w:t>
      </w:r>
      <w:r w:rsidRPr="00A46DFF">
        <w:rPr>
          <w:color w:val="222222"/>
        </w:rPr>
        <w:t xml:space="preserve">ield test siting </w:t>
      </w:r>
      <w:r w:rsidR="00807292" w:rsidRPr="00A46DFF">
        <w:rPr>
          <w:color w:val="222222"/>
        </w:rPr>
        <w:t>regulations for</w:t>
      </w:r>
      <w:r w:rsidRPr="00A46DFF">
        <w:rPr>
          <w:color w:val="222222"/>
        </w:rPr>
        <w:t xml:space="preserve"> PMPs and PMIPs</w:t>
      </w:r>
      <w:r w:rsidR="00982471">
        <w:rPr>
          <w:color w:val="222222"/>
        </w:rPr>
        <w:t>, and</w:t>
      </w:r>
      <w:r w:rsidRPr="00A46DFF">
        <w:rPr>
          <w:color w:val="222222"/>
        </w:rPr>
        <w:t xml:space="preserve"> provide</w:t>
      </w:r>
      <w:r w:rsidR="00982471">
        <w:rPr>
          <w:color w:val="222222"/>
        </w:rPr>
        <w:t>d mandatory</w:t>
      </w:r>
      <w:r w:rsidRPr="00A46DFF">
        <w:rPr>
          <w:color w:val="222222"/>
        </w:rPr>
        <w:t xml:space="preserve"> perimeter conditions (with special conside</w:t>
      </w:r>
      <w:r>
        <w:rPr>
          <w:color w:val="222222"/>
        </w:rPr>
        <w:t>ration for pharmaceutical corn).</w:t>
      </w:r>
      <w:r w:rsidR="000E650F">
        <w:rPr>
          <w:rStyle w:val="FootnoteReference"/>
          <w:color w:val="222222"/>
        </w:rPr>
        <w:footnoteReference w:id="32"/>
      </w:r>
      <w:r>
        <w:rPr>
          <w:color w:val="222222"/>
        </w:rPr>
        <w:t xml:space="preserve"> </w:t>
      </w:r>
      <w:r w:rsidR="000E650F">
        <w:rPr>
          <w:color w:val="222222"/>
        </w:rPr>
        <w:t>The USDA required</w:t>
      </w:r>
      <w:r w:rsidRPr="00D40C64">
        <w:rPr>
          <w:color w:val="222222"/>
        </w:rPr>
        <w:t xml:space="preserve"> outdoor pharm</w:t>
      </w:r>
      <w:r w:rsidR="00666C47">
        <w:rPr>
          <w:color w:val="222222"/>
        </w:rPr>
        <w:t>a</w:t>
      </w:r>
      <w:r w:rsidRPr="00D40C64">
        <w:rPr>
          <w:color w:val="222222"/>
        </w:rPr>
        <w:t xml:space="preserve"> crops </w:t>
      </w:r>
      <w:r w:rsidR="000E650F">
        <w:rPr>
          <w:color w:val="222222"/>
        </w:rPr>
        <w:t>be planted</w:t>
      </w:r>
      <w:r w:rsidRPr="00D40C64">
        <w:rPr>
          <w:color w:val="222222"/>
        </w:rPr>
        <w:t xml:space="preserve"> one mile from other food crops and be inspected at least seven times before being harvested </w:t>
      </w:r>
      <w:r w:rsidR="000E650F">
        <w:rPr>
          <w:color w:val="222222"/>
        </w:rPr>
        <w:t xml:space="preserve">using </w:t>
      </w:r>
      <w:r w:rsidRPr="00D40C64">
        <w:rPr>
          <w:color w:val="222222"/>
        </w:rPr>
        <w:t>dedicated equipment</w:t>
      </w:r>
      <w:r w:rsidR="000E650F">
        <w:rPr>
          <w:color w:val="222222"/>
        </w:rPr>
        <w:t xml:space="preserve"> (i.e., a combine not shared with other fields)</w:t>
      </w:r>
      <w:r w:rsidRPr="00D40C64">
        <w:rPr>
          <w:color w:val="222222"/>
        </w:rPr>
        <w:t>.</w:t>
      </w:r>
      <w:r>
        <w:rPr>
          <w:color w:val="222222"/>
        </w:rPr>
        <w:t xml:space="preserve"> </w:t>
      </w:r>
    </w:p>
    <w:p w14:paraId="2C800191" w14:textId="63E8B6BE" w:rsidR="003C5935" w:rsidRPr="000E650F" w:rsidRDefault="00D40C64" w:rsidP="000E650F">
      <w:pPr>
        <w:pStyle w:val="NormalWeb"/>
        <w:spacing w:line="320" w:lineRule="atLeast"/>
        <w:ind w:firstLine="720"/>
        <w:rPr>
          <w:color w:val="222222"/>
        </w:rPr>
      </w:pPr>
      <w:r>
        <w:rPr>
          <w:color w:val="222222"/>
        </w:rPr>
        <w:t xml:space="preserve">These measures, if followed to the letter, </w:t>
      </w:r>
      <w:r w:rsidR="000E650F">
        <w:rPr>
          <w:color w:val="222222"/>
        </w:rPr>
        <w:t>were meant to</w:t>
      </w:r>
      <w:r>
        <w:rPr>
          <w:color w:val="222222"/>
        </w:rPr>
        <w:t xml:space="preserve"> </w:t>
      </w:r>
      <w:r w:rsidRPr="00A46DFF">
        <w:rPr>
          <w:color w:val="222222"/>
        </w:rPr>
        <w:t xml:space="preserve">prevent inadvertent commingling and inadvertent harvesting of food or animal feed </w:t>
      </w:r>
      <w:r>
        <w:rPr>
          <w:color w:val="222222"/>
        </w:rPr>
        <w:t>with the threat that poses of costly food recalls</w:t>
      </w:r>
      <w:r w:rsidRPr="00A46DFF">
        <w:rPr>
          <w:color w:val="222222"/>
        </w:rPr>
        <w:t xml:space="preserve">. </w:t>
      </w:r>
      <w:r>
        <w:rPr>
          <w:color w:val="222222"/>
        </w:rPr>
        <w:t xml:space="preserve"> In addition to pl</w:t>
      </w:r>
      <w:r w:rsidR="000E650F">
        <w:rPr>
          <w:color w:val="222222"/>
        </w:rPr>
        <w:t>anting distances, APHIS required</w:t>
      </w:r>
      <w:r w:rsidRPr="00A46DFF">
        <w:rPr>
          <w:color w:val="222222"/>
        </w:rPr>
        <w:t xml:space="preserve"> the dedication of farm equipment and facilities to the production of such crops,</w:t>
      </w:r>
      <w:r>
        <w:rPr>
          <w:color w:val="222222"/>
        </w:rPr>
        <w:t xml:space="preserve"> not to others.  These include requiring cleaning of </w:t>
      </w:r>
      <w:r w:rsidRPr="00A46DFF">
        <w:rPr>
          <w:color w:val="222222"/>
        </w:rPr>
        <w:t xml:space="preserve">tractors and tillage attachments </w:t>
      </w:r>
      <w:r>
        <w:rPr>
          <w:color w:val="222222"/>
        </w:rPr>
        <w:t xml:space="preserve">under </w:t>
      </w:r>
      <w:r w:rsidRPr="00A46DFF">
        <w:rPr>
          <w:color w:val="222222"/>
        </w:rPr>
        <w:t xml:space="preserve">APHIS rules. </w:t>
      </w:r>
      <w:r>
        <w:rPr>
          <w:color w:val="222222"/>
        </w:rPr>
        <w:t>After use</w:t>
      </w:r>
      <w:r w:rsidRPr="00A46DFF">
        <w:rPr>
          <w:color w:val="222222"/>
        </w:rPr>
        <w:t xml:space="preserve">, all equipment and regulated articles must be stored in dedicated facilities for the duration of the field </w:t>
      </w:r>
      <w:r>
        <w:rPr>
          <w:color w:val="222222"/>
        </w:rPr>
        <w:t>trial</w:t>
      </w:r>
      <w:r w:rsidRPr="00A46DFF">
        <w:rPr>
          <w:color w:val="222222"/>
        </w:rPr>
        <w:t>.</w:t>
      </w:r>
      <w:r>
        <w:rPr>
          <w:color w:val="222222"/>
        </w:rPr>
        <w:t xml:space="preserve">  Careful examination of fields for the fallow year after the field trial is required to eliminate any volunteer PMIP or PMP crops that grow in the field.</w:t>
      </w:r>
    </w:p>
    <w:p w14:paraId="45C8E4ED" w14:textId="18969DC6" w:rsidR="003C5935" w:rsidRDefault="003C5935" w:rsidP="003C5935">
      <w:pPr>
        <w:pStyle w:val="pxp"/>
        <w:numPr>
          <w:ilvl w:val="0"/>
          <w:numId w:val="12"/>
        </w:numPr>
        <w:spacing w:line="276" w:lineRule="auto"/>
        <w:rPr>
          <w:rFonts w:ascii="Times New Roman" w:hAnsi="Times New Roman" w:cs="Times New Roman"/>
          <w:b/>
        </w:rPr>
      </w:pPr>
      <w:r>
        <w:rPr>
          <w:rFonts w:ascii="Times New Roman" w:hAnsi="Times New Roman" w:cs="Times New Roman"/>
          <w:b/>
        </w:rPr>
        <w:t>Past Episodes of EU Trade Disruption in Corn</w:t>
      </w:r>
    </w:p>
    <w:p w14:paraId="47033C5A" w14:textId="77777777" w:rsidR="003C5935" w:rsidRDefault="003C5935" w:rsidP="003C5935"/>
    <w:p w14:paraId="29FA24F3" w14:textId="154A497E" w:rsidR="000E650F" w:rsidRDefault="003C5935" w:rsidP="000E650F">
      <w:pPr>
        <w:spacing w:line="276" w:lineRule="auto"/>
        <w:ind w:firstLine="720"/>
      </w:pPr>
      <w:r>
        <w:t xml:space="preserve">In </w:t>
      </w:r>
      <w:r w:rsidR="00807292">
        <w:t xml:space="preserve">2006, </w:t>
      </w:r>
      <w:proofErr w:type="spellStart"/>
      <w:r w:rsidR="00C83AFB">
        <w:t>Herculex</w:t>
      </w:r>
      <w:proofErr w:type="spellEnd"/>
      <w:r w:rsidR="00C83AFB">
        <w:t>™™</w:t>
      </w:r>
      <w:r>
        <w:t xml:space="preserve"> maize (DAS 59122-7 </w:t>
      </w:r>
      <w:proofErr w:type="spellStart"/>
      <w:r w:rsidR="00C83AFB">
        <w:t>Herculex</w:t>
      </w:r>
      <w:proofErr w:type="spellEnd"/>
      <w:r w:rsidR="00C83AFB">
        <w:t>™™</w:t>
      </w:r>
      <w:r>
        <w:t xml:space="preserve"> Rootworm) was planted on </w:t>
      </w:r>
      <w:r w:rsidR="009846CE">
        <w:t>approximately</w:t>
      </w:r>
      <w:r>
        <w:t xml:space="preserve"> 1% of the U</w:t>
      </w:r>
      <w:r w:rsidR="009846CE">
        <w:t>.</w:t>
      </w:r>
      <w:r>
        <w:t>S</w:t>
      </w:r>
      <w:r w:rsidR="009846CE">
        <w:t>.</w:t>
      </w:r>
      <w:r>
        <w:t xml:space="preserve"> corn </w:t>
      </w:r>
      <w:r w:rsidR="009846CE">
        <w:t xml:space="preserve">acreage </w:t>
      </w:r>
      <w:r>
        <w:t>without EU</w:t>
      </w:r>
      <w:r w:rsidR="009846CE">
        <w:t xml:space="preserve"> import</w:t>
      </w:r>
      <w:r>
        <w:t xml:space="preserve"> approval. To avoid trade disruption, U</w:t>
      </w:r>
      <w:r w:rsidR="009846CE">
        <w:t>.</w:t>
      </w:r>
      <w:r>
        <w:t>S</w:t>
      </w:r>
      <w:r w:rsidR="009846CE">
        <w:t>.</w:t>
      </w:r>
      <w:r>
        <w:t xml:space="preserve"> biotech seed companies, farmer trade groups (e.g., the NCGA), </w:t>
      </w:r>
      <w:r w:rsidR="009846CE">
        <w:t xml:space="preserve">corn </w:t>
      </w:r>
      <w:r>
        <w:t xml:space="preserve">processors and EU importers jointly worked trying to keep EU </w:t>
      </w:r>
      <w:r w:rsidR="00287A39">
        <w:t xml:space="preserve">maize and </w:t>
      </w:r>
      <w:r>
        <w:t xml:space="preserve">maize gluten feed imports free of the unapproved </w:t>
      </w:r>
      <w:proofErr w:type="spellStart"/>
      <w:r w:rsidR="00C83AFB">
        <w:t>Herculex</w:t>
      </w:r>
      <w:proofErr w:type="spellEnd"/>
      <w:r w:rsidR="00C83AFB">
        <w:t>™</w:t>
      </w:r>
      <w:r>
        <w:t xml:space="preserve"> event</w:t>
      </w:r>
      <w:r w:rsidR="00287A39">
        <w:t>;</w:t>
      </w:r>
      <w:r>
        <w:t xml:space="preserve"> delivering </w:t>
      </w:r>
      <w:proofErr w:type="spellStart"/>
      <w:r w:rsidR="00C83AFB">
        <w:t>Herculex</w:t>
      </w:r>
      <w:proofErr w:type="spellEnd"/>
      <w:r w:rsidR="00C83AFB">
        <w:t>™</w:t>
      </w:r>
      <w:r>
        <w:t xml:space="preserve"> to dedicated storage facilities and testing any barges with U.S. corn destined for export markets for this </w:t>
      </w:r>
      <w:r w:rsidR="001B171C">
        <w:t xml:space="preserve">biotech genetic </w:t>
      </w:r>
      <w:r>
        <w:t xml:space="preserve">event before shipping. Barges that tested positive were to be diverted to the domestic market or other export markets where </w:t>
      </w:r>
      <w:r w:rsidR="001B171C">
        <w:t xml:space="preserve">that </w:t>
      </w:r>
      <w:proofErr w:type="spellStart"/>
      <w:r w:rsidR="00C83AFB">
        <w:t>Herculex</w:t>
      </w:r>
      <w:proofErr w:type="spellEnd"/>
      <w:r w:rsidR="00C83AFB">
        <w:t>™</w:t>
      </w:r>
      <w:r>
        <w:t xml:space="preserve"> </w:t>
      </w:r>
      <w:r w:rsidR="001B171C">
        <w:t xml:space="preserve">event </w:t>
      </w:r>
      <w:r>
        <w:t xml:space="preserve">was approved. </w:t>
      </w:r>
    </w:p>
    <w:p w14:paraId="69C61F1F" w14:textId="77777777" w:rsidR="000E650F" w:rsidRDefault="000E650F" w:rsidP="000E650F">
      <w:pPr>
        <w:spacing w:line="276" w:lineRule="auto"/>
        <w:ind w:firstLine="720"/>
      </w:pPr>
    </w:p>
    <w:p w14:paraId="6B804178" w14:textId="34BF6A50" w:rsidR="003C5935" w:rsidRPr="000E650F" w:rsidRDefault="000E650F" w:rsidP="000E650F">
      <w:pPr>
        <w:spacing w:line="276" w:lineRule="auto"/>
        <w:ind w:firstLine="720"/>
      </w:pPr>
      <w:r>
        <w:t xml:space="preserve">Despite these efforts at preventing commingling of these unapproved-in-EU traits in corn exports, </w:t>
      </w:r>
      <w:r>
        <w:rPr>
          <w:rFonts w:ascii="Times New Roman" w:hAnsi="Times New Roman" w:cs="Times New Roman"/>
        </w:rPr>
        <w:t>t</w:t>
      </w:r>
      <w:r w:rsidR="003C5935" w:rsidRPr="000E650F">
        <w:rPr>
          <w:rFonts w:ascii="Times New Roman" w:hAnsi="Times New Roman" w:cs="Times New Roman"/>
        </w:rPr>
        <w:t xml:space="preserve">he EU found traces of </w:t>
      </w:r>
      <w:proofErr w:type="spellStart"/>
      <w:r w:rsidR="00C83AFB">
        <w:rPr>
          <w:rFonts w:ascii="Times New Roman" w:hAnsi="Times New Roman" w:cs="Times New Roman"/>
        </w:rPr>
        <w:t>Herculex</w:t>
      </w:r>
      <w:proofErr w:type="spellEnd"/>
      <w:r w:rsidR="00C83AFB">
        <w:rPr>
          <w:rFonts w:ascii="Times New Roman" w:hAnsi="Times New Roman" w:cs="Times New Roman"/>
        </w:rPr>
        <w:t>™</w:t>
      </w:r>
      <w:r w:rsidR="003C5935" w:rsidRPr="000E650F">
        <w:rPr>
          <w:rFonts w:ascii="Times New Roman" w:hAnsi="Times New Roman" w:cs="Times New Roman"/>
        </w:rPr>
        <w:t xml:space="preserve"> in U.S. corn gluten feed through</w:t>
      </w:r>
      <w:r w:rsidR="001B171C" w:rsidRPr="000E650F">
        <w:rPr>
          <w:rFonts w:ascii="Times New Roman" w:hAnsi="Times New Roman" w:cs="Times New Roman"/>
        </w:rPr>
        <w:t>out</w:t>
      </w:r>
      <w:r w:rsidR="003C5935" w:rsidRPr="000E650F">
        <w:rPr>
          <w:rFonts w:ascii="Times New Roman" w:hAnsi="Times New Roman" w:cs="Times New Roman"/>
        </w:rPr>
        <w:t xml:space="preserve"> the 2005-2009 period (with a zero tolerance applying after April 18, 2007) and exports of US maize gluten feed abruptly declined</w:t>
      </w:r>
      <w:r w:rsidR="001B171C" w:rsidRPr="000E650F">
        <w:rPr>
          <w:rFonts w:ascii="Times New Roman" w:hAnsi="Times New Roman" w:cs="Times New Roman"/>
        </w:rPr>
        <w:t>,</w:t>
      </w:r>
      <w:r w:rsidR="003C5935" w:rsidRPr="000E650F">
        <w:rPr>
          <w:rFonts w:ascii="Times New Roman" w:hAnsi="Times New Roman" w:cs="Times New Roman"/>
        </w:rPr>
        <w:t xml:space="preserve"> since </w:t>
      </w:r>
      <w:r w:rsidR="001B171C" w:rsidRPr="000E650F">
        <w:rPr>
          <w:rFonts w:ascii="Times New Roman" w:hAnsi="Times New Roman" w:cs="Times New Roman"/>
        </w:rPr>
        <w:t xml:space="preserve">the </w:t>
      </w:r>
      <w:r w:rsidR="001B171C" w:rsidRPr="000E650F">
        <w:rPr>
          <w:rFonts w:ascii="Times New Roman" w:hAnsi="Times New Roman" w:cs="Times New Roman"/>
          <w:i/>
        </w:rPr>
        <w:t>ex</w:t>
      </w:r>
      <w:r w:rsidR="001B171C" w:rsidRPr="000E650F">
        <w:rPr>
          <w:rFonts w:ascii="Times New Roman" w:hAnsi="Times New Roman" w:cs="Times New Roman"/>
        </w:rPr>
        <w:t xml:space="preserve"> </w:t>
      </w:r>
      <w:r w:rsidR="001B171C" w:rsidRPr="000E650F">
        <w:rPr>
          <w:rFonts w:ascii="Times New Roman" w:hAnsi="Times New Roman" w:cs="Times New Roman"/>
          <w:i/>
        </w:rPr>
        <w:t>post</w:t>
      </w:r>
      <w:r w:rsidR="001B171C" w:rsidRPr="000E650F">
        <w:rPr>
          <w:rFonts w:ascii="Times New Roman" w:hAnsi="Times New Roman" w:cs="Times New Roman"/>
        </w:rPr>
        <w:t xml:space="preserve"> </w:t>
      </w:r>
      <w:r w:rsidR="001B171C" w:rsidRPr="000E650F">
        <w:rPr>
          <w:rFonts w:ascii="Times New Roman" w:hAnsi="Times New Roman" w:cs="Times New Roman"/>
          <w:i/>
        </w:rPr>
        <w:t>facto</w:t>
      </w:r>
      <w:r w:rsidR="001B171C" w:rsidRPr="000E650F">
        <w:rPr>
          <w:rFonts w:ascii="Times New Roman" w:hAnsi="Times New Roman" w:cs="Times New Roman"/>
        </w:rPr>
        <w:t xml:space="preserve"> </w:t>
      </w:r>
      <w:r w:rsidR="003C5935" w:rsidRPr="000E650F">
        <w:rPr>
          <w:rFonts w:ascii="Times New Roman" w:hAnsi="Times New Roman" w:cs="Times New Roman"/>
        </w:rPr>
        <w:t>stewardshi</w:t>
      </w:r>
      <w:r>
        <w:rPr>
          <w:rFonts w:ascii="Times New Roman" w:hAnsi="Times New Roman" w:cs="Times New Roman"/>
        </w:rPr>
        <w:t>p did not prevent commingling. While corn ex</w:t>
      </w:r>
      <w:r w:rsidR="003C5935" w:rsidRPr="000E650F">
        <w:rPr>
          <w:rFonts w:ascii="Times New Roman" w:hAnsi="Times New Roman" w:cs="Times New Roman"/>
        </w:rPr>
        <w:t>ports restarted briefly following the EU approva</w:t>
      </w:r>
      <w:r>
        <w:rPr>
          <w:rFonts w:ascii="Times New Roman" w:hAnsi="Times New Roman" w:cs="Times New Roman"/>
        </w:rPr>
        <w:t xml:space="preserve">l of </w:t>
      </w:r>
      <w:proofErr w:type="spellStart"/>
      <w:r w:rsidR="00C83AFB">
        <w:rPr>
          <w:rFonts w:ascii="Times New Roman" w:hAnsi="Times New Roman" w:cs="Times New Roman"/>
        </w:rPr>
        <w:t>Herculex</w:t>
      </w:r>
      <w:proofErr w:type="spellEnd"/>
      <w:r w:rsidR="00C83AFB">
        <w:rPr>
          <w:rFonts w:ascii="Times New Roman" w:hAnsi="Times New Roman" w:cs="Times New Roman"/>
        </w:rPr>
        <w:t>™</w:t>
      </w:r>
      <w:r>
        <w:rPr>
          <w:rFonts w:ascii="Times New Roman" w:hAnsi="Times New Roman" w:cs="Times New Roman"/>
        </w:rPr>
        <w:t xml:space="preserve"> in September 2007, this was </w:t>
      </w:r>
      <w:r w:rsidR="003C34C0">
        <w:rPr>
          <w:rFonts w:ascii="Times New Roman" w:hAnsi="Times New Roman" w:cs="Times New Roman"/>
        </w:rPr>
        <w:t>short-lived</w:t>
      </w:r>
      <w:r>
        <w:rPr>
          <w:rFonts w:ascii="Times New Roman" w:hAnsi="Times New Roman" w:cs="Times New Roman"/>
        </w:rPr>
        <w:t xml:space="preserve">.  Trade was </w:t>
      </w:r>
      <w:r w:rsidR="003C5935" w:rsidRPr="000E650F">
        <w:rPr>
          <w:rFonts w:ascii="Times New Roman" w:hAnsi="Times New Roman" w:cs="Times New Roman"/>
        </w:rPr>
        <w:t xml:space="preserve">disrupted again in late 2007 after harvest of a “new crop” with two new unauthorized biotech events – MIR 604 and MON88017 </w:t>
      </w:r>
      <w:r>
        <w:rPr>
          <w:rFonts w:ascii="Times New Roman" w:hAnsi="Times New Roman" w:cs="Times New Roman"/>
        </w:rPr>
        <w:t xml:space="preserve">-- </w:t>
      </w:r>
      <w:r w:rsidR="003C5935" w:rsidRPr="000E650F">
        <w:rPr>
          <w:rFonts w:ascii="Times New Roman" w:hAnsi="Times New Roman" w:cs="Times New Roman"/>
        </w:rPr>
        <w:t xml:space="preserve">that were planted without EU </w:t>
      </w:r>
      <w:r w:rsidR="003C5935" w:rsidRPr="000E650F">
        <w:rPr>
          <w:rFonts w:ascii="Times New Roman" w:hAnsi="Times New Roman" w:cs="Times New Roman"/>
        </w:rPr>
        <w:lastRenderedPageBreak/>
        <w:t>approval in the U</w:t>
      </w:r>
      <w:r w:rsidR="00287A39" w:rsidRPr="000E650F">
        <w:rPr>
          <w:rFonts w:ascii="Times New Roman" w:hAnsi="Times New Roman" w:cs="Times New Roman"/>
        </w:rPr>
        <w:t>.</w:t>
      </w:r>
      <w:r w:rsidR="003C5935" w:rsidRPr="000E650F">
        <w:rPr>
          <w:rFonts w:ascii="Times New Roman" w:hAnsi="Times New Roman" w:cs="Times New Roman"/>
        </w:rPr>
        <w:t>S</w:t>
      </w:r>
      <w:r w:rsidR="00287A39" w:rsidRPr="000E650F">
        <w:rPr>
          <w:rFonts w:ascii="Times New Roman" w:hAnsi="Times New Roman" w:cs="Times New Roman"/>
        </w:rPr>
        <w:t>.</w:t>
      </w:r>
      <w:r w:rsidR="003C5935" w:rsidRPr="000E650F">
        <w:rPr>
          <w:rFonts w:ascii="Times New Roman" w:hAnsi="Times New Roman" w:cs="Times New Roman"/>
        </w:rPr>
        <w:t xml:space="preserve"> in </w:t>
      </w:r>
      <w:r>
        <w:rPr>
          <w:rFonts w:ascii="Times New Roman" w:hAnsi="Times New Roman" w:cs="Times New Roman"/>
        </w:rPr>
        <w:t xml:space="preserve">early </w:t>
      </w:r>
      <w:r w:rsidR="003C5935" w:rsidRPr="000E650F">
        <w:rPr>
          <w:rFonts w:ascii="Times New Roman" w:hAnsi="Times New Roman" w:cs="Times New Roman"/>
        </w:rPr>
        <w:t>2007.</w:t>
      </w:r>
      <w:r w:rsidR="003C5935" w:rsidRPr="000E650F">
        <w:rPr>
          <w:rStyle w:val="FootnoteReference"/>
          <w:rFonts w:ascii="Times New Roman" w:hAnsi="Times New Roman" w:cs="Times New Roman"/>
        </w:rPr>
        <w:footnoteReference w:id="33"/>
      </w:r>
    </w:p>
    <w:p w14:paraId="325C93ED" w14:textId="77777777" w:rsidR="003C5935" w:rsidRPr="000E650F" w:rsidRDefault="003C5935" w:rsidP="003C5935">
      <w:pPr>
        <w:spacing w:line="276" w:lineRule="auto"/>
        <w:ind w:firstLine="720"/>
        <w:rPr>
          <w:rFonts w:ascii="Times New Roman" w:hAnsi="Times New Roman" w:cs="Times New Roman"/>
        </w:rPr>
      </w:pPr>
    </w:p>
    <w:p w14:paraId="24A3C457" w14:textId="28021CC9" w:rsidR="003C5935" w:rsidRDefault="003C5935" w:rsidP="003C5935">
      <w:pPr>
        <w:spacing w:line="276" w:lineRule="auto"/>
        <w:ind w:firstLine="720"/>
      </w:pPr>
      <w:r>
        <w:t xml:space="preserve">Similar issues of trade disruption resulted from Syngenta’s seed impurity problem with B.t. 10 corn.  This was one of the experimental events contained in laboratories, greenhouses or field trials that were found unexpectedly in the commercial food/feed supply chain (in addition to the ones already discussed -- </w:t>
      </w:r>
      <w:proofErr w:type="spellStart"/>
      <w:r>
        <w:t>Bt</w:t>
      </w:r>
      <w:proofErr w:type="spellEnd"/>
      <w:r>
        <w:t xml:space="preserve"> 10 corn, </w:t>
      </w:r>
      <w:proofErr w:type="spellStart"/>
      <w:r>
        <w:t>Prodigene</w:t>
      </w:r>
      <w:proofErr w:type="spellEnd"/>
      <w:r>
        <w:t xml:space="preserve"> corn, and Liberty Link rice, there were issues with Dow </w:t>
      </w:r>
      <w:proofErr w:type="spellStart"/>
      <w:r>
        <w:t>Agrosciences</w:t>
      </w:r>
      <w:proofErr w:type="spellEnd"/>
      <w:r>
        <w:t xml:space="preserve"> Event 32 maize, China’s </w:t>
      </w:r>
      <w:proofErr w:type="spellStart"/>
      <w:r>
        <w:t>Bt</w:t>
      </w:r>
      <w:proofErr w:type="spellEnd"/>
      <w:r>
        <w:t xml:space="preserve"> rice, and Canada’s FP 967 “</w:t>
      </w:r>
      <w:proofErr w:type="spellStart"/>
      <w:r>
        <w:t>Triffid</w:t>
      </w:r>
      <w:proofErr w:type="spellEnd"/>
      <w:r w:rsidR="00287A39">
        <w:t>”</w:t>
      </w:r>
      <w:r>
        <w:t xml:space="preserve"> flax). Typically, such events have not yet received regulatory approval in any country and they did not trigger </w:t>
      </w:r>
      <w:r w:rsidR="00807292">
        <w:t>billion-dollar</w:t>
      </w:r>
      <w:r>
        <w:t xml:space="preserve"> class actions.</w:t>
      </w:r>
    </w:p>
    <w:p w14:paraId="39AFFDE5" w14:textId="77777777" w:rsidR="003C5935" w:rsidRDefault="003C5935" w:rsidP="003C5935">
      <w:pPr>
        <w:spacing w:line="276" w:lineRule="auto"/>
        <w:ind w:firstLine="720"/>
      </w:pPr>
    </w:p>
    <w:p w14:paraId="2FAC0E30" w14:textId="25747135" w:rsidR="003C5935" w:rsidRDefault="000E650F" w:rsidP="003C5935">
      <w:pPr>
        <w:spacing w:line="276" w:lineRule="auto"/>
        <w:ind w:firstLine="720"/>
      </w:pPr>
      <w:r>
        <w:t>N</w:t>
      </w:r>
      <w:r w:rsidR="003C5935">
        <w:t xml:space="preserve">o class actions were brought for this trade disruption, </w:t>
      </w:r>
      <w:r>
        <w:t xml:space="preserve">and </w:t>
      </w:r>
      <w:r w:rsidR="003C5935">
        <w:t xml:space="preserve">the NCGA policy of allowing new biotech genetic events without EU approval continued. </w:t>
      </w:r>
      <w:r>
        <w:t xml:space="preserve">Claims relating to disruption were reportedly settled quietly and confidentially. </w:t>
      </w:r>
      <w:r w:rsidR="003C5935">
        <w:t xml:space="preserve"> Based on this history, Syngenta might have felt that trade disruption in corn exports was somehow different than what</w:t>
      </w:r>
      <w:r>
        <w:t xml:space="preserve"> was happening</w:t>
      </w:r>
      <w:r w:rsidR="003C5935">
        <w:t xml:space="preserve"> with LL rice</w:t>
      </w:r>
      <w:r>
        <w:t>, where Bayer was fighting trade disruption claims involving comparable economic impacts</w:t>
      </w:r>
      <w:r w:rsidR="003C5935">
        <w:t>.</w:t>
      </w:r>
    </w:p>
    <w:p w14:paraId="7E458CED" w14:textId="77777777" w:rsidR="003C5935" w:rsidRPr="003C5935" w:rsidRDefault="003C5935" w:rsidP="003C5935">
      <w:pPr>
        <w:spacing w:line="276" w:lineRule="auto"/>
        <w:rPr>
          <w:rFonts w:ascii="Times New Roman" w:hAnsi="Times New Roman" w:cs="Times New Roman"/>
          <w:b/>
        </w:rPr>
      </w:pPr>
    </w:p>
    <w:p w14:paraId="2C216592" w14:textId="2DE71B97" w:rsidR="00BA7D74" w:rsidRPr="00D40C64" w:rsidRDefault="00D40C64" w:rsidP="003C5935">
      <w:pPr>
        <w:pStyle w:val="ListParagraph"/>
        <w:numPr>
          <w:ilvl w:val="0"/>
          <w:numId w:val="12"/>
        </w:numPr>
        <w:spacing w:line="276" w:lineRule="auto"/>
        <w:rPr>
          <w:rFonts w:ascii="Times New Roman" w:hAnsi="Times New Roman" w:cs="Times New Roman"/>
          <w:b/>
        </w:rPr>
      </w:pPr>
      <w:r>
        <w:t xml:space="preserve"> </w:t>
      </w:r>
      <w:r w:rsidRPr="00D40C64">
        <w:rPr>
          <w:rFonts w:ascii="Times New Roman" w:hAnsi="Times New Roman" w:cs="Times New Roman"/>
          <w:b/>
        </w:rPr>
        <w:t xml:space="preserve"> </w:t>
      </w:r>
      <w:r w:rsidR="00BA7D74" w:rsidRPr="00D40C64">
        <w:rPr>
          <w:rFonts w:ascii="Times New Roman" w:hAnsi="Times New Roman" w:cs="Times New Roman"/>
          <w:b/>
        </w:rPr>
        <w:t>Supreme Court Recognizes Economic “Contamination”</w:t>
      </w:r>
    </w:p>
    <w:p w14:paraId="527A796A" w14:textId="77777777" w:rsidR="00BA7D74" w:rsidRDefault="00BA7D74" w:rsidP="002D5ACB">
      <w:pPr>
        <w:pStyle w:val="pxp"/>
        <w:spacing w:line="276" w:lineRule="auto"/>
        <w:ind w:firstLine="500"/>
        <w:rPr>
          <w:rFonts w:ascii="Times New Roman" w:hAnsi="Times New Roman" w:cs="Times New Roman"/>
        </w:rPr>
      </w:pPr>
    </w:p>
    <w:p w14:paraId="09C10A1C" w14:textId="56506BBC" w:rsidR="001347E1" w:rsidRDefault="001347E1" w:rsidP="002C7B06">
      <w:pPr>
        <w:pStyle w:val="pxp"/>
        <w:spacing w:line="276" w:lineRule="auto"/>
        <w:ind w:firstLine="720"/>
        <w:rPr>
          <w:rFonts w:ascii="Times New Roman" w:hAnsi="Times New Roman" w:cs="Times New Roman"/>
        </w:rPr>
      </w:pPr>
      <w:r>
        <w:rPr>
          <w:rFonts w:ascii="Times New Roman" w:hAnsi="Times New Roman" w:cs="Times New Roman"/>
        </w:rPr>
        <w:t xml:space="preserve">This section discusses the role of the U.S. federal courts, including Circuit Courts of Appeal, in recognizing the boundaries of biotech liability. </w:t>
      </w:r>
    </w:p>
    <w:p w14:paraId="6641E2BC" w14:textId="77777777" w:rsidR="001347E1" w:rsidRPr="001347E1" w:rsidRDefault="001347E1" w:rsidP="001347E1"/>
    <w:p w14:paraId="5803F1C5" w14:textId="6BDDC677" w:rsidR="001347E1" w:rsidRDefault="00BA7D74" w:rsidP="002C7B06">
      <w:pPr>
        <w:pStyle w:val="pxp"/>
        <w:spacing w:line="276" w:lineRule="auto"/>
        <w:ind w:firstLine="720"/>
        <w:rPr>
          <w:rFonts w:ascii="Times New Roman" w:hAnsi="Times New Roman" w:cs="Times New Roman"/>
        </w:rPr>
      </w:pPr>
      <w:r>
        <w:rPr>
          <w:rFonts w:ascii="Times New Roman" w:hAnsi="Times New Roman" w:cs="Times New Roman"/>
        </w:rPr>
        <w:t xml:space="preserve">The Supreme Court </w:t>
      </w:r>
      <w:r w:rsidR="007B3CE9" w:rsidRPr="004C0F11">
        <w:rPr>
          <w:rFonts w:ascii="Times New Roman" w:hAnsi="Times New Roman" w:cs="Times New Roman"/>
        </w:rPr>
        <w:t xml:space="preserve">recognized </w:t>
      </w:r>
      <w:r>
        <w:rPr>
          <w:rFonts w:ascii="Times New Roman" w:hAnsi="Times New Roman" w:cs="Times New Roman"/>
        </w:rPr>
        <w:t>the economic impacts of biotech crops (</w:t>
      </w:r>
      <w:r w:rsidR="00287A39">
        <w:rPr>
          <w:rFonts w:ascii="Times New Roman" w:hAnsi="Times New Roman" w:cs="Times New Roman"/>
        </w:rPr>
        <w:t>includin</w:t>
      </w:r>
      <w:r>
        <w:rPr>
          <w:rFonts w:ascii="Times New Roman" w:hAnsi="Times New Roman" w:cs="Times New Roman"/>
        </w:rPr>
        <w:t xml:space="preserve">g those relating to exports) </w:t>
      </w:r>
      <w:r w:rsidR="007B3CE9" w:rsidRPr="004C0F11">
        <w:rPr>
          <w:rFonts w:ascii="Times New Roman" w:hAnsi="Times New Roman" w:cs="Times New Roman"/>
        </w:rPr>
        <w:t xml:space="preserve">as worthy of regulatory protection </w:t>
      </w:r>
      <w:r w:rsidRPr="00BA7D74">
        <w:rPr>
          <w:rFonts w:ascii="Times New Roman" w:hAnsi="Times New Roman" w:cs="Times New Roman"/>
          <w:i/>
        </w:rPr>
        <w:t>Monsanto</w:t>
      </w:r>
      <w:r>
        <w:rPr>
          <w:rFonts w:ascii="Times New Roman" w:hAnsi="Times New Roman" w:cs="Times New Roman"/>
        </w:rPr>
        <w:t xml:space="preserve"> </w:t>
      </w:r>
      <w:r w:rsidR="00051D26">
        <w:rPr>
          <w:rStyle w:val="pxi"/>
          <w:rFonts w:ascii="Times New Roman" w:hAnsi="Times New Roman" w:cs="Times New Roman"/>
          <w:i/>
          <w:iCs/>
        </w:rPr>
        <w:t xml:space="preserve">Co. v. </w:t>
      </w:r>
      <w:proofErr w:type="spellStart"/>
      <w:r w:rsidR="00051D26">
        <w:rPr>
          <w:rStyle w:val="pxi"/>
          <w:rFonts w:ascii="Times New Roman" w:hAnsi="Times New Roman" w:cs="Times New Roman"/>
          <w:i/>
          <w:iCs/>
        </w:rPr>
        <w:t>Geertson</w:t>
      </w:r>
      <w:proofErr w:type="spellEnd"/>
      <w:r w:rsidR="00051D26">
        <w:rPr>
          <w:rStyle w:val="pxi"/>
          <w:rFonts w:ascii="Times New Roman" w:hAnsi="Times New Roman" w:cs="Times New Roman"/>
          <w:i/>
          <w:iCs/>
        </w:rPr>
        <w:t xml:space="preserve"> Seed Farm</w:t>
      </w:r>
      <w:r w:rsidR="00325947">
        <w:rPr>
          <w:rStyle w:val="pxi"/>
          <w:rFonts w:ascii="Times New Roman" w:hAnsi="Times New Roman" w:cs="Times New Roman"/>
          <w:i/>
          <w:iCs/>
        </w:rPr>
        <w:t>s</w:t>
      </w:r>
      <w:r w:rsidR="00051D26">
        <w:rPr>
          <w:rStyle w:val="FootnoteReference"/>
          <w:rFonts w:ascii="Times New Roman" w:hAnsi="Times New Roman" w:cs="Times New Roman"/>
          <w:i/>
          <w:iCs/>
        </w:rPr>
        <w:footnoteReference w:id="34"/>
      </w:r>
      <w:r w:rsidR="007B3CE9" w:rsidRPr="004C0F11">
        <w:rPr>
          <w:rFonts w:ascii="Times New Roman" w:hAnsi="Times New Roman" w:cs="Times New Roman"/>
        </w:rPr>
        <w:t xml:space="preserve"> under the National Environmental Policy Act (NEPA). In </w:t>
      </w:r>
      <w:proofErr w:type="spellStart"/>
      <w:r w:rsidR="007B3CE9" w:rsidRPr="004C0F11">
        <w:rPr>
          <w:rStyle w:val="pxi"/>
          <w:rFonts w:ascii="Times New Roman" w:hAnsi="Times New Roman" w:cs="Times New Roman"/>
          <w:i/>
          <w:iCs/>
        </w:rPr>
        <w:t>Geertson</w:t>
      </w:r>
      <w:proofErr w:type="spellEnd"/>
      <w:r w:rsidR="007B3CE9" w:rsidRPr="004C0F11">
        <w:rPr>
          <w:rFonts w:ascii="Times New Roman" w:hAnsi="Times New Roman" w:cs="Times New Roman"/>
        </w:rPr>
        <w:t>, the Supreme Court upheld a ruling that Roundup Ready</w:t>
      </w:r>
      <w:r w:rsidR="007B3CE9" w:rsidRPr="004C0F11">
        <w:rPr>
          <w:rFonts w:ascii="Times New Roman" w:hAnsi="Times New Roman" w:cs="Times New Roman"/>
          <w:vanish/>
        </w:rPr>
        <w:t>&amp;reg;</w:t>
      </w:r>
      <w:r w:rsidR="007B3CE9" w:rsidRPr="004C0F11">
        <w:rPr>
          <w:rStyle w:val="pxvis"/>
          <w:rFonts w:ascii="Times New Roman" w:hAnsi="Times New Roman" w:cs="Times New Roman"/>
          <w:b w:val="0"/>
          <w:bCs w:val="0"/>
          <w:sz w:val="24"/>
          <w:szCs w:val="24"/>
        </w:rPr>
        <w:t>®</w:t>
      </w:r>
      <w:r w:rsidR="007B3CE9" w:rsidRPr="004C0F11">
        <w:rPr>
          <w:rFonts w:ascii="Times New Roman" w:hAnsi="Times New Roman" w:cs="Times New Roman"/>
        </w:rPr>
        <w:t xml:space="preserve"> (RR) Alfalfa </w:t>
      </w:r>
      <w:r w:rsidR="001347E1">
        <w:rPr>
          <w:rFonts w:ascii="Times New Roman" w:hAnsi="Times New Roman" w:cs="Times New Roman"/>
        </w:rPr>
        <w:t xml:space="preserve">(“RR alfalfa”) </w:t>
      </w:r>
      <w:r w:rsidR="007B3CE9" w:rsidRPr="004C0F11">
        <w:rPr>
          <w:rFonts w:ascii="Times New Roman" w:hAnsi="Times New Roman" w:cs="Times New Roman"/>
        </w:rPr>
        <w:t xml:space="preserve">could </w:t>
      </w:r>
      <w:r w:rsidR="007B3CE9" w:rsidRPr="004C0F11">
        <w:rPr>
          <w:rStyle w:val="pxvis"/>
          <w:rFonts w:ascii="Times New Roman" w:hAnsi="Times New Roman" w:cs="Times New Roman"/>
          <w:b w:val="0"/>
          <w:bCs w:val="0"/>
          <w:sz w:val="24"/>
          <w:szCs w:val="24"/>
        </w:rPr>
        <w:t>“</w:t>
      </w:r>
      <w:r w:rsidR="007B3CE9" w:rsidRPr="004C0F11">
        <w:rPr>
          <w:rFonts w:ascii="Times New Roman" w:hAnsi="Times New Roman" w:cs="Times New Roman"/>
        </w:rPr>
        <w:t>contaminate</w:t>
      </w:r>
      <w:r w:rsidR="007B3CE9" w:rsidRPr="004C0F11">
        <w:rPr>
          <w:rStyle w:val="pxvis"/>
          <w:rFonts w:ascii="Times New Roman" w:hAnsi="Times New Roman" w:cs="Times New Roman"/>
          <w:b w:val="0"/>
          <w:bCs w:val="0"/>
          <w:sz w:val="24"/>
          <w:szCs w:val="24"/>
        </w:rPr>
        <w:t>”</w:t>
      </w:r>
      <w:r w:rsidR="007B3CE9" w:rsidRPr="004C0F11">
        <w:rPr>
          <w:rFonts w:ascii="Times New Roman" w:hAnsi="Times New Roman" w:cs="Times New Roman"/>
        </w:rPr>
        <w:t xml:space="preserve"> other crops</w:t>
      </w:r>
      <w:r w:rsidR="00F751EC" w:rsidRPr="004C0F11">
        <w:rPr>
          <w:rFonts w:ascii="Times New Roman" w:hAnsi="Times New Roman" w:cs="Times New Roman"/>
        </w:rPr>
        <w:t xml:space="preserve"> causing undesirable </w:t>
      </w:r>
      <w:r w:rsidR="00EA69A1">
        <w:rPr>
          <w:rFonts w:ascii="Times New Roman" w:hAnsi="Times New Roman" w:cs="Times New Roman"/>
        </w:rPr>
        <w:t>economic impacts, including loss</w:t>
      </w:r>
      <w:r w:rsidR="00F751EC" w:rsidRPr="004C0F11">
        <w:rPr>
          <w:rFonts w:ascii="Times New Roman" w:hAnsi="Times New Roman" w:cs="Times New Roman"/>
        </w:rPr>
        <w:t xml:space="preserve"> of export markets for alfalfa</w:t>
      </w:r>
      <w:r>
        <w:rPr>
          <w:rFonts w:ascii="Times New Roman" w:hAnsi="Times New Roman" w:cs="Times New Roman"/>
        </w:rPr>
        <w:t xml:space="preserve"> (even with the tiny percentages – around 1% of U</w:t>
      </w:r>
      <w:r w:rsidR="00666C47">
        <w:rPr>
          <w:rFonts w:ascii="Times New Roman" w:hAnsi="Times New Roman" w:cs="Times New Roman"/>
        </w:rPr>
        <w:t>.</w:t>
      </w:r>
      <w:r>
        <w:rPr>
          <w:rFonts w:ascii="Times New Roman" w:hAnsi="Times New Roman" w:cs="Times New Roman"/>
        </w:rPr>
        <w:t>S</w:t>
      </w:r>
      <w:r w:rsidR="00666C47">
        <w:rPr>
          <w:rFonts w:ascii="Times New Roman" w:hAnsi="Times New Roman" w:cs="Times New Roman"/>
        </w:rPr>
        <w:t>. alfalfa</w:t>
      </w:r>
      <w:r>
        <w:rPr>
          <w:rFonts w:ascii="Times New Roman" w:hAnsi="Times New Roman" w:cs="Times New Roman"/>
        </w:rPr>
        <w:t xml:space="preserve"> acreage – that were headed for exports)</w:t>
      </w:r>
      <w:r w:rsidR="001347E1">
        <w:rPr>
          <w:rFonts w:ascii="Times New Roman" w:hAnsi="Times New Roman" w:cs="Times New Roman"/>
        </w:rPr>
        <w:t>, affirming a lower court’s “</w:t>
      </w:r>
      <w:proofErr w:type="spellStart"/>
      <w:r w:rsidR="001347E1">
        <w:rPr>
          <w:rFonts w:ascii="Times New Roman" w:hAnsi="Times New Roman" w:cs="Times New Roman"/>
        </w:rPr>
        <w:t>vacatur</w:t>
      </w:r>
      <w:proofErr w:type="spellEnd"/>
      <w:r w:rsidR="001347E1">
        <w:rPr>
          <w:rFonts w:ascii="Times New Roman" w:hAnsi="Times New Roman" w:cs="Times New Roman"/>
        </w:rPr>
        <w:t>” order sending USDA back to the regulatory drawing board but rejecting the nationwide injunction against planting the RR alfalfa the lower court had imposed.  Monsanto correctly called this a victory insofar as the injunction was lifted.</w:t>
      </w:r>
    </w:p>
    <w:p w14:paraId="21707CCA" w14:textId="77777777" w:rsidR="001347E1" w:rsidRDefault="001347E1" w:rsidP="002C7B06">
      <w:pPr>
        <w:pStyle w:val="pxp"/>
        <w:spacing w:line="276" w:lineRule="auto"/>
        <w:ind w:firstLine="720"/>
        <w:rPr>
          <w:rFonts w:ascii="Times New Roman" w:hAnsi="Times New Roman" w:cs="Times New Roman"/>
        </w:rPr>
      </w:pPr>
    </w:p>
    <w:p w14:paraId="48A72990" w14:textId="4005DC90" w:rsidR="002C7B06" w:rsidRDefault="001347E1" w:rsidP="002C7B06">
      <w:pPr>
        <w:pStyle w:val="pxp"/>
        <w:spacing w:line="276" w:lineRule="auto"/>
        <w:ind w:firstLine="720"/>
        <w:rPr>
          <w:rFonts w:ascii="Times New Roman" w:hAnsi="Times New Roman" w:cs="Times New Roman"/>
        </w:rPr>
      </w:pPr>
      <w:r>
        <w:rPr>
          <w:rFonts w:ascii="Times New Roman" w:hAnsi="Times New Roman" w:cs="Times New Roman"/>
        </w:rPr>
        <w:t xml:space="preserve">This decision is notable since the </w:t>
      </w:r>
      <w:r w:rsidR="002C7B06" w:rsidRPr="004C0F11">
        <w:rPr>
          <w:rFonts w:ascii="Times New Roman" w:hAnsi="Times New Roman" w:cs="Times New Roman"/>
        </w:rPr>
        <w:t>economic impacts</w:t>
      </w:r>
      <w:r>
        <w:rPr>
          <w:rFonts w:ascii="Times New Roman" w:hAnsi="Times New Roman" w:cs="Times New Roman"/>
        </w:rPr>
        <w:t xml:space="preserve"> of trade disruption</w:t>
      </w:r>
      <w:r w:rsidR="002C7B06" w:rsidRPr="004C0F11">
        <w:rPr>
          <w:rFonts w:ascii="Times New Roman" w:hAnsi="Times New Roman" w:cs="Times New Roman"/>
        </w:rPr>
        <w:t xml:space="preserve">, including </w:t>
      </w:r>
      <w:r>
        <w:rPr>
          <w:rFonts w:ascii="Times New Roman" w:hAnsi="Times New Roman" w:cs="Times New Roman"/>
        </w:rPr>
        <w:t xml:space="preserve">both non-GMO economic loss and the </w:t>
      </w:r>
      <w:r w:rsidR="002C7B06" w:rsidRPr="004C0F11">
        <w:rPr>
          <w:rFonts w:ascii="Times New Roman" w:hAnsi="Times New Roman" w:cs="Times New Roman"/>
        </w:rPr>
        <w:t xml:space="preserve">loss of export markets, were found to be </w:t>
      </w:r>
      <w:r w:rsidR="002C7B06" w:rsidRPr="004C0F11">
        <w:rPr>
          <w:rStyle w:val="pxvis"/>
          <w:rFonts w:ascii="Times New Roman" w:hAnsi="Times New Roman" w:cs="Times New Roman"/>
          <w:b w:val="0"/>
          <w:bCs w:val="0"/>
          <w:sz w:val="24"/>
          <w:szCs w:val="24"/>
        </w:rPr>
        <w:t>“</w:t>
      </w:r>
      <w:r w:rsidR="002C7B06" w:rsidRPr="004C0F11">
        <w:rPr>
          <w:rFonts w:ascii="Times New Roman" w:hAnsi="Times New Roman" w:cs="Times New Roman"/>
        </w:rPr>
        <w:t>interrelated</w:t>
      </w:r>
      <w:r w:rsidR="002C7B06" w:rsidRPr="004C0F11">
        <w:rPr>
          <w:rStyle w:val="pxvis"/>
          <w:rFonts w:ascii="Times New Roman" w:hAnsi="Times New Roman" w:cs="Times New Roman"/>
          <w:b w:val="0"/>
          <w:bCs w:val="0"/>
          <w:sz w:val="24"/>
          <w:szCs w:val="24"/>
        </w:rPr>
        <w:t>”</w:t>
      </w:r>
      <w:r w:rsidR="002C7B06" w:rsidRPr="004C0F11">
        <w:rPr>
          <w:rFonts w:ascii="Times New Roman" w:hAnsi="Times New Roman" w:cs="Times New Roman"/>
        </w:rPr>
        <w:t xml:space="preserve"> with environmental impacts, and USDA accordingly had a duty to impose management standards to prevent such impacts</w:t>
      </w:r>
      <w:r>
        <w:rPr>
          <w:rFonts w:ascii="Times New Roman" w:hAnsi="Times New Roman" w:cs="Times New Roman"/>
        </w:rPr>
        <w:t xml:space="preserve"> to prevent this “contamination” before economic losses mounted</w:t>
      </w:r>
      <w:r w:rsidR="002C7B06" w:rsidRPr="004C0F11">
        <w:rPr>
          <w:rFonts w:ascii="Times New Roman" w:hAnsi="Times New Roman" w:cs="Times New Roman"/>
        </w:rPr>
        <w:t xml:space="preserve">. </w:t>
      </w:r>
    </w:p>
    <w:p w14:paraId="686C4CE1" w14:textId="77777777" w:rsidR="002C7B06" w:rsidRDefault="002C7B06" w:rsidP="002D5ACB">
      <w:pPr>
        <w:pStyle w:val="pxp"/>
        <w:spacing w:line="276" w:lineRule="auto"/>
        <w:ind w:firstLine="500"/>
        <w:rPr>
          <w:rFonts w:ascii="Times New Roman" w:hAnsi="Times New Roman" w:cs="Times New Roman"/>
        </w:rPr>
      </w:pPr>
    </w:p>
    <w:p w14:paraId="69C2A425" w14:textId="3B6ACEC4" w:rsidR="00BA7D74" w:rsidRDefault="001347E1" w:rsidP="002D5ACB">
      <w:pPr>
        <w:pStyle w:val="pxp"/>
        <w:spacing w:line="276" w:lineRule="auto"/>
        <w:ind w:firstLine="500"/>
        <w:rPr>
          <w:rFonts w:ascii="Times New Roman" w:hAnsi="Times New Roman" w:cs="Times New Roman"/>
        </w:rPr>
      </w:pPr>
      <w:r>
        <w:rPr>
          <w:rFonts w:ascii="Times New Roman" w:hAnsi="Times New Roman" w:cs="Times New Roman"/>
        </w:rPr>
        <w:t xml:space="preserve">Moreover, the decision could impact insurance for growers. </w:t>
      </w:r>
      <w:r w:rsidR="002C7B06">
        <w:rPr>
          <w:rFonts w:ascii="Times New Roman" w:hAnsi="Times New Roman" w:cs="Times New Roman"/>
        </w:rPr>
        <w:t xml:space="preserve">One can only hope that this use of the </w:t>
      </w:r>
      <w:r w:rsidR="003C34C0">
        <w:rPr>
          <w:rFonts w:ascii="Times New Roman" w:hAnsi="Times New Roman" w:cs="Times New Roman"/>
        </w:rPr>
        <w:t>word</w:t>
      </w:r>
      <w:r w:rsidR="002C7B06">
        <w:rPr>
          <w:rFonts w:ascii="Times New Roman" w:hAnsi="Times New Roman" w:cs="Times New Roman"/>
        </w:rPr>
        <w:t xml:space="preserve"> “contamination” does not lead to a loss of insurance coverage, under pollution exclusions, for any cross-pollination to another crop causing economic loss.  Common usage of words</w:t>
      </w:r>
      <w:r>
        <w:rPr>
          <w:rFonts w:ascii="Times New Roman" w:hAnsi="Times New Roman" w:cs="Times New Roman"/>
        </w:rPr>
        <w:t xml:space="preserve"> and court interpretations carry significant</w:t>
      </w:r>
      <w:r w:rsidR="002C7B06">
        <w:rPr>
          <w:rFonts w:ascii="Times New Roman" w:hAnsi="Times New Roman" w:cs="Times New Roman"/>
        </w:rPr>
        <w:t xml:space="preserve"> weigh</w:t>
      </w:r>
      <w:r w:rsidR="00325947">
        <w:rPr>
          <w:rFonts w:ascii="Times New Roman" w:hAnsi="Times New Roman" w:cs="Times New Roman"/>
        </w:rPr>
        <w:t>t in insurance interpretation.</w:t>
      </w:r>
    </w:p>
    <w:p w14:paraId="0B4FEF76" w14:textId="6BE90925" w:rsidR="00742281" w:rsidRPr="00742281" w:rsidRDefault="00742281" w:rsidP="00D40C64">
      <w:pPr>
        <w:spacing w:line="276" w:lineRule="auto"/>
        <w:rPr>
          <w:rFonts w:ascii="Times New Roman" w:hAnsi="Times New Roman"/>
        </w:rPr>
      </w:pPr>
    </w:p>
    <w:p w14:paraId="64A9CDEA" w14:textId="77777777" w:rsidR="00E57B95" w:rsidRDefault="00742281" w:rsidP="00742281">
      <w:pPr>
        <w:pStyle w:val="pxp"/>
        <w:spacing w:line="276" w:lineRule="auto"/>
        <w:rPr>
          <w:rFonts w:ascii="Times New Roman" w:hAnsi="Times New Roman" w:cs="Times New Roman"/>
        </w:rPr>
      </w:pPr>
      <w:r w:rsidRPr="004C0F11">
        <w:rPr>
          <w:rFonts w:ascii="Times New Roman" w:hAnsi="Times New Roman" w:cs="Times New Roman"/>
        </w:rPr>
        <w:t xml:space="preserve"> </w:t>
      </w:r>
      <w:r w:rsidRPr="004C0F11">
        <w:rPr>
          <w:rStyle w:val="pxvis"/>
          <w:rFonts w:ascii="Times New Roman" w:hAnsi="Times New Roman" w:cs="Times New Roman"/>
          <w:b w:val="0"/>
          <w:bCs w:val="0"/>
          <w:sz w:val="24"/>
          <w:szCs w:val="24"/>
        </w:rPr>
        <w:tab/>
      </w:r>
      <w:r>
        <w:rPr>
          <w:rFonts w:ascii="Times New Roman" w:hAnsi="Times New Roman" w:cs="Times New Roman"/>
        </w:rPr>
        <w:t xml:space="preserve">The </w:t>
      </w:r>
      <w:proofErr w:type="spellStart"/>
      <w:r>
        <w:rPr>
          <w:rFonts w:ascii="Times New Roman" w:hAnsi="Times New Roman" w:cs="Times New Roman"/>
          <w:i/>
        </w:rPr>
        <w:t>Geertso</w:t>
      </w:r>
      <w:r w:rsidRPr="002C7B06">
        <w:rPr>
          <w:rFonts w:ascii="Times New Roman" w:hAnsi="Times New Roman" w:cs="Times New Roman"/>
          <w:i/>
        </w:rPr>
        <w:t>n</w:t>
      </w:r>
      <w:proofErr w:type="spellEnd"/>
      <w:r>
        <w:rPr>
          <w:rFonts w:ascii="Times New Roman" w:hAnsi="Times New Roman" w:cs="Times New Roman"/>
        </w:rPr>
        <w:t xml:space="preserve"> case was not the last word from NEPA plaintiffs.  In 2011</w:t>
      </w:r>
      <w:r w:rsidRPr="004C0F11">
        <w:rPr>
          <w:rFonts w:ascii="Times New Roman" w:hAnsi="Times New Roman" w:cs="Times New Roman"/>
        </w:rPr>
        <w:t>, a</w:t>
      </w:r>
      <w:r>
        <w:rPr>
          <w:rFonts w:ascii="Times New Roman" w:hAnsi="Times New Roman" w:cs="Times New Roman"/>
        </w:rPr>
        <w:t>nother California</w:t>
      </w:r>
      <w:r w:rsidRPr="004C0F11">
        <w:rPr>
          <w:rFonts w:ascii="Times New Roman" w:hAnsi="Times New Roman" w:cs="Times New Roman"/>
        </w:rPr>
        <w:t xml:space="preserve"> court enjoined planting of </w:t>
      </w:r>
      <w:r>
        <w:rPr>
          <w:rFonts w:ascii="Times New Roman" w:hAnsi="Times New Roman" w:cs="Times New Roman"/>
        </w:rPr>
        <w:t>Monsanto’s</w:t>
      </w:r>
      <w:r w:rsidRPr="004C0F11">
        <w:rPr>
          <w:rFonts w:ascii="Times New Roman" w:hAnsi="Times New Roman" w:cs="Times New Roman"/>
        </w:rPr>
        <w:t xml:space="preserve"> Roundup Ready</w:t>
      </w:r>
      <w:r w:rsidR="00E57B95">
        <w:rPr>
          <w:rFonts w:ascii="Times New Roman" w:hAnsi="Times New Roman" w:cs="Times New Roman"/>
        </w:rPr>
        <w:t>®</w:t>
      </w:r>
      <w:r w:rsidRPr="004C0F11">
        <w:rPr>
          <w:rFonts w:ascii="Times New Roman" w:hAnsi="Times New Roman" w:cs="Times New Roman"/>
        </w:rPr>
        <w:t xml:space="preserve"> Suga</w:t>
      </w:r>
      <w:r>
        <w:rPr>
          <w:rFonts w:ascii="Times New Roman" w:hAnsi="Times New Roman" w:cs="Times New Roman"/>
        </w:rPr>
        <w:t>r Beets (</w:t>
      </w:r>
      <w:r w:rsidR="00E57B95">
        <w:rPr>
          <w:rFonts w:ascii="Times New Roman" w:hAnsi="Times New Roman" w:cs="Times New Roman"/>
        </w:rPr>
        <w:t>“</w:t>
      </w:r>
      <w:r>
        <w:rPr>
          <w:rFonts w:ascii="Times New Roman" w:hAnsi="Times New Roman" w:cs="Times New Roman"/>
        </w:rPr>
        <w:t>RR Sugar Beets</w:t>
      </w:r>
      <w:r w:rsidR="00E57B95">
        <w:rPr>
          <w:rFonts w:ascii="Times New Roman" w:hAnsi="Times New Roman" w:cs="Times New Roman"/>
        </w:rPr>
        <w:t>”</w:t>
      </w:r>
      <w:r>
        <w:rPr>
          <w:rFonts w:ascii="Times New Roman" w:hAnsi="Times New Roman" w:cs="Times New Roman"/>
        </w:rPr>
        <w:t>) nationwide</w:t>
      </w:r>
      <w:r w:rsidRPr="004C0F11">
        <w:rPr>
          <w:rFonts w:ascii="Times New Roman" w:hAnsi="Times New Roman" w:cs="Times New Roman"/>
        </w:rPr>
        <w:t xml:space="preserve">, after anti-biotech activists and organic growers successfully </w:t>
      </w:r>
      <w:r>
        <w:rPr>
          <w:rFonts w:ascii="Times New Roman" w:hAnsi="Times New Roman" w:cs="Times New Roman"/>
        </w:rPr>
        <w:t xml:space="preserve">used </w:t>
      </w:r>
      <w:r w:rsidR="00E57B95">
        <w:rPr>
          <w:rFonts w:ascii="Times New Roman" w:hAnsi="Times New Roman" w:cs="Times New Roman"/>
        </w:rPr>
        <w:t>the National Environmental Policy Act (“</w:t>
      </w:r>
      <w:r>
        <w:rPr>
          <w:rFonts w:ascii="Times New Roman" w:hAnsi="Times New Roman" w:cs="Times New Roman"/>
        </w:rPr>
        <w:t>NEPA</w:t>
      </w:r>
      <w:r w:rsidR="00E57B95">
        <w:rPr>
          <w:rFonts w:ascii="Times New Roman" w:hAnsi="Times New Roman" w:cs="Times New Roman"/>
        </w:rPr>
        <w:t>”)</w:t>
      </w:r>
      <w:r>
        <w:rPr>
          <w:rFonts w:ascii="Times New Roman" w:hAnsi="Times New Roman" w:cs="Times New Roman"/>
        </w:rPr>
        <w:t xml:space="preserve"> again to vacate</w:t>
      </w:r>
      <w:r w:rsidRPr="004C0F11">
        <w:rPr>
          <w:rFonts w:ascii="Times New Roman" w:hAnsi="Times New Roman" w:cs="Times New Roman"/>
        </w:rPr>
        <w:t xml:space="preserve"> the United States Department of Agriculture's (USDA) </w:t>
      </w:r>
      <w:r>
        <w:rPr>
          <w:rFonts w:ascii="Times New Roman" w:hAnsi="Times New Roman" w:cs="Times New Roman"/>
        </w:rPr>
        <w:t>approval.  USDA w</w:t>
      </w:r>
      <w:r w:rsidR="00287A39">
        <w:rPr>
          <w:rFonts w:ascii="Times New Roman" w:hAnsi="Times New Roman" w:cs="Times New Roman"/>
        </w:rPr>
        <w:t>a</w:t>
      </w:r>
      <w:r>
        <w:rPr>
          <w:rFonts w:ascii="Times New Roman" w:hAnsi="Times New Roman" w:cs="Times New Roman"/>
        </w:rPr>
        <w:t xml:space="preserve">s </w:t>
      </w:r>
      <w:r w:rsidRPr="004C0F11">
        <w:rPr>
          <w:rFonts w:ascii="Times New Roman" w:hAnsi="Times New Roman" w:cs="Times New Roman"/>
        </w:rPr>
        <w:t xml:space="preserve">conducting less rigorous environmental assessments (EA) rather than the more extensive environmental impact statement (EIS). </w:t>
      </w:r>
    </w:p>
    <w:p w14:paraId="6066F14F" w14:textId="77777777" w:rsidR="00E57B95" w:rsidRDefault="00E57B95" w:rsidP="00742281">
      <w:pPr>
        <w:pStyle w:val="pxp"/>
        <w:spacing w:line="276" w:lineRule="auto"/>
        <w:rPr>
          <w:rFonts w:ascii="Times New Roman" w:hAnsi="Times New Roman" w:cs="Times New Roman"/>
        </w:rPr>
      </w:pPr>
    </w:p>
    <w:p w14:paraId="14A236B2" w14:textId="79AD8C32" w:rsidR="00742281" w:rsidRDefault="00742281" w:rsidP="00E57B95">
      <w:pPr>
        <w:pStyle w:val="pxp"/>
        <w:spacing w:line="276" w:lineRule="auto"/>
        <w:ind w:firstLine="720"/>
        <w:rPr>
          <w:rFonts w:ascii="Times New Roman" w:hAnsi="Times New Roman" w:cs="Times New Roman"/>
        </w:rPr>
      </w:pPr>
      <w:r w:rsidRPr="004C0F11">
        <w:rPr>
          <w:rFonts w:ascii="Times New Roman" w:hAnsi="Times New Roman" w:cs="Times New Roman"/>
        </w:rPr>
        <w:t xml:space="preserve">After </w:t>
      </w:r>
      <w:r>
        <w:rPr>
          <w:rFonts w:ascii="Times New Roman" w:hAnsi="Times New Roman" w:cs="Times New Roman"/>
        </w:rPr>
        <w:t xml:space="preserve">this order led to uprooting beets in some locations, </w:t>
      </w:r>
      <w:r w:rsidR="00E57B95">
        <w:rPr>
          <w:rFonts w:ascii="Times New Roman" w:hAnsi="Times New Roman" w:cs="Times New Roman"/>
        </w:rPr>
        <w:t xml:space="preserve">U.S. </w:t>
      </w:r>
      <w:r w:rsidRPr="004C0F11">
        <w:rPr>
          <w:rFonts w:ascii="Times New Roman" w:hAnsi="Times New Roman" w:cs="Times New Roman"/>
        </w:rPr>
        <w:t>sugar beet growers</w:t>
      </w:r>
      <w:r w:rsidR="00E57B95">
        <w:rPr>
          <w:rFonts w:ascii="Times New Roman" w:hAnsi="Times New Roman" w:cs="Times New Roman"/>
        </w:rPr>
        <w:t xml:space="preserve"> (over 90% of whom were planting RR Sugar Beets)</w:t>
      </w:r>
      <w:r w:rsidRPr="004C0F11">
        <w:rPr>
          <w:rFonts w:ascii="Times New Roman" w:hAnsi="Times New Roman" w:cs="Times New Roman"/>
        </w:rPr>
        <w:t xml:space="preserve"> went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on the offense</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and sued to challenge</w:t>
      </w:r>
      <w:r>
        <w:rPr>
          <w:rFonts w:ascii="Times New Roman" w:hAnsi="Times New Roman" w:cs="Times New Roman"/>
        </w:rPr>
        <w:t xml:space="preserve"> this court decision</w:t>
      </w:r>
      <w:r w:rsidRPr="004C0F11">
        <w:rPr>
          <w:rFonts w:ascii="Times New Roman" w:hAnsi="Times New Roman" w:cs="Times New Roman"/>
        </w:rPr>
        <w:t xml:space="preserve"> and confirm USDA's </w:t>
      </w:r>
      <w:r>
        <w:rPr>
          <w:rFonts w:ascii="Times New Roman" w:hAnsi="Times New Roman" w:cs="Times New Roman"/>
        </w:rPr>
        <w:t>subsequent “</w:t>
      </w:r>
      <w:r w:rsidRPr="004C0F11">
        <w:rPr>
          <w:rFonts w:ascii="Times New Roman" w:hAnsi="Times New Roman" w:cs="Times New Roman"/>
        </w:rPr>
        <w:t>partial deregulation</w:t>
      </w:r>
      <w:r>
        <w:rPr>
          <w:rFonts w:ascii="Times New Roman" w:hAnsi="Times New Roman" w:cs="Times New Roman"/>
        </w:rPr>
        <w:t>”</w:t>
      </w:r>
      <w:r w:rsidRPr="004C0F11">
        <w:rPr>
          <w:rFonts w:ascii="Times New Roman" w:hAnsi="Times New Roman" w:cs="Times New Roman"/>
        </w:rPr>
        <w:t xml:space="preserve"> order pending completion of the</w:t>
      </w:r>
      <w:r>
        <w:rPr>
          <w:rFonts w:ascii="Times New Roman" w:hAnsi="Times New Roman" w:cs="Times New Roman"/>
        </w:rPr>
        <w:t xml:space="preserve"> court-ordered environmental impact statement (“</w:t>
      </w:r>
      <w:r w:rsidRPr="004C0F11">
        <w:rPr>
          <w:rFonts w:ascii="Times New Roman" w:hAnsi="Times New Roman" w:cs="Times New Roman"/>
        </w:rPr>
        <w:t>EIS</w:t>
      </w:r>
      <w:r>
        <w:rPr>
          <w:rFonts w:ascii="Times New Roman" w:hAnsi="Times New Roman" w:cs="Times New Roman"/>
        </w:rPr>
        <w:t>”)</w:t>
      </w:r>
      <w:r w:rsidR="00E57B95">
        <w:rPr>
          <w:rFonts w:ascii="Times New Roman" w:hAnsi="Times New Roman" w:cs="Times New Roman"/>
        </w:rPr>
        <w:t>.  Soon thereafter,</w:t>
      </w:r>
      <w:r w:rsidRPr="004C0F11">
        <w:rPr>
          <w:rFonts w:ascii="Times New Roman" w:hAnsi="Times New Roman" w:cs="Times New Roman"/>
        </w:rPr>
        <w:t xml:space="preserve"> the USDA issue</w:t>
      </w:r>
      <w:r>
        <w:rPr>
          <w:rFonts w:ascii="Times New Roman" w:hAnsi="Times New Roman" w:cs="Times New Roman"/>
        </w:rPr>
        <w:t>d</w:t>
      </w:r>
      <w:r w:rsidRPr="004C0F11">
        <w:rPr>
          <w:rFonts w:ascii="Times New Roman" w:hAnsi="Times New Roman" w:cs="Times New Roman"/>
        </w:rPr>
        <w:t xml:space="preserve"> a nationwide approval, making all pending litigation over RR Sugar Beets </w:t>
      </w:r>
      <w:r>
        <w:rPr>
          <w:rFonts w:ascii="Times New Roman" w:hAnsi="Times New Roman" w:cs="Times New Roman"/>
        </w:rPr>
        <w:t xml:space="preserve">utterly </w:t>
      </w:r>
      <w:r w:rsidRPr="004C0F11">
        <w:rPr>
          <w:rFonts w:ascii="Times New Roman" w:hAnsi="Times New Roman" w:cs="Times New Roman"/>
        </w:rPr>
        <w:t>moot.</w:t>
      </w:r>
      <w:r>
        <w:rPr>
          <w:rStyle w:val="FootnoteReference"/>
          <w:rFonts w:ascii="Times New Roman" w:hAnsi="Times New Roman" w:cs="Times New Roman"/>
        </w:rPr>
        <w:footnoteReference w:id="35"/>
      </w:r>
      <w:r w:rsidRPr="004C0F11">
        <w:rPr>
          <w:rFonts w:ascii="Times New Roman" w:hAnsi="Times New Roman" w:cs="Times New Roman"/>
        </w:rPr>
        <w:t xml:space="preserve"> </w:t>
      </w:r>
    </w:p>
    <w:p w14:paraId="2E190050" w14:textId="77777777" w:rsidR="00742281" w:rsidRDefault="00742281" w:rsidP="00742281">
      <w:pPr>
        <w:pStyle w:val="pxp"/>
        <w:spacing w:line="276" w:lineRule="auto"/>
        <w:ind w:firstLine="720"/>
        <w:rPr>
          <w:rFonts w:ascii="Times New Roman" w:hAnsi="Times New Roman" w:cs="Times New Roman"/>
        </w:rPr>
      </w:pPr>
    </w:p>
    <w:p w14:paraId="102DD901" w14:textId="0B80AD38" w:rsidR="00742281" w:rsidRPr="004C0F11" w:rsidRDefault="00742281" w:rsidP="00742281">
      <w:pPr>
        <w:pStyle w:val="pxp"/>
        <w:spacing w:line="276" w:lineRule="auto"/>
        <w:ind w:firstLine="720"/>
        <w:rPr>
          <w:rFonts w:ascii="Times New Roman" w:hAnsi="Times New Roman" w:cs="Times New Roman"/>
        </w:rPr>
      </w:pPr>
      <w:r w:rsidRPr="004C0F11">
        <w:rPr>
          <w:rFonts w:ascii="Times New Roman" w:hAnsi="Times New Roman" w:cs="Times New Roman"/>
        </w:rPr>
        <w:t>In its proposed rule</w:t>
      </w:r>
      <w:r>
        <w:rPr>
          <w:rFonts w:ascii="Times New Roman" w:hAnsi="Times New Roman" w:cs="Times New Roman"/>
        </w:rPr>
        <w:t xml:space="preserve"> for RR Sugar Beets</w:t>
      </w:r>
      <w:r w:rsidR="00E57B95">
        <w:rPr>
          <w:rFonts w:ascii="Times New Roman" w:hAnsi="Times New Roman" w:cs="Times New Roman"/>
        </w:rPr>
        <w:t xml:space="preserve"> (before issuing nationwide approval),</w:t>
      </w:r>
      <w:r w:rsidRPr="004C0F11">
        <w:rPr>
          <w:rFonts w:ascii="Times New Roman" w:hAnsi="Times New Roman" w:cs="Times New Roman"/>
        </w:rPr>
        <w:t xml:space="preserve"> USDA </w:t>
      </w:r>
      <w:r w:rsidR="00E57B95">
        <w:rPr>
          <w:rFonts w:ascii="Times New Roman" w:hAnsi="Times New Roman" w:cs="Times New Roman"/>
        </w:rPr>
        <w:t xml:space="preserve">seriously </w:t>
      </w:r>
      <w:r>
        <w:rPr>
          <w:rFonts w:ascii="Times New Roman" w:hAnsi="Times New Roman" w:cs="Times New Roman"/>
        </w:rPr>
        <w:t>considered granting “partial approval” that wou</w:t>
      </w:r>
      <w:r w:rsidR="00E57B95">
        <w:rPr>
          <w:rFonts w:ascii="Times New Roman" w:hAnsi="Times New Roman" w:cs="Times New Roman"/>
        </w:rPr>
        <w:t xml:space="preserve">ld have segregated these beets.  After hearing from Congress and growers and other stakeholders, however, </w:t>
      </w:r>
      <w:r>
        <w:rPr>
          <w:rFonts w:ascii="Times New Roman" w:hAnsi="Times New Roman" w:cs="Times New Roman"/>
        </w:rPr>
        <w:t xml:space="preserve">it decided to </w:t>
      </w:r>
      <w:r w:rsidRPr="004C0F11">
        <w:rPr>
          <w:rFonts w:ascii="Times New Roman" w:hAnsi="Times New Roman" w:cs="Times New Roman"/>
        </w:rPr>
        <w:t>allow RR Sugar Beets to be planted nationwide.</w:t>
      </w:r>
      <w:r>
        <w:rPr>
          <w:rFonts w:ascii="Times New Roman" w:hAnsi="Times New Roman" w:cs="Times New Roman"/>
        </w:rPr>
        <w:t xml:space="preserve"> This shows USDA as being willing to defer to states for segregation, and not dictate </w:t>
      </w:r>
      <w:r w:rsidR="00E57B95">
        <w:rPr>
          <w:rFonts w:ascii="Times New Roman" w:hAnsi="Times New Roman" w:cs="Times New Roman"/>
        </w:rPr>
        <w:t>regional segregation from</w:t>
      </w:r>
      <w:r>
        <w:rPr>
          <w:rFonts w:ascii="Times New Roman" w:hAnsi="Times New Roman" w:cs="Times New Roman"/>
        </w:rPr>
        <w:t xml:space="preserve"> </w:t>
      </w:r>
      <w:r w:rsidR="00E57B95">
        <w:rPr>
          <w:rFonts w:ascii="Times New Roman" w:hAnsi="Times New Roman" w:cs="Times New Roman"/>
        </w:rPr>
        <w:t xml:space="preserve">a </w:t>
      </w:r>
      <w:r>
        <w:rPr>
          <w:rFonts w:ascii="Times New Roman" w:hAnsi="Times New Roman" w:cs="Times New Roman"/>
        </w:rPr>
        <w:t xml:space="preserve">federal </w:t>
      </w:r>
      <w:r w:rsidR="00E57B95">
        <w:rPr>
          <w:rFonts w:ascii="Times New Roman" w:hAnsi="Times New Roman" w:cs="Times New Roman"/>
        </w:rPr>
        <w:t>regulation</w:t>
      </w:r>
      <w:r>
        <w:rPr>
          <w:rFonts w:ascii="Times New Roman" w:hAnsi="Times New Roman" w:cs="Times New Roman"/>
        </w:rPr>
        <w:t>.</w:t>
      </w:r>
      <w:r w:rsidRPr="00501B67">
        <w:rPr>
          <w:rFonts w:ascii="Times New Roman" w:hAnsi="Times New Roman" w:cs="Times New Roman"/>
        </w:rPr>
        <w:t xml:space="preserve"> </w:t>
      </w:r>
      <w:r>
        <w:rPr>
          <w:rFonts w:ascii="Times New Roman" w:hAnsi="Times New Roman" w:cs="Times New Roman"/>
        </w:rPr>
        <w:t>To avoid further problems, however,</w:t>
      </w:r>
      <w:r w:rsidRPr="004C0F11">
        <w:rPr>
          <w:rFonts w:ascii="Times New Roman" w:hAnsi="Times New Roman" w:cs="Times New Roman"/>
        </w:rPr>
        <w:t xml:space="preserve"> </w:t>
      </w:r>
      <w:r>
        <w:rPr>
          <w:rFonts w:ascii="Times New Roman" w:hAnsi="Times New Roman" w:cs="Times New Roman"/>
        </w:rPr>
        <w:t>Monsanto</w:t>
      </w:r>
      <w:r w:rsidRPr="004C0F11">
        <w:rPr>
          <w:rFonts w:ascii="Times New Roman" w:hAnsi="Times New Roman" w:cs="Times New Roman"/>
        </w:rPr>
        <w:t xml:space="preserve"> </w:t>
      </w:r>
      <w:r>
        <w:rPr>
          <w:rFonts w:ascii="Times New Roman" w:hAnsi="Times New Roman" w:cs="Times New Roman"/>
        </w:rPr>
        <w:t>decided to have a regionally</w:t>
      </w:r>
      <w:r w:rsidRPr="004C0F11">
        <w:rPr>
          <w:rFonts w:ascii="Times New Roman" w:hAnsi="Times New Roman" w:cs="Times New Roman"/>
        </w:rPr>
        <w:t xml:space="preserve"> limited launch </w:t>
      </w:r>
      <w:r w:rsidR="00E57B95">
        <w:rPr>
          <w:rFonts w:ascii="Times New Roman" w:hAnsi="Times New Roman" w:cs="Times New Roman"/>
        </w:rPr>
        <w:t xml:space="preserve">after all </w:t>
      </w:r>
      <w:r w:rsidRPr="004C0F11">
        <w:rPr>
          <w:rFonts w:ascii="Times New Roman" w:hAnsi="Times New Roman" w:cs="Times New Roman"/>
        </w:rPr>
        <w:t>(e.g. only particular regions, avoiding seed production in the Pacific Northwest).</w:t>
      </w:r>
    </w:p>
    <w:p w14:paraId="12D931A6" w14:textId="77F073C0" w:rsidR="00742281" w:rsidRPr="00742281" w:rsidRDefault="00742281" w:rsidP="00742281"/>
    <w:p w14:paraId="3D443680" w14:textId="77777777" w:rsidR="00E57B95" w:rsidRDefault="00BA7D74" w:rsidP="00742281">
      <w:pPr>
        <w:spacing w:line="276" w:lineRule="auto"/>
        <w:ind w:firstLine="720"/>
        <w:rPr>
          <w:rFonts w:ascii="Times New Roman" w:hAnsi="Times New Roman"/>
        </w:rPr>
      </w:pPr>
      <w:r>
        <w:rPr>
          <w:rFonts w:ascii="Times New Roman" w:hAnsi="Times New Roman" w:cs="Times New Roman"/>
        </w:rPr>
        <w:t xml:space="preserve">Commentators, including </w:t>
      </w:r>
      <w:r w:rsidR="002C7B06">
        <w:rPr>
          <w:rFonts w:ascii="Times New Roman" w:hAnsi="Times New Roman" w:cs="Times New Roman"/>
        </w:rPr>
        <w:t xml:space="preserve">Professor </w:t>
      </w:r>
      <w:r>
        <w:rPr>
          <w:rFonts w:ascii="Times New Roman" w:hAnsi="Times New Roman" w:cs="Times New Roman"/>
        </w:rPr>
        <w:t xml:space="preserve">Alison Peck, </w:t>
      </w:r>
      <w:r w:rsidR="002C7B06">
        <w:rPr>
          <w:rFonts w:ascii="Times New Roman" w:hAnsi="Times New Roman" w:cs="Times New Roman"/>
        </w:rPr>
        <w:t xml:space="preserve">have published ideas that </w:t>
      </w:r>
      <w:r>
        <w:rPr>
          <w:rFonts w:ascii="Times New Roman" w:hAnsi="Times New Roman" w:cs="Times New Roman"/>
        </w:rPr>
        <w:t>interpreted this</w:t>
      </w:r>
      <w:r w:rsidR="002C7B06">
        <w:rPr>
          <w:rFonts w:ascii="Times New Roman" w:hAnsi="Times New Roman" w:cs="Times New Roman"/>
        </w:rPr>
        <w:t xml:space="preserve"> </w:t>
      </w:r>
      <w:proofErr w:type="spellStart"/>
      <w:r w:rsidR="00EA69A1" w:rsidRPr="002C7B06">
        <w:rPr>
          <w:rFonts w:ascii="Times New Roman" w:hAnsi="Times New Roman" w:cs="Times New Roman"/>
          <w:i/>
        </w:rPr>
        <w:t>Geertson</w:t>
      </w:r>
      <w:proofErr w:type="spellEnd"/>
      <w:r>
        <w:rPr>
          <w:rFonts w:ascii="Times New Roman" w:hAnsi="Times New Roman" w:cs="Times New Roman"/>
        </w:rPr>
        <w:t xml:space="preserve"> decision as opening the door to </w:t>
      </w:r>
      <w:r w:rsidR="00E57B95">
        <w:rPr>
          <w:rFonts w:ascii="Times New Roman" w:hAnsi="Times New Roman" w:cs="Times New Roman"/>
        </w:rPr>
        <w:t xml:space="preserve">common law </w:t>
      </w:r>
      <w:r>
        <w:rPr>
          <w:rFonts w:ascii="Times New Roman" w:hAnsi="Times New Roman" w:cs="Times New Roman"/>
        </w:rPr>
        <w:t xml:space="preserve">compensation </w:t>
      </w:r>
      <w:r w:rsidR="00E57B95">
        <w:rPr>
          <w:rFonts w:ascii="Times New Roman" w:hAnsi="Times New Roman" w:cs="Times New Roman"/>
        </w:rPr>
        <w:t xml:space="preserve">or regulatory protection </w:t>
      </w:r>
      <w:r>
        <w:rPr>
          <w:rFonts w:ascii="Times New Roman" w:hAnsi="Times New Roman" w:cs="Times New Roman"/>
        </w:rPr>
        <w:t xml:space="preserve">for non-GMO growers. </w:t>
      </w:r>
      <w:r w:rsidRPr="00B728AB">
        <w:rPr>
          <w:rFonts w:ascii="Times New Roman" w:hAnsi="Times New Roman"/>
        </w:rPr>
        <w:t>Peck suggested that “APHIS will have to begin giving a harder look at permitting or deregulating the planting of GE varieties and their potential to contaminate conventional and organic crops”, and that APHIS could, in some cases, “shift some of the burden of segregation for coexistence—and potentially more liability for contamination—onto those growers of GE varieties.”</w:t>
      </w:r>
      <w:r w:rsidRPr="00B728AB">
        <w:rPr>
          <w:rStyle w:val="FootnoteReference"/>
          <w:rFonts w:ascii="Times New Roman" w:hAnsi="Times New Roman"/>
        </w:rPr>
        <w:footnoteReference w:id="36"/>
      </w:r>
      <w:r w:rsidR="00742281">
        <w:rPr>
          <w:rFonts w:ascii="Times New Roman" w:hAnsi="Times New Roman"/>
        </w:rPr>
        <w:t xml:space="preserve"> </w:t>
      </w:r>
    </w:p>
    <w:p w14:paraId="5494D14C" w14:textId="77777777" w:rsidR="00E57B95" w:rsidRDefault="00E57B95" w:rsidP="00742281">
      <w:pPr>
        <w:spacing w:line="276" w:lineRule="auto"/>
        <w:ind w:firstLine="720"/>
        <w:rPr>
          <w:rFonts w:ascii="Times New Roman" w:hAnsi="Times New Roman"/>
        </w:rPr>
      </w:pPr>
    </w:p>
    <w:p w14:paraId="24B78398" w14:textId="26B3A384" w:rsidR="00742281" w:rsidRDefault="00742281" w:rsidP="00E57B95">
      <w:pPr>
        <w:spacing w:line="276" w:lineRule="auto"/>
        <w:ind w:firstLine="500"/>
        <w:rPr>
          <w:rFonts w:ascii="Times New Roman" w:hAnsi="Times New Roman"/>
        </w:rPr>
      </w:pPr>
      <w:r>
        <w:rPr>
          <w:rFonts w:ascii="Times New Roman" w:hAnsi="Times New Roman"/>
        </w:rPr>
        <w:t xml:space="preserve">Professor Peck </w:t>
      </w:r>
      <w:r w:rsidR="00E57B95">
        <w:rPr>
          <w:rFonts w:ascii="Times New Roman" w:hAnsi="Times New Roman"/>
        </w:rPr>
        <w:t xml:space="preserve">further </w:t>
      </w:r>
      <w:r w:rsidRPr="00B728AB">
        <w:rPr>
          <w:rFonts w:ascii="Times New Roman" w:hAnsi="Times New Roman"/>
        </w:rPr>
        <w:t>suggest</w:t>
      </w:r>
      <w:r>
        <w:rPr>
          <w:rFonts w:ascii="Times New Roman" w:hAnsi="Times New Roman"/>
        </w:rPr>
        <w:t>ed</w:t>
      </w:r>
      <w:r w:rsidRPr="00B728AB">
        <w:rPr>
          <w:rFonts w:ascii="Times New Roman" w:hAnsi="Times New Roman"/>
        </w:rPr>
        <w:t xml:space="preserve"> that NEPA litigation may signal the end of “fencing out” biotech crops</w:t>
      </w:r>
      <w:r>
        <w:rPr>
          <w:rFonts w:ascii="Times New Roman" w:hAnsi="Times New Roman"/>
        </w:rPr>
        <w:t xml:space="preserve"> (where organic or non-GMO growers plant buffers to prevent pollination) around </w:t>
      </w:r>
      <w:r w:rsidRPr="00B728AB">
        <w:rPr>
          <w:rFonts w:ascii="Times New Roman" w:hAnsi="Times New Roman"/>
        </w:rPr>
        <w:t>the U.S.</w:t>
      </w:r>
      <w:r w:rsidRPr="00B728AB">
        <w:rPr>
          <w:rStyle w:val="FootnoteReference"/>
          <w:rFonts w:ascii="Times New Roman" w:hAnsi="Times New Roman"/>
        </w:rPr>
        <w:footnoteReference w:id="37"/>
      </w:r>
      <w:r w:rsidRPr="00B728AB">
        <w:rPr>
          <w:rFonts w:ascii="Times New Roman" w:hAnsi="Times New Roman"/>
        </w:rPr>
        <w:t xml:space="preserve"> Exploring possible legal rationales for imposing a duty to “fence in” on a grower of biotech crops, she first suggests that the </w:t>
      </w:r>
      <w:proofErr w:type="spellStart"/>
      <w:r w:rsidRPr="00B728AB">
        <w:rPr>
          <w:rFonts w:ascii="Times New Roman" w:hAnsi="Times New Roman"/>
          <w:i/>
        </w:rPr>
        <w:t>Geertson</w:t>
      </w:r>
      <w:proofErr w:type="spellEnd"/>
      <w:r w:rsidRPr="00B728AB">
        <w:rPr>
          <w:rFonts w:ascii="Times New Roman" w:hAnsi="Times New Roman"/>
        </w:rPr>
        <w:t xml:space="preserve"> decision may have eliminated a “presumption in favor of the fence out rule” which would enable the USDA to require containment of biotech crops it had already approved.</w:t>
      </w:r>
      <w:r w:rsidRPr="00B728AB">
        <w:rPr>
          <w:rStyle w:val="FootnoteReference"/>
          <w:rFonts w:ascii="Times New Roman" w:hAnsi="Times New Roman"/>
        </w:rPr>
        <w:footnoteReference w:id="38"/>
      </w:r>
      <w:r w:rsidRPr="00B728AB">
        <w:rPr>
          <w:rFonts w:ascii="Times New Roman" w:hAnsi="Times New Roman"/>
        </w:rPr>
        <w:t xml:space="preserve"> </w:t>
      </w:r>
    </w:p>
    <w:p w14:paraId="636470C7" w14:textId="142D30D8" w:rsidR="00742281" w:rsidRDefault="00742281" w:rsidP="00742281">
      <w:pPr>
        <w:spacing w:line="276" w:lineRule="auto"/>
        <w:ind w:firstLine="720"/>
        <w:rPr>
          <w:rFonts w:ascii="Times New Roman" w:hAnsi="Times New Roman"/>
        </w:rPr>
      </w:pPr>
      <w:r w:rsidRPr="00B728AB">
        <w:rPr>
          <w:rFonts w:ascii="Times New Roman" w:hAnsi="Times New Roman"/>
        </w:rPr>
        <w:t xml:space="preserve"> </w:t>
      </w:r>
    </w:p>
    <w:p w14:paraId="1D96E298" w14:textId="44F74829" w:rsidR="00742281" w:rsidRDefault="00742281" w:rsidP="00742281">
      <w:pPr>
        <w:pStyle w:val="pxp"/>
        <w:spacing w:line="276" w:lineRule="auto"/>
        <w:ind w:firstLine="500"/>
        <w:rPr>
          <w:rFonts w:ascii="Times New Roman" w:hAnsi="Times New Roman"/>
        </w:rPr>
      </w:pPr>
      <w:r>
        <w:rPr>
          <w:rFonts w:ascii="Times New Roman" w:hAnsi="Times New Roman"/>
        </w:rPr>
        <w:t>She acknowledges</w:t>
      </w:r>
      <w:r w:rsidRPr="00B728AB">
        <w:rPr>
          <w:rFonts w:ascii="Times New Roman" w:hAnsi="Times New Roman"/>
        </w:rPr>
        <w:t xml:space="preserve"> that </w:t>
      </w:r>
      <w:proofErr w:type="spellStart"/>
      <w:r w:rsidRPr="00B728AB">
        <w:rPr>
          <w:rFonts w:ascii="Times New Roman" w:hAnsi="Times New Roman"/>
          <w:i/>
          <w:iCs/>
        </w:rPr>
        <w:t>Geertson</w:t>
      </w:r>
      <w:proofErr w:type="spellEnd"/>
      <w:r w:rsidRPr="00B728AB">
        <w:rPr>
          <w:rFonts w:ascii="Times New Roman" w:hAnsi="Times New Roman"/>
          <w:i/>
          <w:iCs/>
        </w:rPr>
        <w:t xml:space="preserve"> </w:t>
      </w:r>
      <w:r w:rsidRPr="00B728AB">
        <w:rPr>
          <w:rFonts w:ascii="Times New Roman" w:hAnsi="Times New Roman"/>
        </w:rPr>
        <w:t xml:space="preserve">does not expressly require APHIS to “fence in” biotech crops, </w:t>
      </w:r>
      <w:r>
        <w:rPr>
          <w:rFonts w:ascii="Times New Roman" w:hAnsi="Times New Roman"/>
        </w:rPr>
        <w:t>but</w:t>
      </w:r>
      <w:r w:rsidRPr="00B728AB">
        <w:rPr>
          <w:rFonts w:ascii="Times New Roman" w:hAnsi="Times New Roman"/>
        </w:rPr>
        <w:t xml:space="preserve"> suggests: </w:t>
      </w:r>
    </w:p>
    <w:p w14:paraId="5D982037" w14:textId="77777777" w:rsidR="00742281" w:rsidRPr="00742281" w:rsidRDefault="00742281" w:rsidP="00742281"/>
    <w:p w14:paraId="6AF2C78E" w14:textId="407FA794" w:rsidR="00742281" w:rsidRPr="00742281" w:rsidRDefault="00742281" w:rsidP="00742281">
      <w:pPr>
        <w:ind w:left="500"/>
      </w:pPr>
      <w:proofErr w:type="spellStart"/>
      <w:r w:rsidRPr="00B728AB">
        <w:rPr>
          <w:rFonts w:ascii="Times New Roman" w:hAnsi="Times New Roman"/>
          <w:i/>
          <w:iCs/>
        </w:rPr>
        <w:t>Geertson</w:t>
      </w:r>
      <w:proofErr w:type="spellEnd"/>
      <w:r w:rsidRPr="00B728AB">
        <w:rPr>
          <w:rFonts w:ascii="Times New Roman" w:hAnsi="Times New Roman"/>
          <w:i/>
          <w:iCs/>
        </w:rPr>
        <w:t xml:space="preserve"> </w:t>
      </w:r>
      <w:r w:rsidRPr="00B728AB">
        <w:rPr>
          <w:rFonts w:ascii="Times New Roman" w:hAnsi="Times New Roman"/>
        </w:rPr>
        <w:t>does, however, require that APHIS make determinations supporting the reasonableness of whatever coexistence standard it relies upon–whether it be a “fence out” rule placing the burden on growers of non-GE crops, a “fence in” rule placing the burden on growers or developers of GE varieties, or some combination.</w:t>
      </w:r>
      <w:r w:rsidRPr="00B728AB">
        <w:rPr>
          <w:rStyle w:val="FootnoteReference"/>
          <w:rFonts w:ascii="Times New Roman" w:hAnsi="Times New Roman"/>
        </w:rPr>
        <w:footnoteReference w:id="39"/>
      </w:r>
      <w:r w:rsidRPr="00B728AB">
        <w:rPr>
          <w:rFonts w:ascii="Times New Roman" w:hAnsi="Times New Roman"/>
        </w:rPr>
        <w:t xml:space="preserve">  </w:t>
      </w:r>
    </w:p>
    <w:p w14:paraId="2FED9BA8" w14:textId="77777777" w:rsidR="00742281" w:rsidRDefault="00742281" w:rsidP="00742281">
      <w:pPr>
        <w:pStyle w:val="pxp"/>
        <w:spacing w:line="276" w:lineRule="auto"/>
        <w:ind w:left="500" w:firstLine="500"/>
        <w:rPr>
          <w:rFonts w:ascii="Times New Roman" w:hAnsi="Times New Roman"/>
        </w:rPr>
      </w:pPr>
    </w:p>
    <w:p w14:paraId="2397051F" w14:textId="77777777" w:rsidR="00E57B95" w:rsidRDefault="00742281" w:rsidP="00EA664C">
      <w:pPr>
        <w:pStyle w:val="pxp"/>
        <w:spacing w:line="276" w:lineRule="auto"/>
        <w:ind w:firstLine="500"/>
        <w:rPr>
          <w:rFonts w:ascii="Times New Roman" w:hAnsi="Times New Roman" w:cs="Times New Roman"/>
        </w:rPr>
      </w:pPr>
      <w:r>
        <w:rPr>
          <w:rFonts w:ascii="Times New Roman" w:hAnsi="Times New Roman"/>
        </w:rPr>
        <w:t xml:space="preserve">In </w:t>
      </w:r>
      <w:r w:rsidR="00BA7D74" w:rsidRPr="00B728AB">
        <w:rPr>
          <w:rFonts w:ascii="Times New Roman" w:hAnsi="Times New Roman"/>
        </w:rPr>
        <w:t xml:space="preserve">other words, the </w:t>
      </w:r>
      <w:proofErr w:type="spellStart"/>
      <w:r w:rsidR="00BA7D74" w:rsidRPr="00B728AB">
        <w:rPr>
          <w:rFonts w:ascii="Times New Roman" w:hAnsi="Times New Roman"/>
          <w:i/>
        </w:rPr>
        <w:t>Geertson</w:t>
      </w:r>
      <w:proofErr w:type="spellEnd"/>
      <w:r w:rsidR="00BA7D74" w:rsidRPr="00B728AB">
        <w:rPr>
          <w:rFonts w:ascii="Times New Roman" w:hAnsi="Times New Roman"/>
          <w:i/>
        </w:rPr>
        <w:t xml:space="preserve"> </w:t>
      </w:r>
      <w:r w:rsidR="00BA7D74" w:rsidRPr="00B728AB">
        <w:rPr>
          <w:rFonts w:ascii="Times New Roman" w:hAnsi="Times New Roman"/>
        </w:rPr>
        <w:t>case could set the stage for segregation – make biotech growers fence in their USDA-approved biotech crops in order to protect the economic interests of their non-GMO neighbors</w:t>
      </w:r>
      <w:r w:rsidR="00BA7D74">
        <w:rPr>
          <w:rFonts w:ascii="Times New Roman" w:hAnsi="Times New Roman"/>
        </w:rPr>
        <w:t>.</w:t>
      </w:r>
      <w:r w:rsidR="00EA664C">
        <w:rPr>
          <w:rFonts w:ascii="Times New Roman" w:hAnsi="Times New Roman" w:cs="Times New Roman"/>
        </w:rPr>
        <w:t xml:space="preserve"> While t</w:t>
      </w:r>
      <w:r w:rsidR="007B3CE9" w:rsidRPr="004C0F11">
        <w:rPr>
          <w:rFonts w:ascii="Times New Roman" w:hAnsi="Times New Roman" w:cs="Times New Roman"/>
        </w:rPr>
        <w:t xml:space="preserve">his decision has led to </w:t>
      </w:r>
      <w:r w:rsidR="00EA664C">
        <w:rPr>
          <w:rFonts w:ascii="Times New Roman" w:hAnsi="Times New Roman" w:cs="Times New Roman"/>
        </w:rPr>
        <w:t>another decision in a federal court</w:t>
      </w:r>
      <w:r w:rsidR="007B3CE9" w:rsidRPr="004C0F11">
        <w:rPr>
          <w:rFonts w:ascii="Times New Roman" w:hAnsi="Times New Roman" w:cs="Times New Roman"/>
        </w:rPr>
        <w:t xml:space="preserve"> that vacate</w:t>
      </w:r>
      <w:r w:rsidR="00EA664C">
        <w:rPr>
          <w:rFonts w:ascii="Times New Roman" w:hAnsi="Times New Roman" w:cs="Times New Roman"/>
        </w:rPr>
        <w:t>d</w:t>
      </w:r>
      <w:r w:rsidR="007B3CE9" w:rsidRPr="004C0F11">
        <w:rPr>
          <w:rFonts w:ascii="Times New Roman" w:hAnsi="Times New Roman" w:cs="Times New Roman"/>
        </w:rPr>
        <w:t xml:space="preserve"> USDA approval and require</w:t>
      </w:r>
      <w:r w:rsidR="00EA664C">
        <w:rPr>
          <w:rFonts w:ascii="Times New Roman" w:hAnsi="Times New Roman" w:cs="Times New Roman"/>
        </w:rPr>
        <w:t>d</w:t>
      </w:r>
      <w:r w:rsidR="007B3CE9" w:rsidRPr="004C0F11">
        <w:rPr>
          <w:rFonts w:ascii="Times New Roman" w:hAnsi="Times New Roman" w:cs="Times New Roman"/>
        </w:rPr>
        <w:t xml:space="preserve"> it to assess environmental impacts that are </w:t>
      </w:r>
      <w:r w:rsidR="007B3CE9" w:rsidRPr="004C0F11">
        <w:rPr>
          <w:rStyle w:val="pxvis"/>
          <w:rFonts w:ascii="Times New Roman" w:hAnsi="Times New Roman" w:cs="Times New Roman"/>
          <w:b w:val="0"/>
          <w:bCs w:val="0"/>
          <w:sz w:val="24"/>
          <w:szCs w:val="24"/>
        </w:rPr>
        <w:t>“</w:t>
      </w:r>
      <w:r w:rsidR="007B3CE9" w:rsidRPr="004C0F11">
        <w:rPr>
          <w:rFonts w:ascii="Times New Roman" w:hAnsi="Times New Roman" w:cs="Times New Roman"/>
        </w:rPr>
        <w:t>interrelated</w:t>
      </w:r>
      <w:r w:rsidR="007B3CE9" w:rsidRPr="004C0F11">
        <w:rPr>
          <w:rStyle w:val="pxvis"/>
          <w:rFonts w:ascii="Times New Roman" w:hAnsi="Times New Roman" w:cs="Times New Roman"/>
          <w:b w:val="0"/>
          <w:bCs w:val="0"/>
          <w:sz w:val="24"/>
          <w:szCs w:val="24"/>
        </w:rPr>
        <w:t>”</w:t>
      </w:r>
      <w:r w:rsidR="007B3CE9" w:rsidRPr="004C0F11">
        <w:rPr>
          <w:rFonts w:ascii="Times New Roman" w:hAnsi="Times New Roman" w:cs="Times New Roman"/>
        </w:rPr>
        <w:t xml:space="preserve"> with economic impacts</w:t>
      </w:r>
      <w:r w:rsidR="00EA664C">
        <w:rPr>
          <w:rFonts w:ascii="Times New Roman" w:hAnsi="Times New Roman" w:cs="Times New Roman"/>
        </w:rPr>
        <w:t>, there has not been a run on biotech growers from the non-GMO corner in the United States</w:t>
      </w:r>
      <w:r w:rsidR="00E57B95">
        <w:rPr>
          <w:rFonts w:ascii="Times New Roman" w:hAnsi="Times New Roman" w:cs="Times New Roman"/>
        </w:rPr>
        <w:t>.</w:t>
      </w:r>
    </w:p>
    <w:p w14:paraId="4E6AC1E5" w14:textId="77777777" w:rsidR="00E57B95" w:rsidRDefault="00E57B95" w:rsidP="00EA664C">
      <w:pPr>
        <w:pStyle w:val="pxp"/>
        <w:spacing w:line="276" w:lineRule="auto"/>
        <w:ind w:firstLine="500"/>
        <w:rPr>
          <w:rFonts w:ascii="Times New Roman" w:hAnsi="Times New Roman" w:cs="Times New Roman"/>
        </w:rPr>
      </w:pPr>
    </w:p>
    <w:p w14:paraId="0F064769" w14:textId="4650876D" w:rsidR="00F35195" w:rsidRDefault="00E57B95" w:rsidP="00E57B95">
      <w:pPr>
        <w:pStyle w:val="Default"/>
        <w:spacing w:line="276" w:lineRule="auto"/>
        <w:ind w:firstLine="500"/>
        <w:rPr>
          <w:rFonts w:ascii="Times New Roman" w:hAnsi="Times New Roman" w:cs="Times New Roman"/>
        </w:rPr>
      </w:pPr>
      <w:r>
        <w:t xml:space="preserve">Indeed, the only case in any common law jurisdiction worldwide is the </w:t>
      </w:r>
      <w:r w:rsidRPr="00E57B95">
        <w:rPr>
          <w:i/>
        </w:rPr>
        <w:t>Marsh v. Baxter</w:t>
      </w:r>
      <w:r>
        <w:t xml:space="preserve"> case in Australia, where the court sided with the biotech grower and told the organic grower who claimed economic loss that the problem lay with the unreasonable “zero tolerance” for GM content standard imposed in Australia for organic certification.</w:t>
      </w:r>
      <w:r>
        <w:rPr>
          <w:rFonts w:ascii="Times New Roman" w:hAnsi="Times New Roman" w:cs="Times New Roman"/>
          <w:color w:val="auto"/>
        </w:rPr>
        <w:t xml:space="preserve"> There,</w:t>
      </w:r>
      <w:r w:rsidR="00EA664C">
        <w:rPr>
          <w:rFonts w:ascii="Times New Roman" w:hAnsi="Times New Roman" w:cs="Times New Roman"/>
        </w:rPr>
        <w:t xml:space="preserve"> t</w:t>
      </w:r>
      <w:r>
        <w:rPr>
          <w:rFonts w:ascii="Times New Roman" w:hAnsi="Times New Roman" w:cs="Times New Roman"/>
        </w:rPr>
        <w:t>he biotech grower won on appeal and the organic grower was left to sue his certifier for being so unreasonable</w:t>
      </w:r>
      <w:r w:rsidR="00EA664C">
        <w:rPr>
          <w:rFonts w:ascii="Times New Roman" w:hAnsi="Times New Roman" w:cs="Times New Roman"/>
        </w:rPr>
        <w:t>.</w:t>
      </w:r>
      <w:r w:rsidR="00EA664C">
        <w:rPr>
          <w:rStyle w:val="FootnoteReference"/>
          <w:rFonts w:ascii="Times New Roman" w:hAnsi="Times New Roman" w:cs="Times New Roman"/>
        </w:rPr>
        <w:footnoteReference w:id="40"/>
      </w:r>
    </w:p>
    <w:p w14:paraId="309CC351" w14:textId="77777777" w:rsidR="0083502E" w:rsidRDefault="0083502E" w:rsidP="0083502E">
      <w:pPr>
        <w:spacing w:line="276" w:lineRule="auto"/>
        <w:ind w:firstLine="720"/>
        <w:rPr>
          <w:rFonts w:ascii="Times New Roman" w:hAnsi="Times New Roman"/>
        </w:rPr>
      </w:pPr>
    </w:p>
    <w:p w14:paraId="08FDB58C" w14:textId="77777777" w:rsidR="0083502E" w:rsidRDefault="0083502E" w:rsidP="0083502E">
      <w:pPr>
        <w:spacing w:line="276" w:lineRule="auto"/>
        <w:ind w:firstLine="720"/>
        <w:rPr>
          <w:rFonts w:ascii="Times New Roman" w:hAnsi="Times New Roman"/>
        </w:rPr>
      </w:pPr>
      <w:r w:rsidRPr="00B728AB">
        <w:rPr>
          <w:rFonts w:ascii="Times New Roman" w:hAnsi="Times New Roman"/>
        </w:rPr>
        <w:t>It also seems reasonably clear that the practical implications of imposing any such duty—state or federal—to prevent migration from biotech crops lacks a compelling ethical case for any such state or federal action.  Fairness is a concept that runs both ways between two growers, and the biotech grower can make a convincing fairness argument of his own if he does not get any payment for steps taken—like a one-mile buffer—to preserve the purity of his neighbor’s crop.</w:t>
      </w:r>
    </w:p>
    <w:p w14:paraId="1A683AAA" w14:textId="77777777" w:rsidR="0083502E" w:rsidRDefault="0083502E" w:rsidP="00E57B95">
      <w:pPr>
        <w:pStyle w:val="Default"/>
        <w:spacing w:line="276" w:lineRule="auto"/>
        <w:ind w:firstLine="500"/>
        <w:rPr>
          <w:rFonts w:ascii="Times New Roman" w:hAnsi="Times New Roman" w:cs="Times New Roman"/>
        </w:rPr>
      </w:pPr>
    </w:p>
    <w:p w14:paraId="408E923C" w14:textId="054E015C" w:rsidR="00742281" w:rsidRPr="00B728AB" w:rsidRDefault="00742281" w:rsidP="00E57B95">
      <w:pPr>
        <w:spacing w:line="276" w:lineRule="auto"/>
        <w:rPr>
          <w:rFonts w:ascii="Times New Roman" w:hAnsi="Times New Roman"/>
        </w:rPr>
      </w:pPr>
    </w:p>
    <w:p w14:paraId="301D4714" w14:textId="66AAF405" w:rsidR="001E7FEC" w:rsidRDefault="00AD4B0F" w:rsidP="00742281">
      <w:pPr>
        <w:spacing w:line="276" w:lineRule="auto"/>
        <w:ind w:firstLine="720"/>
        <w:rPr>
          <w:rFonts w:ascii="Times New Roman" w:hAnsi="Times New Roman"/>
        </w:rPr>
      </w:pPr>
      <w:r>
        <w:rPr>
          <w:rFonts w:ascii="Times New Roman" w:hAnsi="Times New Roman"/>
        </w:rPr>
        <w:t>In reaction to NEPA cases, APHIS and USDA held discussions about coexistence and how to address supposed impacts to the Non-GMO and organic sectors in the U.S.  Toward that end, t</w:t>
      </w:r>
      <w:r w:rsidR="00742281">
        <w:rPr>
          <w:rFonts w:ascii="Times New Roman" w:hAnsi="Times New Roman"/>
        </w:rPr>
        <w:t xml:space="preserve">he United States Department of Agriculture’s </w:t>
      </w:r>
      <w:r w:rsidR="00742281" w:rsidRPr="00B728AB">
        <w:rPr>
          <w:rFonts w:ascii="Times New Roman" w:hAnsi="Times New Roman"/>
        </w:rPr>
        <w:t>Advisory Committee on Biotechnology and 21</w:t>
      </w:r>
      <w:r w:rsidR="00742281">
        <w:rPr>
          <w:rFonts w:ascii="Times New Roman" w:hAnsi="Times New Roman"/>
        </w:rPr>
        <w:t>st Century Agriculture (</w:t>
      </w:r>
      <w:r>
        <w:rPr>
          <w:rFonts w:ascii="Times New Roman" w:hAnsi="Times New Roman"/>
        </w:rPr>
        <w:t>“</w:t>
      </w:r>
      <w:r w:rsidR="00742281">
        <w:rPr>
          <w:rFonts w:ascii="Times New Roman" w:hAnsi="Times New Roman"/>
        </w:rPr>
        <w:t>AC21</w:t>
      </w:r>
      <w:r>
        <w:rPr>
          <w:rFonts w:ascii="Times New Roman" w:hAnsi="Times New Roman"/>
        </w:rPr>
        <w:t>”</w:t>
      </w:r>
      <w:proofErr w:type="gramStart"/>
      <w:r w:rsidR="00742281">
        <w:rPr>
          <w:rFonts w:ascii="Times New Roman" w:hAnsi="Times New Roman"/>
        </w:rPr>
        <w:t>)</w:t>
      </w:r>
      <w:proofErr w:type="gramEnd"/>
      <w:r w:rsidR="00742281" w:rsidRPr="00B728AB">
        <w:rPr>
          <w:rStyle w:val="FootnoteReference"/>
          <w:rFonts w:ascii="Times New Roman" w:hAnsi="Times New Roman"/>
        </w:rPr>
        <w:footnoteReference w:id="41"/>
      </w:r>
      <w:r w:rsidR="00742281" w:rsidRPr="00B728AB">
        <w:rPr>
          <w:rFonts w:ascii="Times New Roman" w:hAnsi="Times New Roman"/>
        </w:rPr>
        <w:t xml:space="preserve">met in </w:t>
      </w:r>
      <w:r w:rsidR="00742281">
        <w:rPr>
          <w:rFonts w:ascii="Times New Roman" w:hAnsi="Times New Roman"/>
        </w:rPr>
        <w:t xml:space="preserve">2011 (and recently reconvened) </w:t>
      </w:r>
      <w:r w:rsidR="00742281" w:rsidRPr="00B728AB">
        <w:rPr>
          <w:rFonts w:ascii="Times New Roman" w:hAnsi="Times New Roman"/>
        </w:rPr>
        <w:t>to work on coexistence between biotech and organic agricultural production methods.</w:t>
      </w:r>
      <w:r w:rsidR="00742281" w:rsidRPr="00B728AB">
        <w:rPr>
          <w:rStyle w:val="FootnoteReference"/>
          <w:rFonts w:ascii="Times New Roman" w:hAnsi="Times New Roman"/>
        </w:rPr>
        <w:footnoteReference w:id="42"/>
      </w:r>
      <w:r w:rsidR="00742281" w:rsidRPr="00B728AB">
        <w:rPr>
          <w:rFonts w:ascii="Times New Roman" w:hAnsi="Times New Roman"/>
        </w:rPr>
        <w:t xml:space="preserve"> </w:t>
      </w:r>
      <w:r w:rsidR="00742281">
        <w:rPr>
          <w:rFonts w:ascii="Times New Roman" w:hAnsi="Times New Roman"/>
        </w:rPr>
        <w:t xml:space="preserve"> The AC 21 report stated: </w:t>
      </w:r>
      <w:r w:rsidR="00742281" w:rsidRPr="00B728AB">
        <w:rPr>
          <w:rFonts w:ascii="Times New Roman" w:hAnsi="Times New Roman"/>
        </w:rPr>
        <w:t>“The legal boundaries of common law are necessarily vague and adaptable to meet new situations, while the USDA’s legal authority derives from statute and operates in a federal system that generally leaves land use, nuisance, and contract law to the 50 states.”</w:t>
      </w:r>
      <w:r w:rsidR="00742281" w:rsidRPr="00B728AB">
        <w:rPr>
          <w:rStyle w:val="FootnoteReference"/>
          <w:rFonts w:ascii="Times New Roman" w:hAnsi="Times New Roman"/>
        </w:rPr>
        <w:footnoteReference w:id="43"/>
      </w:r>
      <w:r w:rsidR="00742281" w:rsidRPr="00B728AB">
        <w:rPr>
          <w:rFonts w:ascii="Times New Roman" w:hAnsi="Times New Roman"/>
        </w:rPr>
        <w:t xml:space="preserve">  Although pesticide drift may sometimes trigger liability,</w:t>
      </w:r>
      <w:r w:rsidR="00742281" w:rsidRPr="00B728AB">
        <w:rPr>
          <w:rStyle w:val="FootnoteReference"/>
          <w:rFonts w:ascii="Times New Roman" w:hAnsi="Times New Roman"/>
        </w:rPr>
        <w:footnoteReference w:id="44"/>
      </w:r>
      <w:r w:rsidR="00742281" w:rsidRPr="00B728AB">
        <w:rPr>
          <w:rFonts w:ascii="Times New Roman" w:hAnsi="Times New Roman"/>
        </w:rPr>
        <w:t xml:space="preserve"> there is no recorded instance of pollen drift from an U.S.-approved biotech crop causing compensable injury in U.S. agriculture.  As a result, there appears to be little to no room in the current legal system for the USDA to create a compensation fund for non-GM or organic growers.  </w:t>
      </w:r>
    </w:p>
    <w:p w14:paraId="39FFD607" w14:textId="77777777" w:rsidR="00501B67" w:rsidRDefault="00501B67" w:rsidP="002D5ACB">
      <w:pPr>
        <w:pStyle w:val="pxp"/>
        <w:spacing w:line="276" w:lineRule="auto"/>
        <w:rPr>
          <w:rStyle w:val="pxvis"/>
          <w:rFonts w:ascii="Times New Roman" w:hAnsi="Times New Roman" w:cs="Times New Roman"/>
          <w:b w:val="0"/>
          <w:bCs w:val="0"/>
          <w:sz w:val="24"/>
          <w:szCs w:val="24"/>
        </w:rPr>
      </w:pPr>
    </w:p>
    <w:p w14:paraId="0106389E" w14:textId="5A09CA97" w:rsidR="00EA664C" w:rsidRDefault="007B3CE9" w:rsidP="002D5ACB">
      <w:pPr>
        <w:pStyle w:val="pxp"/>
        <w:spacing w:line="276" w:lineRule="auto"/>
        <w:rPr>
          <w:rFonts w:ascii="Times New Roman" w:hAnsi="Times New Roman"/>
        </w:rPr>
      </w:pPr>
      <w:r w:rsidRPr="004C0F11">
        <w:rPr>
          <w:rStyle w:val="pxvis"/>
          <w:rFonts w:ascii="Times New Roman" w:hAnsi="Times New Roman" w:cs="Times New Roman"/>
          <w:b w:val="0"/>
          <w:bCs w:val="0"/>
          <w:sz w:val="24"/>
          <w:szCs w:val="24"/>
        </w:rPr>
        <w:tab/>
      </w:r>
      <w:r w:rsidR="00EA664C" w:rsidRPr="00B728AB">
        <w:rPr>
          <w:rFonts w:ascii="Times New Roman" w:hAnsi="Times New Roman"/>
        </w:rPr>
        <w:t>USDA considered putting a</w:t>
      </w:r>
      <w:r w:rsidR="00742281">
        <w:rPr>
          <w:rFonts w:ascii="Times New Roman" w:hAnsi="Times New Roman"/>
        </w:rPr>
        <w:t xml:space="preserve"> figurative “</w:t>
      </w:r>
      <w:r w:rsidR="00EA664C" w:rsidRPr="00B728AB">
        <w:rPr>
          <w:rFonts w:ascii="Times New Roman" w:hAnsi="Times New Roman"/>
        </w:rPr>
        <w:t>fence</w:t>
      </w:r>
      <w:r w:rsidR="00742281">
        <w:rPr>
          <w:rFonts w:ascii="Times New Roman" w:hAnsi="Times New Roman"/>
        </w:rPr>
        <w:t>”</w:t>
      </w:r>
      <w:r w:rsidR="00EA664C" w:rsidRPr="00B728AB">
        <w:rPr>
          <w:rFonts w:ascii="Times New Roman" w:hAnsi="Times New Roman"/>
        </w:rPr>
        <w:t xml:space="preserve"> around approved biotech crops, but </w:t>
      </w:r>
      <w:r w:rsidR="00742281">
        <w:rPr>
          <w:rFonts w:ascii="Times New Roman" w:hAnsi="Times New Roman"/>
        </w:rPr>
        <w:t xml:space="preserve">Secretary Vilsack decided not to </w:t>
      </w:r>
      <w:r w:rsidR="00EA664C" w:rsidRPr="00B728AB">
        <w:rPr>
          <w:rFonts w:ascii="Times New Roman" w:hAnsi="Times New Roman"/>
        </w:rPr>
        <w:t>take that step after consulting with Congress.  This means the first legal assertion above—the possibility of a new presumption to “fence in” certain biotech crops—appears to have little room to maneuver under the current regulatory framework.  Indeed, given the Ninth Circuit’s decision affirming the recent decision to grant nationwide approval of RR alfalfa, it appears clear that the USDA does not see its current legal authority as allowing it to eliminate the existing “presumption” that non-GM and organic growers have to avoid biotech crops (under the “fence out” rule).</w:t>
      </w:r>
      <w:r w:rsidR="00EA664C" w:rsidRPr="00B728AB">
        <w:rPr>
          <w:rStyle w:val="FootnoteReference"/>
          <w:rFonts w:ascii="Times New Roman" w:hAnsi="Times New Roman"/>
        </w:rPr>
        <w:footnoteReference w:id="45"/>
      </w:r>
    </w:p>
    <w:p w14:paraId="167CE1DB" w14:textId="17B7A49E" w:rsidR="004659BF" w:rsidRPr="004C0F11" w:rsidRDefault="004659BF" w:rsidP="004659BF">
      <w:pPr>
        <w:spacing w:line="276" w:lineRule="auto"/>
        <w:rPr>
          <w:rFonts w:ascii="Times New Roman" w:hAnsi="Times New Roman" w:cs="Times New Roman"/>
        </w:rPr>
      </w:pPr>
    </w:p>
    <w:p w14:paraId="4FF13D8A" w14:textId="77777777" w:rsidR="004659BF" w:rsidRDefault="004659BF" w:rsidP="004659BF">
      <w:pPr>
        <w:pStyle w:val="pxp"/>
        <w:spacing w:line="276" w:lineRule="auto"/>
        <w:rPr>
          <w:rStyle w:val="pxvis"/>
          <w:rFonts w:ascii="Times New Roman" w:hAnsi="Times New Roman" w:cs="Times New Roman"/>
          <w:b w:val="0"/>
          <w:bCs w:val="0"/>
          <w:sz w:val="24"/>
          <w:szCs w:val="24"/>
        </w:rPr>
      </w:pPr>
      <w:r w:rsidRPr="004C0F11">
        <w:rPr>
          <w:rFonts w:ascii="Times New Roman" w:hAnsi="Times New Roman" w:cs="Times New Roman"/>
        </w:rPr>
        <w:t xml:space="preserve"> </w:t>
      </w:r>
      <w:r w:rsidRPr="004C0F11">
        <w:rPr>
          <w:rStyle w:val="pxvis"/>
          <w:rFonts w:ascii="Times New Roman" w:hAnsi="Times New Roman" w:cs="Times New Roman"/>
          <w:b w:val="0"/>
          <w:bCs w:val="0"/>
          <w:sz w:val="24"/>
          <w:szCs w:val="24"/>
        </w:rPr>
        <w:tab/>
      </w:r>
      <w:r w:rsidRPr="004C0F11">
        <w:rPr>
          <w:rFonts w:ascii="Times New Roman" w:hAnsi="Times New Roman" w:cs="Times New Roman"/>
        </w:rPr>
        <w:t xml:space="preserve">In 2013, to avoid similar NEPA litigation, the United States Department of Agriculture's Animal and Plant Health Inspection Service told </w:t>
      </w:r>
      <w:r>
        <w:rPr>
          <w:rFonts w:ascii="Times New Roman" w:hAnsi="Times New Roman" w:cs="Times New Roman"/>
        </w:rPr>
        <w:t>Monsanto</w:t>
      </w:r>
      <w:r w:rsidRPr="004C0F11">
        <w:rPr>
          <w:rFonts w:ascii="Times New Roman" w:hAnsi="Times New Roman" w:cs="Times New Roman"/>
        </w:rPr>
        <w:t xml:space="preserve"> and the public that USDA would conduct full environmental impact statements for </w:t>
      </w:r>
      <w:proofErr w:type="spellStart"/>
      <w:r w:rsidRPr="004C0F11">
        <w:rPr>
          <w:rFonts w:ascii="Times New Roman" w:hAnsi="Times New Roman" w:cs="Times New Roman"/>
        </w:rPr>
        <w:t>dicamba</w:t>
      </w:r>
      <w:proofErr w:type="spellEnd"/>
      <w:r>
        <w:rPr>
          <w:rFonts w:ascii="Times New Roman" w:hAnsi="Times New Roman" w:cs="Times New Roman"/>
        </w:rPr>
        <w:t>-tolerant</w:t>
      </w:r>
      <w:r w:rsidRPr="004C0F11">
        <w:rPr>
          <w:rFonts w:ascii="Times New Roman" w:hAnsi="Times New Roman" w:cs="Times New Roman"/>
        </w:rPr>
        <w:t xml:space="preserve"> Roundup Ready 2 </w:t>
      </w:r>
      <w:proofErr w:type="spellStart"/>
      <w:r w:rsidRPr="004C0F11">
        <w:rPr>
          <w:rFonts w:ascii="Times New Roman" w:hAnsi="Times New Roman" w:cs="Times New Roman"/>
        </w:rPr>
        <w:t>Xtend</w:t>
      </w:r>
      <w:proofErr w:type="spellEnd"/>
      <w:r>
        <w:rPr>
          <w:rFonts w:ascii="Times New Roman" w:hAnsi="Times New Roman" w:cs="Times New Roman"/>
        </w:rPr>
        <w:t>®</w:t>
      </w:r>
      <w:r>
        <w:rPr>
          <w:rStyle w:val="pxvis"/>
          <w:rFonts w:ascii="Times New Roman" w:hAnsi="Times New Roman" w:cs="Times New Roman"/>
          <w:b w:val="0"/>
          <w:bCs w:val="0"/>
          <w:sz w:val="24"/>
          <w:szCs w:val="24"/>
        </w:rPr>
        <w:t xml:space="preserve"> </w:t>
      </w:r>
    </w:p>
    <w:p w14:paraId="74D2ACB3" w14:textId="77777777" w:rsidR="004659BF" w:rsidRPr="004C0F11" w:rsidRDefault="004659BF" w:rsidP="004659BF">
      <w:pPr>
        <w:pStyle w:val="pxp"/>
        <w:spacing w:line="276" w:lineRule="auto"/>
        <w:rPr>
          <w:rFonts w:ascii="Times New Roman" w:hAnsi="Times New Roman" w:cs="Times New Roman"/>
        </w:rPr>
      </w:pPr>
      <w:r>
        <w:rPr>
          <w:rStyle w:val="pxvis"/>
          <w:rFonts w:ascii="Times New Roman" w:hAnsi="Times New Roman" w:cs="Times New Roman"/>
          <w:b w:val="0"/>
          <w:bCs w:val="0"/>
          <w:sz w:val="24"/>
          <w:szCs w:val="24"/>
        </w:rPr>
        <w:t>(“RR2X”)</w:t>
      </w:r>
      <w:r w:rsidRPr="004C0F11">
        <w:rPr>
          <w:rFonts w:ascii="Times New Roman" w:hAnsi="Times New Roman" w:cs="Times New Roman"/>
        </w:rPr>
        <w:t xml:space="preserve"> soybean and </w:t>
      </w:r>
      <w:proofErr w:type="spellStart"/>
      <w:r w:rsidRPr="004C0F11">
        <w:rPr>
          <w:rFonts w:ascii="Times New Roman" w:hAnsi="Times New Roman" w:cs="Times New Roman"/>
        </w:rPr>
        <w:t>Bollgard</w:t>
      </w:r>
      <w:proofErr w:type="spellEnd"/>
      <w:r w:rsidRPr="004C0F11">
        <w:rPr>
          <w:rFonts w:ascii="Times New Roman" w:hAnsi="Times New Roman" w:cs="Times New Roman"/>
        </w:rPr>
        <w:t xml:space="preserve"> II </w:t>
      </w:r>
      <w:proofErr w:type="spellStart"/>
      <w:r w:rsidRPr="004C0F11">
        <w:rPr>
          <w:rFonts w:ascii="Times New Roman" w:hAnsi="Times New Roman" w:cs="Times New Roman"/>
        </w:rPr>
        <w:t>XtendFlex</w:t>
      </w:r>
      <w:proofErr w:type="spellEnd"/>
      <w:r>
        <w:rPr>
          <w:rFonts w:ascii="Times New Roman" w:hAnsi="Times New Roman" w:cs="Times New Roman"/>
        </w:rPr>
        <w:t>®</w:t>
      </w:r>
      <w:r w:rsidRPr="004C0F11">
        <w:rPr>
          <w:rFonts w:ascii="Times New Roman" w:hAnsi="Times New Roman" w:cs="Times New Roman"/>
        </w:rPr>
        <w:t xml:space="preserve"> cotton technologies. In so doing, the USDA may have provided a path to liability avoidance for biotech seed companies who hope to avoid </w:t>
      </w:r>
      <w:proofErr w:type="gramStart"/>
      <w:r w:rsidRPr="004C0F11">
        <w:rPr>
          <w:rFonts w:ascii="Times New Roman" w:hAnsi="Times New Roman" w:cs="Times New Roman"/>
        </w:rPr>
        <w:t xml:space="preserve">either </w:t>
      </w:r>
      <w:r w:rsidRPr="004C0F11">
        <w:rPr>
          <w:rFonts w:ascii="Times New Roman" w:hAnsi="Times New Roman" w:cs="Times New Roman"/>
        </w:rPr>
        <w:lastRenderedPageBreak/>
        <w:t xml:space="preserve">NEPA injunctions (as occurred with RR Alfalfa and </w:t>
      </w:r>
      <w:r>
        <w:rPr>
          <w:rFonts w:ascii="Times New Roman" w:hAnsi="Times New Roman" w:cs="Times New Roman"/>
        </w:rPr>
        <w:t xml:space="preserve">RR </w:t>
      </w:r>
      <w:r w:rsidRPr="004C0F11">
        <w:rPr>
          <w:rFonts w:ascii="Times New Roman" w:hAnsi="Times New Roman" w:cs="Times New Roman"/>
        </w:rPr>
        <w:t>Sugar Beets) and</w:t>
      </w:r>
      <w:proofErr w:type="gramEnd"/>
      <w:r w:rsidRPr="004C0F11">
        <w:rPr>
          <w:rFonts w:ascii="Times New Roman" w:hAnsi="Times New Roman" w:cs="Times New Roman"/>
        </w:rPr>
        <w:t xml:space="preserve"> the nuisance-negligence theories of recovery that led to the Bayer rice settlement discussed above.</w:t>
      </w:r>
      <w:r>
        <w:rPr>
          <w:rStyle w:val="FootnoteReference"/>
          <w:rFonts w:ascii="Times New Roman" w:hAnsi="Times New Roman" w:cs="Times New Roman"/>
        </w:rPr>
        <w:footnoteReference w:id="46"/>
      </w:r>
    </w:p>
    <w:p w14:paraId="395532E9" w14:textId="77777777" w:rsidR="004659BF" w:rsidRDefault="004659BF" w:rsidP="00EA664C">
      <w:pPr>
        <w:pStyle w:val="pxp"/>
        <w:spacing w:line="276" w:lineRule="auto"/>
        <w:ind w:firstLine="720"/>
        <w:rPr>
          <w:rFonts w:ascii="Times New Roman" w:hAnsi="Times New Roman" w:cs="Times New Roman"/>
        </w:rPr>
      </w:pPr>
    </w:p>
    <w:p w14:paraId="1C57F32D" w14:textId="56BA04C1" w:rsidR="00D47024" w:rsidRDefault="007B3CE9" w:rsidP="00EA664C">
      <w:pPr>
        <w:pStyle w:val="pxp"/>
        <w:spacing w:line="276" w:lineRule="auto"/>
        <w:ind w:firstLine="720"/>
        <w:rPr>
          <w:rFonts w:ascii="Times New Roman" w:hAnsi="Times New Roman" w:cs="Times New Roman"/>
        </w:rPr>
      </w:pPr>
      <w:r w:rsidRPr="004C0F11">
        <w:rPr>
          <w:rFonts w:ascii="Times New Roman" w:hAnsi="Times New Roman" w:cs="Times New Roman"/>
        </w:rPr>
        <w:t xml:space="preserve">Accordingly, </w:t>
      </w:r>
      <w:r w:rsidR="00EA664C">
        <w:rPr>
          <w:rFonts w:ascii="Times New Roman" w:hAnsi="Times New Roman" w:cs="Times New Roman"/>
        </w:rPr>
        <w:t xml:space="preserve">both organic and conventional growers, as well as </w:t>
      </w:r>
      <w:r w:rsidRPr="004C0F11">
        <w:rPr>
          <w:rFonts w:ascii="Times New Roman" w:hAnsi="Times New Roman" w:cs="Times New Roman"/>
        </w:rPr>
        <w:t>biotech seed companies need to develop and implement coexistence strategies that prevent unwanted commingling to avoid negli</w:t>
      </w:r>
      <w:r w:rsidR="00D47024">
        <w:rPr>
          <w:rFonts w:ascii="Times New Roman" w:hAnsi="Times New Roman" w:cs="Times New Roman"/>
        </w:rPr>
        <w:t>gence-based nuisance liability.</w:t>
      </w:r>
      <w:r w:rsidR="00D47024">
        <w:rPr>
          <w:rStyle w:val="FootnoteReference"/>
          <w:rFonts w:ascii="Times New Roman" w:hAnsi="Times New Roman" w:cs="Times New Roman"/>
        </w:rPr>
        <w:footnoteReference w:id="47"/>
      </w:r>
      <w:r w:rsidR="00D47024">
        <w:rPr>
          <w:rFonts w:ascii="Times New Roman" w:hAnsi="Times New Roman" w:cs="Times New Roman"/>
        </w:rPr>
        <w:t xml:space="preserve"> </w:t>
      </w:r>
      <w:r w:rsidRPr="004C0F11">
        <w:rPr>
          <w:rFonts w:ascii="Times New Roman" w:hAnsi="Times New Roman" w:cs="Times New Roman"/>
        </w:rPr>
        <w:t>This includes farmers or grain handlers who could face similar claims if they were to be found negligent in causing future crop commingling.</w:t>
      </w:r>
    </w:p>
    <w:p w14:paraId="5248F35F" w14:textId="77777777" w:rsidR="00D47024" w:rsidRDefault="00D47024" w:rsidP="002D5ACB">
      <w:pPr>
        <w:pStyle w:val="pxp"/>
        <w:spacing w:line="276" w:lineRule="auto"/>
        <w:rPr>
          <w:rFonts w:ascii="Times New Roman" w:hAnsi="Times New Roman" w:cs="Times New Roman"/>
        </w:rPr>
      </w:pPr>
    </w:p>
    <w:p w14:paraId="7D666C8A" w14:textId="13EA6C0E" w:rsidR="00F35195" w:rsidRPr="004C0F11" w:rsidRDefault="00F34C16" w:rsidP="002D5ACB">
      <w:pPr>
        <w:pStyle w:val="pxp"/>
        <w:spacing w:line="276" w:lineRule="auto"/>
        <w:rPr>
          <w:rFonts w:ascii="Times New Roman" w:hAnsi="Times New Roman" w:cs="Times New Roman"/>
          <w:b/>
        </w:rPr>
      </w:pPr>
      <w:r>
        <w:rPr>
          <w:rFonts w:ascii="Times New Roman" w:hAnsi="Times New Roman" w:cs="Times New Roman"/>
          <w:b/>
        </w:rPr>
        <w:t>III</w:t>
      </w:r>
      <w:r w:rsidR="007B3CE9" w:rsidRPr="004C0F11">
        <w:rPr>
          <w:rFonts w:ascii="Times New Roman" w:hAnsi="Times New Roman" w:cs="Times New Roman"/>
          <w:b/>
        </w:rPr>
        <w:t xml:space="preserve">. </w:t>
      </w:r>
      <w:r>
        <w:rPr>
          <w:rFonts w:ascii="Times New Roman" w:hAnsi="Times New Roman" w:cs="Times New Roman"/>
          <w:b/>
        </w:rPr>
        <w:t>Liability Prevention -- Voluntary Stewardship for Export M</w:t>
      </w:r>
      <w:r w:rsidR="007B3CE9" w:rsidRPr="004C0F11">
        <w:rPr>
          <w:rFonts w:ascii="Times New Roman" w:hAnsi="Times New Roman" w:cs="Times New Roman"/>
          <w:b/>
        </w:rPr>
        <w:t>arkets</w:t>
      </w:r>
    </w:p>
    <w:p w14:paraId="142D289F" w14:textId="0006B306" w:rsidR="001E7FEC" w:rsidRDefault="007B3CE9" w:rsidP="002D5ACB">
      <w:pPr>
        <w:pStyle w:val="pxp"/>
        <w:spacing w:line="276" w:lineRule="auto"/>
        <w:rPr>
          <w:rStyle w:val="pxvis"/>
          <w:rFonts w:ascii="Times New Roman" w:hAnsi="Times New Roman" w:cs="Times New Roman"/>
          <w:b w:val="0"/>
          <w:bCs w:val="0"/>
          <w:sz w:val="24"/>
          <w:szCs w:val="24"/>
        </w:rPr>
      </w:pPr>
      <w:r w:rsidRPr="004C0F11">
        <w:rPr>
          <w:rFonts w:ascii="Times New Roman" w:hAnsi="Times New Roman" w:cs="Times New Roman"/>
          <w:b/>
        </w:rPr>
        <w:t xml:space="preserve"> </w:t>
      </w:r>
      <w:r w:rsidRPr="004C0F11">
        <w:rPr>
          <w:rStyle w:val="pxvis"/>
          <w:rFonts w:ascii="Times New Roman" w:hAnsi="Times New Roman" w:cs="Times New Roman"/>
          <w:b w:val="0"/>
          <w:bCs w:val="0"/>
          <w:sz w:val="24"/>
          <w:szCs w:val="24"/>
        </w:rPr>
        <w:tab/>
      </w:r>
    </w:p>
    <w:p w14:paraId="41C9FC3F" w14:textId="300DCFA0" w:rsidR="00325947" w:rsidRPr="004C0F11" w:rsidRDefault="00325947" w:rsidP="00B16BA7">
      <w:pPr>
        <w:pStyle w:val="pxp"/>
        <w:spacing w:line="276" w:lineRule="auto"/>
        <w:ind w:firstLine="720"/>
        <w:rPr>
          <w:rFonts w:ascii="Times New Roman" w:hAnsi="Times New Roman" w:cs="Times New Roman"/>
        </w:rPr>
      </w:pPr>
      <w:r w:rsidRPr="004C0F11">
        <w:rPr>
          <w:rFonts w:ascii="Times New Roman" w:hAnsi="Times New Roman" w:cs="Times New Roman"/>
        </w:rPr>
        <w:t xml:space="preserve">Four organizations involved in promoting U.S. soy exports, the American Soybean Association, the United Soybean Board, the US Soybean Export Council, and the National Oilseed Processors Association (collectively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U.S. soybean organizations</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have developed an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eleven-point plan</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to manage the potential liability risks posed by unapproved-in-EU soybeans. This standard has been in place since 1998, when Aventis Crop Sciences USA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Aventis</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obtained U.S. regulatory approval for its </w:t>
      </w:r>
      <w:proofErr w:type="spellStart"/>
      <w:r w:rsidRPr="004C0F11">
        <w:rPr>
          <w:rFonts w:ascii="Times New Roman" w:hAnsi="Times New Roman" w:cs="Times New Roman"/>
        </w:rPr>
        <w:t>LibertyLink</w:t>
      </w:r>
      <w:proofErr w:type="spellEnd"/>
      <w:r w:rsidRPr="004C0F11">
        <w:rPr>
          <w:rFonts w:ascii="Times New Roman" w:hAnsi="Times New Roman" w:cs="Times New Roman"/>
          <w:vanish/>
        </w:rPr>
        <w:t>&amp;reg;</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Soybean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LL Soybean</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In 1998, Aventis entered into lengthy confidential negotiations with the American Soybean Association (ASA) that lasted for months and almost reached neutral mediation. The negotiation ended when Aventis' corporate counsel was persuaded that ASA had demonstrated the potential for liability and for regulatory standards to evolve and penalize the marketing of an unapproved-in-EU soybean.</w:t>
      </w:r>
    </w:p>
    <w:p w14:paraId="7CDEDFCA" w14:textId="77777777" w:rsidR="00325947" w:rsidRPr="004C0F11" w:rsidRDefault="00325947" w:rsidP="00325947">
      <w:pPr>
        <w:pStyle w:val="pxp"/>
        <w:spacing w:line="276" w:lineRule="auto"/>
        <w:rPr>
          <w:rStyle w:val="pxvis"/>
          <w:rFonts w:ascii="Times New Roman" w:hAnsi="Times New Roman" w:cs="Times New Roman"/>
          <w:b w:val="0"/>
          <w:bCs w:val="0"/>
          <w:sz w:val="24"/>
          <w:szCs w:val="24"/>
        </w:rPr>
      </w:pPr>
      <w:r w:rsidRPr="004C0F11">
        <w:rPr>
          <w:rFonts w:ascii="Times New Roman" w:hAnsi="Times New Roman" w:cs="Times New Roman"/>
        </w:rPr>
        <w:t xml:space="preserve"> </w:t>
      </w:r>
      <w:r w:rsidRPr="004C0F11">
        <w:rPr>
          <w:rStyle w:val="pxvis"/>
          <w:rFonts w:ascii="Times New Roman" w:hAnsi="Times New Roman" w:cs="Times New Roman"/>
          <w:b w:val="0"/>
          <w:bCs w:val="0"/>
          <w:sz w:val="24"/>
          <w:szCs w:val="24"/>
        </w:rPr>
        <w:tab/>
      </w:r>
    </w:p>
    <w:p w14:paraId="21FBB8AC" w14:textId="77777777" w:rsidR="004659BF" w:rsidRDefault="00325947" w:rsidP="00325947">
      <w:pPr>
        <w:pStyle w:val="pxp"/>
        <w:spacing w:line="276" w:lineRule="auto"/>
        <w:ind w:firstLine="720"/>
        <w:rPr>
          <w:rFonts w:ascii="Times New Roman" w:hAnsi="Times New Roman" w:cs="Times New Roman"/>
        </w:rPr>
      </w:pPr>
      <w:r w:rsidRPr="004C0F11">
        <w:rPr>
          <w:rFonts w:ascii="Times New Roman" w:hAnsi="Times New Roman" w:cs="Times New Roman"/>
        </w:rPr>
        <w:t>One key element of the 11-point plan is third party certification by qualified bodies of the process used. State affiliates of the American Organization of Seed Certifying Agencies (AOSCA),</w:t>
      </w:r>
      <w:r>
        <w:rPr>
          <w:rStyle w:val="FootnoteReference"/>
          <w:rFonts w:ascii="Times New Roman" w:hAnsi="Times New Roman" w:cs="Times New Roman"/>
        </w:rPr>
        <w:footnoteReference w:id="48"/>
      </w:r>
      <w:r w:rsidRPr="004C0F11">
        <w:rPr>
          <w:rFonts w:ascii="Times New Roman" w:hAnsi="Times New Roman" w:cs="Times New Roman"/>
        </w:rPr>
        <w:t xml:space="preserve"> such as the Illinois Crop Improvement Association, apply AOSCA seed standards to certify seed using identity preservation methods</w:t>
      </w:r>
      <w:r>
        <w:rPr>
          <w:rStyle w:val="FootnoteReference"/>
          <w:rFonts w:ascii="Times New Roman" w:hAnsi="Times New Roman" w:cs="Times New Roman"/>
        </w:rPr>
        <w:footnoteReference w:id="49"/>
      </w:r>
      <w:r w:rsidRPr="004C0F11">
        <w:rPr>
          <w:rFonts w:ascii="Times New Roman" w:hAnsi="Times New Roman" w:cs="Times New Roman"/>
        </w:rPr>
        <w:t xml:space="preserve"> and agronomic practices for removing unwanted plants. </w:t>
      </w:r>
      <w:r>
        <w:rPr>
          <w:rFonts w:ascii="Times New Roman" w:hAnsi="Times New Roman" w:cs="Times New Roman"/>
        </w:rPr>
        <w:t xml:space="preserve"> Such soybeans are grown</w:t>
      </w:r>
      <w:r w:rsidRPr="004C0F11">
        <w:rPr>
          <w:rFonts w:ascii="Times New Roman" w:hAnsi="Times New Roman" w:cs="Times New Roman"/>
        </w:rPr>
        <w:t xml:space="preserve"> within a closed-loop production system established by the seed company that meets the ASA/USB/NOPA's 11-point plan. </w:t>
      </w:r>
    </w:p>
    <w:p w14:paraId="117395BE" w14:textId="77777777" w:rsidR="004659BF" w:rsidRDefault="004659BF" w:rsidP="00325947">
      <w:pPr>
        <w:pStyle w:val="pxp"/>
        <w:spacing w:line="276" w:lineRule="auto"/>
        <w:ind w:firstLine="720"/>
        <w:rPr>
          <w:rFonts w:ascii="Times New Roman" w:hAnsi="Times New Roman" w:cs="Times New Roman"/>
        </w:rPr>
      </w:pPr>
    </w:p>
    <w:p w14:paraId="2F826F69" w14:textId="4FBCBCB0" w:rsidR="00742281" w:rsidRDefault="00325947" w:rsidP="00325947">
      <w:pPr>
        <w:pStyle w:val="pxp"/>
        <w:spacing w:line="276" w:lineRule="auto"/>
        <w:ind w:firstLine="720"/>
        <w:rPr>
          <w:rFonts w:ascii="Times New Roman" w:hAnsi="Times New Roman" w:cs="Times New Roman"/>
        </w:rPr>
      </w:pPr>
      <w:r w:rsidRPr="004C0F11">
        <w:rPr>
          <w:rFonts w:ascii="Times New Roman" w:hAnsi="Times New Roman" w:cs="Times New Roman"/>
        </w:rPr>
        <w:t>These organizations have expertise in ensuring that growers meet tolerance levels for genetic purity</w:t>
      </w:r>
      <w:r w:rsidR="004659BF">
        <w:rPr>
          <w:rFonts w:ascii="Times New Roman" w:hAnsi="Times New Roman" w:cs="Times New Roman"/>
        </w:rPr>
        <w:t>, and seed companies have all accepted the necessity for stewardship that ensures major market approval</w:t>
      </w:r>
      <w:r w:rsidRPr="004C0F11">
        <w:rPr>
          <w:rFonts w:ascii="Times New Roman" w:hAnsi="Times New Roman" w:cs="Times New Roman"/>
        </w:rPr>
        <w:t xml:space="preserve">. </w:t>
      </w:r>
      <w:r w:rsidR="004659BF">
        <w:rPr>
          <w:rFonts w:ascii="Times New Roman" w:hAnsi="Times New Roman" w:cs="Times New Roman"/>
        </w:rPr>
        <w:t>For example, w</w:t>
      </w:r>
      <w:r w:rsidRPr="004C0F11">
        <w:rPr>
          <w:rFonts w:ascii="Times New Roman" w:hAnsi="Times New Roman" w:cs="Times New Roman"/>
        </w:rPr>
        <w:t>hile currently there are no pest-resistant soybeans in commercial use</w:t>
      </w:r>
      <w:r w:rsidR="004659BF">
        <w:rPr>
          <w:rFonts w:ascii="Times New Roman" w:hAnsi="Times New Roman" w:cs="Times New Roman"/>
        </w:rPr>
        <w:t xml:space="preserve"> in the United States</w:t>
      </w:r>
      <w:r w:rsidRPr="004C0F11">
        <w:rPr>
          <w:rFonts w:ascii="Times New Roman" w:hAnsi="Times New Roman" w:cs="Times New Roman"/>
        </w:rPr>
        <w:t xml:space="preserve">, </w:t>
      </w:r>
      <w:r w:rsidR="00742281">
        <w:rPr>
          <w:rFonts w:ascii="Times New Roman" w:hAnsi="Times New Roman" w:cs="Times New Roman"/>
        </w:rPr>
        <w:t>Monsanto</w:t>
      </w:r>
      <w:r w:rsidRPr="004C0F11">
        <w:rPr>
          <w:rFonts w:ascii="Times New Roman" w:hAnsi="Times New Roman" w:cs="Times New Roman"/>
        </w:rPr>
        <w:t xml:space="preserve"> has developed a </w:t>
      </w:r>
      <w:proofErr w:type="gramStart"/>
      <w:r w:rsidRPr="004C0F11">
        <w:rPr>
          <w:rFonts w:ascii="Times New Roman" w:hAnsi="Times New Roman" w:cs="Times New Roman"/>
        </w:rPr>
        <w:t>B.t</w:t>
      </w:r>
      <w:proofErr w:type="gramEnd"/>
      <w:r w:rsidRPr="004C0F11">
        <w:rPr>
          <w:rFonts w:ascii="Times New Roman" w:hAnsi="Times New Roman" w:cs="Times New Roman"/>
        </w:rPr>
        <w:t xml:space="preserve">. soybean (incorporating a commonly used protein from </w:t>
      </w:r>
      <w:r w:rsidR="00807292" w:rsidRPr="004C0F11">
        <w:rPr>
          <w:rFonts w:ascii="Times New Roman" w:hAnsi="Times New Roman" w:cs="Times New Roman"/>
        </w:rPr>
        <w:t xml:space="preserve">a bacillus </w:t>
      </w:r>
      <w:r w:rsidR="00807292">
        <w:rPr>
          <w:rFonts w:ascii="Times New Roman" w:hAnsi="Times New Roman" w:cs="Times New Roman"/>
        </w:rPr>
        <w:t>bacterium</w:t>
      </w:r>
      <w:r w:rsidR="00666C47">
        <w:rPr>
          <w:rFonts w:ascii="Times New Roman" w:hAnsi="Times New Roman" w:cs="Times New Roman"/>
        </w:rPr>
        <w:t xml:space="preserve"> </w:t>
      </w:r>
      <w:r w:rsidRPr="004C0F11">
        <w:rPr>
          <w:rFonts w:ascii="Times New Roman" w:hAnsi="Times New Roman" w:cs="Times New Roman"/>
        </w:rPr>
        <w:t>that resists insects)</w:t>
      </w:r>
      <w:r w:rsidR="004659BF">
        <w:rPr>
          <w:rFonts w:ascii="Times New Roman" w:hAnsi="Times New Roman" w:cs="Times New Roman"/>
        </w:rPr>
        <w:t xml:space="preserve"> and has sold that for several years in South America</w:t>
      </w:r>
      <w:r w:rsidRPr="004C0F11">
        <w:rPr>
          <w:rFonts w:ascii="Times New Roman" w:hAnsi="Times New Roman" w:cs="Times New Roman"/>
        </w:rPr>
        <w:t>. Unde</w:t>
      </w:r>
      <w:r>
        <w:rPr>
          <w:rFonts w:ascii="Times New Roman" w:hAnsi="Times New Roman" w:cs="Times New Roman"/>
        </w:rPr>
        <w:t xml:space="preserve">r its stewardship commitment, this insect-resistant soybean </w:t>
      </w:r>
      <w:r>
        <w:rPr>
          <w:rFonts w:ascii="Times New Roman" w:hAnsi="Times New Roman" w:cs="Times New Roman"/>
        </w:rPr>
        <w:lastRenderedPageBreak/>
        <w:t>was grown</w:t>
      </w:r>
      <w:r w:rsidR="00742281">
        <w:rPr>
          <w:rFonts w:ascii="Times New Roman" w:hAnsi="Times New Roman" w:cs="Times New Roman"/>
        </w:rPr>
        <w:t xml:space="preserve"> commercially for seed</w:t>
      </w:r>
      <w:r>
        <w:rPr>
          <w:rFonts w:ascii="Times New Roman" w:hAnsi="Times New Roman" w:cs="Times New Roman"/>
        </w:rPr>
        <w:t xml:space="preserve"> in the Southern US</w:t>
      </w:r>
      <w:r w:rsidR="004659BF">
        <w:rPr>
          <w:rFonts w:ascii="Times New Roman" w:hAnsi="Times New Roman" w:cs="Times New Roman"/>
        </w:rPr>
        <w:t xml:space="preserve"> in close identity preservation</w:t>
      </w:r>
      <w:r>
        <w:rPr>
          <w:rFonts w:ascii="Times New Roman" w:hAnsi="Times New Roman" w:cs="Times New Roman"/>
        </w:rPr>
        <w:t xml:space="preserve">, but </w:t>
      </w:r>
      <w:r w:rsidR="00807292" w:rsidRPr="004C0F11">
        <w:rPr>
          <w:rFonts w:ascii="Times New Roman" w:hAnsi="Times New Roman" w:cs="Times New Roman"/>
        </w:rPr>
        <w:t>only marketed</w:t>
      </w:r>
      <w:r w:rsidRPr="004C0F11">
        <w:rPr>
          <w:rFonts w:ascii="Times New Roman" w:hAnsi="Times New Roman" w:cs="Times New Roman"/>
        </w:rPr>
        <w:t xml:space="preserve"> to South American farmers</w:t>
      </w:r>
      <w:r w:rsidR="00742281">
        <w:rPr>
          <w:rFonts w:ascii="Times New Roman" w:hAnsi="Times New Roman" w:cs="Times New Roman"/>
        </w:rPr>
        <w:t xml:space="preserve"> for harvest and export after receiving approval in major export markets</w:t>
      </w:r>
      <w:r>
        <w:rPr>
          <w:rFonts w:ascii="Times New Roman" w:hAnsi="Times New Roman" w:cs="Times New Roman"/>
        </w:rPr>
        <w:t xml:space="preserve">. </w:t>
      </w:r>
      <w:r w:rsidR="004659BF">
        <w:rPr>
          <w:rFonts w:ascii="Times New Roman" w:hAnsi="Times New Roman" w:cs="Times New Roman"/>
        </w:rPr>
        <w:t>As of this writing, the B.t. soybean and stacks using it in combination with other traits in nearly all major markets for soybeans,</w:t>
      </w:r>
      <w:r w:rsidR="004659BF">
        <w:rPr>
          <w:rStyle w:val="FootnoteReference"/>
          <w:rFonts w:ascii="Times New Roman" w:hAnsi="Times New Roman" w:cs="Times New Roman"/>
        </w:rPr>
        <w:footnoteReference w:id="50"/>
      </w:r>
      <w:r w:rsidR="004659BF">
        <w:rPr>
          <w:rFonts w:ascii="Times New Roman" w:hAnsi="Times New Roman" w:cs="Times New Roman"/>
        </w:rPr>
        <w:t xml:space="preserve"> which is also expected from grower organizations in South America.</w:t>
      </w:r>
      <w:r w:rsidR="00173352">
        <w:rPr>
          <w:rStyle w:val="FootnoteReference"/>
          <w:rFonts w:ascii="Times New Roman" w:hAnsi="Times New Roman" w:cs="Times New Roman"/>
        </w:rPr>
        <w:footnoteReference w:id="51"/>
      </w:r>
      <w:r w:rsidR="004659BF">
        <w:rPr>
          <w:rFonts w:ascii="Times New Roman" w:hAnsi="Times New Roman" w:cs="Times New Roman"/>
        </w:rPr>
        <w:t xml:space="preserve"> </w:t>
      </w:r>
    </w:p>
    <w:p w14:paraId="4C330108" w14:textId="77777777" w:rsidR="00742281" w:rsidRDefault="00742281" w:rsidP="00325947">
      <w:pPr>
        <w:pStyle w:val="pxp"/>
        <w:spacing w:line="276" w:lineRule="auto"/>
        <w:ind w:firstLine="720"/>
        <w:rPr>
          <w:rFonts w:ascii="Times New Roman" w:hAnsi="Times New Roman" w:cs="Times New Roman"/>
        </w:rPr>
      </w:pPr>
    </w:p>
    <w:p w14:paraId="0D3C3F99" w14:textId="1D3D1A9F" w:rsidR="00325947" w:rsidRPr="004C0F11" w:rsidRDefault="00325947" w:rsidP="00325947">
      <w:pPr>
        <w:pStyle w:val="pxp"/>
        <w:spacing w:line="276" w:lineRule="auto"/>
        <w:ind w:firstLine="720"/>
        <w:rPr>
          <w:rFonts w:ascii="Times New Roman" w:hAnsi="Times New Roman" w:cs="Times New Roman"/>
        </w:rPr>
      </w:pPr>
      <w:r w:rsidRPr="004C0F11">
        <w:rPr>
          <w:rFonts w:ascii="Times New Roman" w:hAnsi="Times New Roman" w:cs="Times New Roman"/>
        </w:rPr>
        <w:t>The soybean production system in the United States may provide a model for other nations to follow in assuring thriving organic and non-GMO production, while still reaping the benefits to the environmental, health and economic condition of farmers.</w:t>
      </w:r>
    </w:p>
    <w:p w14:paraId="0BA5AF7E" w14:textId="77777777" w:rsidR="00325947" w:rsidRDefault="00325947" w:rsidP="00F34C16">
      <w:pPr>
        <w:pStyle w:val="pxp"/>
        <w:spacing w:line="276" w:lineRule="auto"/>
        <w:rPr>
          <w:rStyle w:val="pxvis"/>
          <w:rFonts w:ascii="Times New Roman" w:hAnsi="Times New Roman" w:cs="Times New Roman"/>
          <w:b w:val="0"/>
          <w:bCs w:val="0"/>
          <w:sz w:val="24"/>
          <w:szCs w:val="24"/>
        </w:rPr>
      </w:pPr>
    </w:p>
    <w:p w14:paraId="3BC16252" w14:textId="7908CEC6" w:rsidR="00325947" w:rsidRDefault="00325947" w:rsidP="00742281">
      <w:pPr>
        <w:spacing w:line="276" w:lineRule="auto"/>
        <w:ind w:firstLine="720"/>
        <w:rPr>
          <w:rFonts w:ascii="Times New Roman" w:hAnsi="Times New Roman" w:cs="Times New Roman"/>
        </w:rPr>
      </w:pPr>
      <w:r>
        <w:rPr>
          <w:rStyle w:val="pxvis"/>
          <w:rFonts w:ascii="Times New Roman" w:hAnsi="Times New Roman" w:cs="Times New Roman"/>
          <w:b w:val="0"/>
          <w:bCs w:val="0"/>
          <w:sz w:val="24"/>
          <w:szCs w:val="24"/>
        </w:rPr>
        <w:t xml:space="preserve">The U.S. soybean industry also goes beyond regulatory requirements in its approach to food safety. </w:t>
      </w:r>
      <w:r>
        <w:rPr>
          <w:rFonts w:ascii="Times New Roman" w:hAnsi="Times New Roman" w:cs="Times New Roman"/>
        </w:rPr>
        <w:t>The prevailing</w:t>
      </w:r>
      <w:r w:rsidR="00F34C16" w:rsidRPr="004C0F11">
        <w:rPr>
          <w:rFonts w:ascii="Times New Roman" w:hAnsi="Times New Roman" w:cs="Times New Roman"/>
        </w:rPr>
        <w:t xml:space="preserve"> risk management process follows international standards for detecting </w:t>
      </w:r>
      <w:proofErr w:type="spellStart"/>
      <w:r w:rsidR="00F34C16" w:rsidRPr="004C0F11">
        <w:rPr>
          <w:rFonts w:ascii="Times New Roman" w:hAnsi="Times New Roman" w:cs="Times New Roman"/>
        </w:rPr>
        <w:t>allergenicity</w:t>
      </w:r>
      <w:proofErr w:type="spellEnd"/>
      <w:r w:rsidR="00F34C16" w:rsidRPr="004C0F11">
        <w:rPr>
          <w:rFonts w:ascii="Times New Roman" w:hAnsi="Times New Roman" w:cs="Times New Roman"/>
        </w:rPr>
        <w:t xml:space="preserve"> of </w:t>
      </w:r>
      <w:r w:rsidR="00EA6730">
        <w:rPr>
          <w:rFonts w:ascii="Times New Roman" w:hAnsi="Times New Roman" w:cs="Times New Roman"/>
        </w:rPr>
        <w:t xml:space="preserve">protein molecules resultant from </w:t>
      </w:r>
      <w:r w:rsidR="00F34C16" w:rsidRPr="004C0F11">
        <w:rPr>
          <w:rFonts w:ascii="Times New Roman" w:hAnsi="Times New Roman" w:cs="Times New Roman"/>
        </w:rPr>
        <w:t xml:space="preserve">genes used in the crop. Companies using this scientifically sound allergen-detection methodology will prevent liability from accidental introduction of allergens at the early stages of production. An example of corporate precaution without regulatory intervention can be found in Pioneer's decision not to market its high-methionine soybean, which led to a published study (funded by Pioneer) by leading allergy researchers at the University of Nebraska. </w:t>
      </w:r>
      <w:r>
        <w:rPr>
          <w:rFonts w:ascii="Times New Roman" w:hAnsi="Times New Roman" w:cs="Times New Roman"/>
        </w:rPr>
        <w:t>While regulators would have allowed feed-only sales, Pioneer was concerned that it could not completely prevent commingling of the chicken feed</w:t>
      </w:r>
      <w:r w:rsidR="00EA6730">
        <w:rPr>
          <w:rFonts w:ascii="Times New Roman" w:hAnsi="Times New Roman" w:cs="Times New Roman"/>
        </w:rPr>
        <w:t>-destined soymeal</w:t>
      </w:r>
      <w:r>
        <w:rPr>
          <w:rFonts w:ascii="Times New Roman" w:hAnsi="Times New Roman" w:cs="Times New Roman"/>
        </w:rPr>
        <w:t xml:space="preserve"> with food products.</w:t>
      </w:r>
    </w:p>
    <w:p w14:paraId="6F75B6EE" w14:textId="77777777" w:rsidR="00325947" w:rsidRDefault="00325947" w:rsidP="00325947">
      <w:pPr>
        <w:spacing w:line="276" w:lineRule="auto"/>
        <w:ind w:firstLine="720"/>
        <w:rPr>
          <w:rFonts w:ascii="Times New Roman" w:hAnsi="Times New Roman" w:cs="Times New Roman"/>
        </w:rPr>
      </w:pPr>
    </w:p>
    <w:p w14:paraId="79C79EC3" w14:textId="046A93AF" w:rsidR="00F34C16" w:rsidRPr="00325947" w:rsidRDefault="00F34C16" w:rsidP="00325947">
      <w:pPr>
        <w:spacing w:line="276" w:lineRule="auto"/>
        <w:ind w:firstLine="720"/>
      </w:pPr>
      <w:r w:rsidRPr="004C0F11">
        <w:rPr>
          <w:rFonts w:ascii="Times New Roman" w:hAnsi="Times New Roman" w:cs="Times New Roman"/>
        </w:rPr>
        <w:t>Pioneer</w:t>
      </w:r>
      <w:r w:rsidR="00325947">
        <w:rPr>
          <w:rFonts w:ascii="Times New Roman" w:hAnsi="Times New Roman" w:cs="Times New Roman"/>
        </w:rPr>
        <w:t xml:space="preserve"> Hi Bred (now a division of </w:t>
      </w:r>
      <w:proofErr w:type="spellStart"/>
      <w:r w:rsidR="00325947">
        <w:rPr>
          <w:rFonts w:ascii="Times New Roman" w:hAnsi="Times New Roman" w:cs="Times New Roman"/>
        </w:rPr>
        <w:t>Dupont</w:t>
      </w:r>
      <w:proofErr w:type="spellEnd"/>
      <w:r w:rsidR="00325947">
        <w:rPr>
          <w:rFonts w:ascii="Times New Roman" w:hAnsi="Times New Roman" w:cs="Times New Roman"/>
        </w:rPr>
        <w:t>)</w:t>
      </w:r>
      <w:r w:rsidRPr="004C0F11">
        <w:rPr>
          <w:rFonts w:ascii="Times New Roman" w:hAnsi="Times New Roman" w:cs="Times New Roman"/>
        </w:rPr>
        <w:t xml:space="preserve"> </w:t>
      </w:r>
      <w:r w:rsidR="00325947">
        <w:rPr>
          <w:rFonts w:ascii="Times New Roman" w:hAnsi="Times New Roman" w:cs="Times New Roman"/>
        </w:rPr>
        <w:t xml:space="preserve">also was an early mover in avoiding commingling that could disrupt exports. It </w:t>
      </w:r>
      <w:r w:rsidRPr="004C0F11">
        <w:rPr>
          <w:rFonts w:ascii="Times New Roman" w:hAnsi="Times New Roman" w:cs="Times New Roman"/>
        </w:rPr>
        <w:t xml:space="preserve">proved </w:t>
      </w:r>
      <w:r w:rsidR="00325947">
        <w:rPr>
          <w:rFonts w:ascii="Times New Roman" w:hAnsi="Times New Roman" w:cs="Times New Roman"/>
        </w:rPr>
        <w:t xml:space="preserve">its commitment to </w:t>
      </w:r>
      <w:r w:rsidRPr="004C0F11">
        <w:rPr>
          <w:rFonts w:ascii="Times New Roman" w:hAnsi="Times New Roman" w:cs="Times New Roman"/>
        </w:rPr>
        <w:t xml:space="preserve">stewardship when it kept the commercial launch of the </w:t>
      </w:r>
      <w:proofErr w:type="spellStart"/>
      <w:r w:rsidR="003C34C0">
        <w:rPr>
          <w:rFonts w:ascii="Times New Roman" w:hAnsi="Times New Roman" w:cs="Times New Roman"/>
        </w:rPr>
        <w:t>Plenish</w:t>
      </w:r>
      <w:proofErr w:type="spellEnd"/>
      <w:r w:rsidR="003C34C0">
        <w:rPr>
          <w:rFonts w:ascii="Times New Roman" w:hAnsi="Times New Roman" w:cs="Times New Roman"/>
        </w:rPr>
        <w:t>™</w:t>
      </w:r>
      <w:r w:rsidR="00EA6730">
        <w:rPr>
          <w:rFonts w:ascii="Times New Roman" w:hAnsi="Times New Roman" w:cs="Times New Roman"/>
        </w:rPr>
        <w:t xml:space="preserve"> </w:t>
      </w:r>
      <w:r w:rsidRPr="004C0F11">
        <w:rPr>
          <w:rFonts w:ascii="Times New Roman" w:hAnsi="Times New Roman" w:cs="Times New Roman"/>
        </w:rPr>
        <w:t xml:space="preserve">High Oleic Soybean in 1999 contained within a closed-loop production system using the ASA/USB/NOPA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eleven-point plan</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(steps in preventing commingling with export-bound crops) to manage the potential liability risks.</w:t>
      </w:r>
      <w:r w:rsidR="003C34C0">
        <w:rPr>
          <w:rFonts w:ascii="Times New Roman" w:hAnsi="Times New Roman" w:cs="Times New Roman"/>
        </w:rPr>
        <w:t xml:space="preserve">  </w:t>
      </w:r>
      <w:proofErr w:type="spellStart"/>
      <w:r w:rsidR="003C34C0">
        <w:rPr>
          <w:rFonts w:ascii="Times New Roman" w:hAnsi="Times New Roman" w:cs="Times New Roman"/>
        </w:rPr>
        <w:t>Dupont</w:t>
      </w:r>
      <w:proofErr w:type="spellEnd"/>
      <w:r w:rsidR="003C34C0">
        <w:rPr>
          <w:rFonts w:ascii="Times New Roman" w:hAnsi="Times New Roman" w:cs="Times New Roman"/>
        </w:rPr>
        <w:t xml:space="preserve"> is marketing a new “stack” of </w:t>
      </w:r>
      <w:proofErr w:type="spellStart"/>
      <w:r w:rsidR="003C34C0">
        <w:rPr>
          <w:rFonts w:ascii="Times New Roman" w:hAnsi="Times New Roman" w:cs="Times New Roman"/>
        </w:rPr>
        <w:t>Plenish</w:t>
      </w:r>
      <w:proofErr w:type="spellEnd"/>
      <w:r w:rsidR="003C34C0">
        <w:rPr>
          <w:rFonts w:ascii="Times New Roman" w:hAnsi="Times New Roman" w:cs="Times New Roman"/>
        </w:rPr>
        <w:t xml:space="preserve"> with the off-patent generic Roundup Ready trait in 2017, with EU approval still pending.  ASA will expect this trait to stay in a closed-loop production system if it still lacks EU approval in the 2017 planting season (e.g., April-May). </w:t>
      </w:r>
    </w:p>
    <w:p w14:paraId="7A229D51" w14:textId="77777777" w:rsidR="00F34C16" w:rsidRPr="00051D26" w:rsidRDefault="00F34C16" w:rsidP="00325947">
      <w:pPr>
        <w:spacing w:line="276" w:lineRule="auto"/>
      </w:pPr>
    </w:p>
    <w:p w14:paraId="5D5EE0BE" w14:textId="4A9DB9C6" w:rsidR="00F35195" w:rsidRPr="004C0F11" w:rsidRDefault="007B3CE9" w:rsidP="002D5ACB">
      <w:pPr>
        <w:pStyle w:val="pxp"/>
        <w:spacing w:line="276" w:lineRule="auto"/>
        <w:ind w:firstLine="720"/>
        <w:rPr>
          <w:rFonts w:ascii="Times New Roman" w:hAnsi="Times New Roman" w:cs="Times New Roman"/>
        </w:rPr>
      </w:pPr>
      <w:r w:rsidRPr="004C0F11">
        <w:rPr>
          <w:rFonts w:ascii="Times New Roman" w:hAnsi="Times New Roman" w:cs="Times New Roman"/>
        </w:rPr>
        <w:t xml:space="preserve">In order to prevent disruption of grain shipments, grain buyers in the U.S. have imposed a contractual compliance mandate upon growers and biotech seed companies. All seed sold to growers in export-oriented production settings must be approved in all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major</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w:t>
      </w:r>
      <w:r w:rsidR="00307056">
        <w:rPr>
          <w:rFonts w:ascii="Times New Roman" w:hAnsi="Times New Roman" w:cs="Times New Roman"/>
        </w:rPr>
        <w:t xml:space="preserve">overseas </w:t>
      </w:r>
      <w:r w:rsidRPr="004C0F11">
        <w:rPr>
          <w:rFonts w:ascii="Times New Roman" w:hAnsi="Times New Roman" w:cs="Times New Roman"/>
        </w:rPr>
        <w:t xml:space="preserve">markets. To meet this demand for major market approval, growers conduct </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identity preservation</w:t>
      </w:r>
      <w:r w:rsidRPr="004C0F11">
        <w:rPr>
          <w:rStyle w:val="pxvis"/>
          <w:rFonts w:ascii="Times New Roman" w:hAnsi="Times New Roman" w:cs="Times New Roman"/>
          <w:b w:val="0"/>
          <w:bCs w:val="0"/>
          <w:sz w:val="24"/>
          <w:szCs w:val="24"/>
        </w:rPr>
        <w:t>”</w:t>
      </w:r>
      <w:r w:rsidRPr="004C0F11">
        <w:rPr>
          <w:rFonts w:ascii="Times New Roman" w:hAnsi="Times New Roman" w:cs="Times New Roman"/>
        </w:rPr>
        <w:t xml:space="preserve"> in a uniform, coordinated manner using terms specified in seed company contracts </w:t>
      </w:r>
      <w:r w:rsidRPr="004C0F11">
        <w:rPr>
          <w:rFonts w:ascii="Times New Roman" w:hAnsi="Times New Roman" w:cs="Times New Roman"/>
        </w:rPr>
        <w:lastRenderedPageBreak/>
        <w:t xml:space="preserve">with commercial growers. Dedicated grain elevators and transport vehicles may be used to process grain and </w:t>
      </w:r>
      <w:r w:rsidR="00EA6730">
        <w:rPr>
          <w:rFonts w:ascii="Times New Roman" w:hAnsi="Times New Roman" w:cs="Times New Roman"/>
        </w:rPr>
        <w:t>thereby convey</w:t>
      </w:r>
      <w:r w:rsidR="00EA6730" w:rsidRPr="004C0F11">
        <w:rPr>
          <w:rFonts w:ascii="Times New Roman" w:hAnsi="Times New Roman" w:cs="Times New Roman"/>
        </w:rPr>
        <w:t xml:space="preserve"> </w:t>
      </w:r>
      <w:r w:rsidRPr="004C0F11">
        <w:rPr>
          <w:rFonts w:ascii="Times New Roman" w:hAnsi="Times New Roman" w:cs="Times New Roman"/>
        </w:rPr>
        <w:t xml:space="preserve">to domestic use any grain that does not have major </w:t>
      </w:r>
      <w:r w:rsidR="00EA6730">
        <w:rPr>
          <w:rFonts w:ascii="Times New Roman" w:hAnsi="Times New Roman" w:cs="Times New Roman"/>
        </w:rPr>
        <w:t xml:space="preserve">overseas </w:t>
      </w:r>
      <w:r w:rsidRPr="004C0F11">
        <w:rPr>
          <w:rFonts w:ascii="Times New Roman" w:hAnsi="Times New Roman" w:cs="Times New Roman"/>
        </w:rPr>
        <w:t>market approval.</w:t>
      </w:r>
    </w:p>
    <w:p w14:paraId="2CE55FE5" w14:textId="77777777" w:rsidR="006147B1" w:rsidRPr="004C0F11" w:rsidRDefault="006147B1" w:rsidP="002D5ACB">
      <w:pPr>
        <w:spacing w:line="276" w:lineRule="auto"/>
        <w:rPr>
          <w:rFonts w:ascii="Times New Roman" w:hAnsi="Times New Roman" w:cs="Times New Roman"/>
        </w:rPr>
      </w:pPr>
    </w:p>
    <w:p w14:paraId="724571F7" w14:textId="7D005045" w:rsidR="009D2266" w:rsidRPr="004C0F11" w:rsidRDefault="007B3CE9" w:rsidP="0056359C">
      <w:pPr>
        <w:pStyle w:val="pxp"/>
        <w:spacing w:line="276" w:lineRule="auto"/>
        <w:rPr>
          <w:rFonts w:ascii="Times New Roman" w:hAnsi="Times New Roman" w:cs="Times New Roman"/>
        </w:rPr>
      </w:pPr>
      <w:r w:rsidRPr="004C0F11">
        <w:rPr>
          <w:rFonts w:ascii="Times New Roman" w:hAnsi="Times New Roman" w:cs="Times New Roman"/>
        </w:rPr>
        <w:t xml:space="preserve"> </w:t>
      </w:r>
      <w:r w:rsidRPr="004C0F11">
        <w:rPr>
          <w:rStyle w:val="pxvis"/>
          <w:rFonts w:ascii="Times New Roman" w:hAnsi="Times New Roman" w:cs="Times New Roman"/>
          <w:b w:val="0"/>
          <w:bCs w:val="0"/>
          <w:sz w:val="24"/>
          <w:szCs w:val="24"/>
        </w:rPr>
        <w:tab/>
      </w:r>
      <w:r w:rsidRPr="004C0F11">
        <w:rPr>
          <w:rFonts w:ascii="Times New Roman" w:hAnsi="Times New Roman" w:cs="Times New Roman"/>
        </w:rPr>
        <w:t xml:space="preserve">Going forward, there is a clear need to establish reasonable tolerances for genetic purity, that allow </w:t>
      </w:r>
      <w:r w:rsidR="00EA6730">
        <w:rPr>
          <w:rFonts w:ascii="Times New Roman" w:hAnsi="Times New Roman" w:cs="Times New Roman"/>
        </w:rPr>
        <w:t xml:space="preserve">small amounts of grain bearing </w:t>
      </w:r>
      <w:r w:rsidRPr="004C0F11">
        <w:rPr>
          <w:rFonts w:ascii="Times New Roman" w:hAnsi="Times New Roman" w:cs="Times New Roman"/>
        </w:rPr>
        <w:t>other genes to hitchhike in seed or commodity shipments at levels that are near the limits of detection.</w:t>
      </w:r>
      <w:r w:rsidR="00325947">
        <w:rPr>
          <w:rFonts w:ascii="Times New Roman" w:hAnsi="Times New Roman" w:cs="Times New Roman"/>
        </w:rPr>
        <w:t xml:space="preserve">  Most nations have zero tolerance for unapproved varieties (this is how China rejected U</w:t>
      </w:r>
      <w:r w:rsidR="00EA6730">
        <w:rPr>
          <w:rFonts w:ascii="Times New Roman" w:hAnsi="Times New Roman" w:cs="Times New Roman"/>
        </w:rPr>
        <w:t>.</w:t>
      </w:r>
      <w:r w:rsidR="00325947">
        <w:rPr>
          <w:rFonts w:ascii="Times New Roman" w:hAnsi="Times New Roman" w:cs="Times New Roman"/>
        </w:rPr>
        <w:t>S</w:t>
      </w:r>
      <w:r w:rsidR="00EA6730">
        <w:rPr>
          <w:rFonts w:ascii="Times New Roman" w:hAnsi="Times New Roman" w:cs="Times New Roman"/>
        </w:rPr>
        <w:t>.</w:t>
      </w:r>
      <w:r w:rsidR="00325947">
        <w:rPr>
          <w:rFonts w:ascii="Times New Roman" w:hAnsi="Times New Roman" w:cs="Times New Roman"/>
        </w:rPr>
        <w:t xml:space="preserve"> </w:t>
      </w:r>
      <w:r w:rsidR="00807292">
        <w:rPr>
          <w:rFonts w:ascii="Times New Roman" w:hAnsi="Times New Roman" w:cs="Times New Roman"/>
        </w:rPr>
        <w:t>corn bearing</w:t>
      </w:r>
      <w:r w:rsidR="00325947">
        <w:rPr>
          <w:rFonts w:ascii="Times New Roman" w:hAnsi="Times New Roman" w:cs="Times New Roman"/>
        </w:rPr>
        <w:t xml:space="preserve"> very low levels of </w:t>
      </w:r>
      <w:proofErr w:type="spellStart"/>
      <w:r w:rsidR="00325947">
        <w:rPr>
          <w:rFonts w:ascii="Times New Roman" w:hAnsi="Times New Roman" w:cs="Times New Roman"/>
        </w:rPr>
        <w:t>Viptera</w:t>
      </w:r>
      <w:proofErr w:type="spellEnd"/>
      <w:r w:rsidR="00325947">
        <w:rPr>
          <w:rFonts w:ascii="Times New Roman" w:hAnsi="Times New Roman" w:cs="Times New Roman"/>
        </w:rPr>
        <w:t xml:space="preserve">). Some nations </w:t>
      </w:r>
      <w:r w:rsidR="00B16BA7">
        <w:rPr>
          <w:rFonts w:ascii="Times New Roman" w:hAnsi="Times New Roman" w:cs="Times New Roman"/>
        </w:rPr>
        <w:t xml:space="preserve">(e.g., Korea, Vietnam, </w:t>
      </w:r>
      <w:proofErr w:type="gramStart"/>
      <w:r w:rsidR="00B16BA7">
        <w:rPr>
          <w:rFonts w:ascii="Times New Roman" w:hAnsi="Times New Roman" w:cs="Times New Roman"/>
        </w:rPr>
        <w:t>the</w:t>
      </w:r>
      <w:proofErr w:type="gramEnd"/>
      <w:r w:rsidR="00B16BA7">
        <w:rPr>
          <w:rFonts w:ascii="Times New Roman" w:hAnsi="Times New Roman" w:cs="Times New Roman"/>
        </w:rPr>
        <w:t xml:space="preserve"> EU from 2003 to 2007 under its Traceability Directive) </w:t>
      </w:r>
      <w:r w:rsidR="00325947">
        <w:rPr>
          <w:rFonts w:ascii="Times New Roman" w:hAnsi="Times New Roman" w:cs="Times New Roman"/>
        </w:rPr>
        <w:t>are using a tolerance of 0.5% for unapproved varieties, only for feed uses, to prevent trade disruption, since that low level of commingling does not pose a health threat to animals.</w:t>
      </w:r>
      <w:r w:rsidR="00B16BA7">
        <w:rPr>
          <w:rFonts w:ascii="Times New Roman" w:hAnsi="Times New Roman" w:cs="Times New Roman"/>
        </w:rPr>
        <w:t xml:space="preserve">  This is a reasonable science-based approach to feed safety, and no animal health effects have arisen from these policies.</w:t>
      </w:r>
    </w:p>
    <w:p w14:paraId="5D90AC05" w14:textId="47A22395" w:rsidR="004C0F11" w:rsidRDefault="00F34C16">
      <w:pPr>
        <w:pStyle w:val="pxs"/>
        <w:spacing w:before="180"/>
        <w:rPr>
          <w:rFonts w:ascii="Times New Roman" w:hAnsi="Times New Roman" w:cs="Times New Roman"/>
          <w:b/>
        </w:rPr>
      </w:pPr>
      <w:r>
        <w:rPr>
          <w:rFonts w:ascii="Times New Roman" w:hAnsi="Times New Roman" w:cs="Times New Roman"/>
          <w:b/>
        </w:rPr>
        <w:t>IV</w:t>
      </w:r>
      <w:r w:rsidR="007B3CE9" w:rsidRPr="004C0F11">
        <w:rPr>
          <w:rFonts w:ascii="Times New Roman" w:hAnsi="Times New Roman" w:cs="Times New Roman"/>
          <w:b/>
        </w:rPr>
        <w:t>.</w:t>
      </w:r>
      <w:r w:rsidR="006147B1" w:rsidRPr="004C0F11">
        <w:rPr>
          <w:rFonts w:ascii="Times New Roman" w:hAnsi="Times New Roman" w:cs="Times New Roman"/>
          <w:b/>
        </w:rPr>
        <w:t xml:space="preserve"> </w:t>
      </w:r>
      <w:r w:rsidR="004C0F11">
        <w:rPr>
          <w:rFonts w:ascii="Times New Roman" w:hAnsi="Times New Roman" w:cs="Times New Roman"/>
          <w:b/>
        </w:rPr>
        <w:t xml:space="preserve">Claims Made in Anticipatory Nuisance </w:t>
      </w:r>
      <w:r w:rsidR="00EA69A1">
        <w:rPr>
          <w:rFonts w:ascii="Times New Roman" w:hAnsi="Times New Roman" w:cs="Times New Roman"/>
          <w:b/>
        </w:rPr>
        <w:t>for</w:t>
      </w:r>
      <w:r w:rsidR="004C0F11">
        <w:rPr>
          <w:rFonts w:ascii="Times New Roman" w:hAnsi="Times New Roman" w:cs="Times New Roman"/>
          <w:b/>
        </w:rPr>
        <w:t xml:space="preserve"> Unapproved Biotech Crops</w:t>
      </w:r>
    </w:p>
    <w:p w14:paraId="2836EAAA" w14:textId="0B72C0CC" w:rsidR="004C0F11" w:rsidRDefault="004C0F11" w:rsidP="004C0F11"/>
    <w:p w14:paraId="323020BC" w14:textId="0724F873" w:rsidR="00B16BA7" w:rsidRDefault="00B16BA7" w:rsidP="004C0F11">
      <w:pPr>
        <w:spacing w:after="240" w:line="276" w:lineRule="auto"/>
        <w:ind w:firstLine="720"/>
      </w:pPr>
      <w:r>
        <w:t xml:space="preserve">The same growers and grain traders suing Syngenta for billions could have possibly sued in 2011 seeking an injunction against the sale, citing the NGFA’s study in support.  This section will review the literature and cases allowing an anticipatory nuisance. </w:t>
      </w:r>
    </w:p>
    <w:p w14:paraId="75390316" w14:textId="049A5BB7" w:rsidR="00B16BA7" w:rsidRDefault="000E3130" w:rsidP="004C0F11">
      <w:pPr>
        <w:spacing w:after="240" w:line="276" w:lineRule="auto"/>
        <w:ind w:firstLine="720"/>
      </w:pPr>
      <w:r>
        <w:t>The seminal article on anticipatory nuisance law in agricultural biotechnology is Margaret Grossman’s article “</w:t>
      </w:r>
      <w:r w:rsidRPr="00B43A05">
        <w:t>Anticipatory nuisance and the prevention of environmental harm and economic loss from GMOs in the United States</w:t>
      </w:r>
      <w:r>
        <w:t>”,</w:t>
      </w:r>
      <w:r>
        <w:rPr>
          <w:rStyle w:val="FootnoteReference"/>
        </w:rPr>
        <w:footnoteReference w:id="52"/>
      </w:r>
      <w:r>
        <w:t xml:space="preserve"> which received the “best paper” award at</w:t>
      </w:r>
      <w:r w:rsidR="00173352">
        <w:t xml:space="preserve"> the annual meeting of the American Agricultural Law Association</w:t>
      </w:r>
      <w:r>
        <w:t xml:space="preserve"> </w:t>
      </w:r>
      <w:r w:rsidR="00173352">
        <w:t>(“</w:t>
      </w:r>
      <w:r>
        <w:t>AALA</w:t>
      </w:r>
      <w:r w:rsidR="00173352">
        <w:t>”)</w:t>
      </w:r>
      <w:r>
        <w:t xml:space="preserve"> 2007.  </w:t>
      </w:r>
    </w:p>
    <w:p w14:paraId="472EF9D5" w14:textId="504A02E1" w:rsidR="00B16BA7" w:rsidRDefault="00B16BA7" w:rsidP="004C0F11">
      <w:pPr>
        <w:spacing w:after="240" w:line="276" w:lineRule="auto"/>
        <w:ind w:firstLine="720"/>
      </w:pPr>
      <w:r>
        <w:t>One of the ca</w:t>
      </w:r>
      <w:r w:rsidR="00742281">
        <w:t xml:space="preserve">ses cited by Professor Grossman, </w:t>
      </w:r>
      <w:r w:rsidRPr="00DD4511">
        <w:rPr>
          <w:i/>
        </w:rPr>
        <w:t>Hoffman &amp; Beaudoin v. Monsanto Canada</w:t>
      </w:r>
      <w:r w:rsidR="00C83AFB">
        <w:t>,</w:t>
      </w:r>
      <w:r w:rsidR="005A02C2">
        <w:rPr>
          <w:rStyle w:val="FootnoteReference"/>
        </w:rPr>
        <w:footnoteReference w:id="53"/>
      </w:r>
      <w:r w:rsidR="00742281">
        <w:t xml:space="preserve"> </w:t>
      </w:r>
      <w:r w:rsidRPr="00CA6CDD">
        <w:t>involved</w:t>
      </w:r>
      <w:r w:rsidR="00C83AFB">
        <w:t xml:space="preserve"> a claim for anticipatory nuisance against</w:t>
      </w:r>
      <w:r w:rsidRPr="00CA6CDD">
        <w:t xml:space="preserve"> biotech canola that was unapproved in the European Union.  In </w:t>
      </w:r>
      <w:r w:rsidRPr="00CA6CDD">
        <w:rPr>
          <w:i/>
        </w:rPr>
        <w:t>Hoffman</w:t>
      </w:r>
      <w:r>
        <w:rPr>
          <w:i/>
        </w:rPr>
        <w:t>,</w:t>
      </w:r>
      <w:r w:rsidRPr="00CA6CDD">
        <w:t xml:space="preserve"> both Bayer Crop Sciences and Monsanto Canada won an important partial victory early in the litigation.  The court rejected the idea that defendants substantially contributed to a nuisance when they dropped export-oriented identity preservation and failed to safeguard canola exports to the EU with their voluntary identity-preservation program.  In a long, very scholarly decision, the </w:t>
      </w:r>
      <w:r w:rsidRPr="00CA6CDD">
        <w:rPr>
          <w:i/>
        </w:rPr>
        <w:t>Hoffman</w:t>
      </w:r>
      <w:r w:rsidRPr="00CA6CDD">
        <w:t xml:space="preserve"> court cited U</w:t>
      </w:r>
      <w:r w:rsidR="00307056">
        <w:t>.</w:t>
      </w:r>
      <w:r w:rsidRPr="00CA6CDD">
        <w:t>S</w:t>
      </w:r>
      <w:r w:rsidR="00307056">
        <w:t>.</w:t>
      </w:r>
      <w:r w:rsidRPr="00CA6CDD">
        <w:t xml:space="preserve"> case law in support of its decision.</w:t>
      </w:r>
      <w:r w:rsidR="00742281">
        <w:t xml:space="preserve"> Canadian courts are the only ones to address a claim for anticipatory nuisance against </w:t>
      </w:r>
      <w:r w:rsidR="00742281" w:rsidRPr="00CA6CDD">
        <w:t>biotech seed companies for failure to implement identity preservation for unapproved-in-EU varieties of biotech crops</w:t>
      </w:r>
      <w:r w:rsidR="00742281">
        <w:t>.</w:t>
      </w:r>
      <w:r w:rsidR="00742281" w:rsidRPr="00CA6CDD">
        <w:t xml:space="preserve">  </w:t>
      </w:r>
    </w:p>
    <w:p w14:paraId="4604FD30" w14:textId="134FB98C" w:rsidR="00742281" w:rsidRPr="00173352" w:rsidRDefault="00742281" w:rsidP="00173352">
      <w:pPr>
        <w:spacing w:after="240" w:line="276" w:lineRule="auto"/>
        <w:ind w:firstLine="720"/>
        <w:rPr>
          <w:rFonts w:ascii="Times New Roman" w:hAnsi="Times New Roman" w:cs="Times New Roman"/>
        </w:rPr>
      </w:pPr>
      <w:r>
        <w:t>Since the Grossman</w:t>
      </w:r>
      <w:r w:rsidR="000E3130">
        <w:t xml:space="preserve"> article was written, however</w:t>
      </w:r>
      <w:r w:rsidR="00B16BA7">
        <w:t>, to this author’s knowledge, no other</w:t>
      </w:r>
      <w:r w:rsidR="000E3130">
        <w:t xml:space="preserve"> claim for anticipatory nuisance has been filed to stop the commercial launch of a biotech crop.</w:t>
      </w:r>
    </w:p>
    <w:p w14:paraId="66266E5F" w14:textId="3202E92C" w:rsidR="00A21166" w:rsidRPr="00A21166" w:rsidRDefault="004C0F11" w:rsidP="00A21166">
      <w:pPr>
        <w:pStyle w:val="ListParagraph"/>
        <w:widowControl/>
        <w:numPr>
          <w:ilvl w:val="0"/>
          <w:numId w:val="13"/>
        </w:numPr>
        <w:autoSpaceDE/>
        <w:autoSpaceDN/>
        <w:adjustRightInd/>
        <w:spacing w:after="240" w:line="276" w:lineRule="auto"/>
        <w:rPr>
          <w:rFonts w:ascii="Times New Roman" w:hAnsi="Times New Roman" w:cs="Times New Roman"/>
          <w:b/>
        </w:rPr>
      </w:pPr>
      <w:r w:rsidRPr="00F34C16">
        <w:rPr>
          <w:rFonts w:ascii="Times New Roman" w:hAnsi="Times New Roman" w:cs="Times New Roman"/>
          <w:b/>
        </w:rPr>
        <w:lastRenderedPageBreak/>
        <w:t>Negligence</w:t>
      </w:r>
    </w:p>
    <w:p w14:paraId="47F290F4" w14:textId="4A436894" w:rsidR="005F178E" w:rsidRDefault="005F178E" w:rsidP="005F178E">
      <w:pPr>
        <w:spacing w:line="276" w:lineRule="auto"/>
        <w:ind w:firstLine="720"/>
        <w:rPr>
          <w:rFonts w:ascii="Times New Roman" w:hAnsi="Times New Roman"/>
        </w:rPr>
      </w:pPr>
      <w:r w:rsidRPr="00B728AB">
        <w:rPr>
          <w:rFonts w:ascii="Times New Roman" w:hAnsi="Times New Roman"/>
        </w:rPr>
        <w:t>As P</w:t>
      </w:r>
      <w:r>
        <w:rPr>
          <w:rFonts w:ascii="Times New Roman" w:hAnsi="Times New Roman"/>
        </w:rPr>
        <w:t>rofessor Grossman discusses in her</w:t>
      </w:r>
      <w:r w:rsidRPr="00B728AB">
        <w:rPr>
          <w:rFonts w:ascii="Times New Roman" w:hAnsi="Times New Roman"/>
        </w:rPr>
        <w:t xml:space="preserve"> ground-breaking article: </w:t>
      </w:r>
    </w:p>
    <w:p w14:paraId="3FAFC682" w14:textId="77777777" w:rsidR="005F178E" w:rsidRPr="00B728AB" w:rsidRDefault="005F178E" w:rsidP="005F178E">
      <w:pPr>
        <w:spacing w:line="276" w:lineRule="auto"/>
        <w:ind w:firstLine="720"/>
        <w:rPr>
          <w:rFonts w:ascii="Times New Roman" w:hAnsi="Times New Roman"/>
        </w:rPr>
      </w:pPr>
    </w:p>
    <w:p w14:paraId="202A6F74" w14:textId="3D801FFA" w:rsidR="005F178E" w:rsidRDefault="005F178E" w:rsidP="005F178E">
      <w:pPr>
        <w:spacing w:line="276" w:lineRule="auto"/>
        <w:ind w:left="720" w:right="720"/>
        <w:rPr>
          <w:rFonts w:ascii="Times New Roman" w:hAnsi="Times New Roman"/>
        </w:rPr>
      </w:pPr>
      <w:r w:rsidRPr="00B728AB">
        <w:rPr>
          <w:rFonts w:ascii="Times New Roman" w:hAnsi="Times New Roman"/>
        </w:rPr>
        <w:t>A claim of negligence usually requires the plaintiff to prove that the defendant had a duty to conform to a specific standard of conduct (normally, to exercise reasonable care under the circumstances), that the defendant breached that duty, that the plaintiff suffered harm, and that the defendant's breach of duty was the proximate cause of plaintiff's injury.</w:t>
      </w:r>
      <w:r w:rsidRPr="00B728AB">
        <w:rPr>
          <w:rStyle w:val="FootnoteReference"/>
          <w:rFonts w:ascii="Times New Roman" w:hAnsi="Times New Roman"/>
        </w:rPr>
        <w:footnoteReference w:id="54"/>
      </w:r>
      <w:r w:rsidRPr="00B728AB">
        <w:rPr>
          <w:rFonts w:ascii="Times New Roman" w:hAnsi="Times New Roman"/>
        </w:rPr>
        <w:t xml:space="preserve"> </w:t>
      </w:r>
    </w:p>
    <w:p w14:paraId="77577FF3" w14:textId="77777777" w:rsidR="005F178E" w:rsidRPr="005F178E" w:rsidRDefault="005F178E" w:rsidP="005F178E">
      <w:pPr>
        <w:spacing w:line="276" w:lineRule="auto"/>
        <w:ind w:left="720" w:right="720"/>
        <w:rPr>
          <w:rFonts w:ascii="Times New Roman" w:hAnsi="Times New Roman"/>
        </w:rPr>
      </w:pPr>
    </w:p>
    <w:p w14:paraId="6C61D648" w14:textId="2A39329B" w:rsidR="00A21166" w:rsidRPr="00150C15" w:rsidRDefault="00A21166" w:rsidP="00A21166">
      <w:pPr>
        <w:spacing w:after="240" w:line="276" w:lineRule="auto"/>
        <w:ind w:firstLine="720"/>
        <w:rPr>
          <w:rFonts w:ascii="Times New Roman" w:hAnsi="Times New Roman" w:cs="Times New Roman"/>
        </w:rPr>
      </w:pPr>
      <w:r>
        <w:rPr>
          <w:rFonts w:ascii="Times New Roman" w:hAnsi="Times New Roman" w:cs="Times New Roman"/>
        </w:rPr>
        <w:t>A biotech seed company</w:t>
      </w:r>
      <w:r w:rsidRPr="00150C15">
        <w:rPr>
          <w:rFonts w:ascii="Times New Roman" w:hAnsi="Times New Roman" w:cs="Times New Roman"/>
        </w:rPr>
        <w:t xml:space="preserve"> could be liable in negligence for violating a standard of care that has existed for nearly 20 years in the entire U.S. soybean seed industry. </w:t>
      </w:r>
      <w:r>
        <w:rPr>
          <w:rFonts w:ascii="Times New Roman" w:hAnsi="Times New Roman" w:cs="Times New Roman"/>
        </w:rPr>
        <w:t>Every biotech seed company</w:t>
      </w:r>
      <w:r w:rsidRPr="00150C15">
        <w:rPr>
          <w:rFonts w:ascii="Times New Roman" w:hAnsi="Times New Roman" w:cs="Times New Roman"/>
        </w:rPr>
        <w:t xml:space="preserve"> has dutifully followed the standard of care set in 1997 by the American Soybean Association, which was confirmed and supported by grain trade associations</w:t>
      </w:r>
      <w:r>
        <w:rPr>
          <w:rFonts w:ascii="Times New Roman" w:hAnsi="Times New Roman" w:cs="Times New Roman"/>
        </w:rPr>
        <w:t xml:space="preserve">, requiring regulatory approval in major </w:t>
      </w:r>
      <w:r w:rsidR="00307056">
        <w:rPr>
          <w:rFonts w:ascii="Times New Roman" w:hAnsi="Times New Roman" w:cs="Times New Roman"/>
        </w:rPr>
        <w:t xml:space="preserve">overseas </w:t>
      </w:r>
      <w:r>
        <w:rPr>
          <w:rFonts w:ascii="Times New Roman" w:hAnsi="Times New Roman" w:cs="Times New Roman"/>
        </w:rPr>
        <w:t>markets before commercial launch of a biotech soybean in the U.S</w:t>
      </w:r>
      <w:r w:rsidRPr="00150C15">
        <w:rPr>
          <w:rFonts w:ascii="Times New Roman" w:hAnsi="Times New Roman" w:cs="Times New Roman"/>
        </w:rPr>
        <w:t xml:space="preserve">.  This “major overseas market approval” policy required approval in key soybean export markets (including the EU) prior to commercialization of a new biotech soybean variety.  It was understood that companies who disrupt trade could be held liable in negligence for failing to arrange the necessary elements of stewardship to prevent that disruption of trade. </w:t>
      </w:r>
    </w:p>
    <w:p w14:paraId="00667854" w14:textId="5F8637E1" w:rsidR="00A21166" w:rsidRPr="00150C15" w:rsidRDefault="00A21166" w:rsidP="00A21166">
      <w:pPr>
        <w:spacing w:line="276" w:lineRule="auto"/>
        <w:ind w:firstLine="360"/>
        <w:rPr>
          <w:rFonts w:ascii="Times New Roman" w:eastAsia="Times New Roman" w:hAnsi="Times New Roman" w:cs="Times New Roman"/>
        </w:rPr>
      </w:pPr>
      <w:r w:rsidRPr="00150C15">
        <w:rPr>
          <w:rFonts w:ascii="Times New Roman" w:eastAsia="Times New Roman" w:hAnsi="Times New Roman" w:cs="Times New Roman"/>
        </w:rPr>
        <w:t xml:space="preserve">There is </w:t>
      </w:r>
      <w:r w:rsidR="00C83AFB">
        <w:rPr>
          <w:rFonts w:ascii="Times New Roman" w:eastAsia="Times New Roman" w:hAnsi="Times New Roman" w:cs="Times New Roman"/>
        </w:rPr>
        <w:t>recent history</w:t>
      </w:r>
      <w:r w:rsidRPr="00150C15">
        <w:rPr>
          <w:rFonts w:ascii="Times New Roman" w:eastAsia="Times New Roman" w:hAnsi="Times New Roman" w:cs="Times New Roman"/>
        </w:rPr>
        <w:t xml:space="preserve"> for </w:t>
      </w:r>
      <w:r w:rsidR="00C83AFB">
        <w:rPr>
          <w:rFonts w:ascii="Times New Roman" w:eastAsia="Times New Roman" w:hAnsi="Times New Roman" w:cs="Times New Roman"/>
        </w:rPr>
        <w:t xml:space="preserve">quietly </w:t>
      </w:r>
      <w:r w:rsidRPr="00150C15">
        <w:rPr>
          <w:rFonts w:ascii="Times New Roman" w:eastAsia="Times New Roman" w:hAnsi="Times New Roman" w:cs="Times New Roman"/>
        </w:rPr>
        <w:t xml:space="preserve">invoking this ancient legal doctrine to restrain negligent launches of biotech crops.  The threat of injunctive relief against biotech </w:t>
      </w:r>
      <w:r w:rsidR="00307056">
        <w:rPr>
          <w:rFonts w:ascii="Times New Roman" w:eastAsia="Times New Roman" w:hAnsi="Times New Roman" w:cs="Times New Roman"/>
        </w:rPr>
        <w:t xml:space="preserve">seed </w:t>
      </w:r>
      <w:r w:rsidRPr="00150C15">
        <w:rPr>
          <w:rFonts w:ascii="Times New Roman" w:eastAsia="Times New Roman" w:hAnsi="Times New Roman" w:cs="Times New Roman"/>
        </w:rPr>
        <w:t>companies with inadequate stewardship was used to restrain the sale of Liberty Link™ soybeans</w:t>
      </w:r>
      <w:r w:rsidR="00C83AFB">
        <w:rPr>
          <w:rFonts w:ascii="Times New Roman" w:eastAsia="Times New Roman" w:hAnsi="Times New Roman" w:cs="Times New Roman"/>
        </w:rPr>
        <w:t xml:space="preserve"> from </w:t>
      </w:r>
      <w:proofErr w:type="spellStart"/>
      <w:r w:rsidR="00C83AFB">
        <w:rPr>
          <w:rFonts w:ascii="Times New Roman" w:eastAsia="Times New Roman" w:hAnsi="Times New Roman" w:cs="Times New Roman"/>
        </w:rPr>
        <w:t>AgrEvo</w:t>
      </w:r>
      <w:proofErr w:type="spellEnd"/>
      <w:r w:rsidR="00C83AFB">
        <w:rPr>
          <w:rFonts w:ascii="Times New Roman" w:eastAsia="Times New Roman" w:hAnsi="Times New Roman" w:cs="Times New Roman"/>
        </w:rPr>
        <w:t xml:space="preserve"> USA (predecessor to Aventis)</w:t>
      </w:r>
      <w:r w:rsidRPr="00150C15">
        <w:rPr>
          <w:rFonts w:ascii="Times New Roman" w:eastAsia="Times New Roman" w:hAnsi="Times New Roman" w:cs="Times New Roman"/>
        </w:rPr>
        <w:t xml:space="preserve"> in 1998. The legal basis for the ASA's threat of injunctive relief prior to sale was the ancient and rarely invoked doctrine of “</w:t>
      </w:r>
      <w:r w:rsidRPr="00150C15">
        <w:rPr>
          <w:rFonts w:ascii="Times New Roman" w:eastAsia="Times New Roman" w:hAnsi="Times New Roman" w:cs="Times New Roman"/>
          <w:bCs/>
        </w:rPr>
        <w:t>anticipatory</w:t>
      </w:r>
      <w:r w:rsidRPr="00150C15">
        <w:rPr>
          <w:rFonts w:ascii="Times New Roman" w:eastAsia="Times New Roman" w:hAnsi="Times New Roman" w:cs="Times New Roman"/>
        </w:rPr>
        <w:t> </w:t>
      </w:r>
      <w:r w:rsidRPr="00150C15">
        <w:rPr>
          <w:rFonts w:ascii="Times New Roman" w:eastAsia="Times New Roman" w:hAnsi="Times New Roman" w:cs="Times New Roman"/>
          <w:bCs/>
        </w:rPr>
        <w:t>nuisance</w:t>
      </w:r>
      <w:r w:rsidRPr="00150C15">
        <w:rPr>
          <w:rFonts w:ascii="Times New Roman" w:eastAsia="Times New Roman" w:hAnsi="Times New Roman" w:cs="Times New Roman"/>
        </w:rPr>
        <w:t xml:space="preserve">,” along with ASA's more credible warning </w:t>
      </w:r>
      <w:r w:rsidR="00307056">
        <w:rPr>
          <w:rFonts w:ascii="Times New Roman" w:eastAsia="Times New Roman" w:hAnsi="Times New Roman" w:cs="Times New Roman"/>
        </w:rPr>
        <w:t xml:space="preserve">of </w:t>
      </w:r>
      <w:r w:rsidRPr="00150C15">
        <w:rPr>
          <w:rFonts w:ascii="Times New Roman" w:eastAsia="Times New Roman" w:hAnsi="Times New Roman" w:cs="Times New Roman"/>
        </w:rPr>
        <w:t xml:space="preserve">a massive compensatory damages lawsuit (the latter threat was validated by the billion dollar debacles </w:t>
      </w:r>
      <w:r w:rsidR="00C83AFB">
        <w:rPr>
          <w:rFonts w:ascii="Times New Roman" w:eastAsia="Times New Roman" w:hAnsi="Times New Roman" w:cs="Times New Roman"/>
        </w:rPr>
        <w:t>that the same company, Aventis, later saw in</w:t>
      </w:r>
      <w:r w:rsidRPr="00150C15">
        <w:rPr>
          <w:rFonts w:ascii="Times New Roman" w:eastAsia="Times New Roman" w:hAnsi="Times New Roman" w:cs="Times New Roman"/>
        </w:rPr>
        <w:t xml:space="preserve"> </w:t>
      </w:r>
      <w:r w:rsidR="00C83AFB">
        <w:rPr>
          <w:rFonts w:ascii="Times New Roman" w:eastAsia="Times New Roman" w:hAnsi="Times New Roman" w:cs="Times New Roman"/>
        </w:rPr>
        <w:t>the Liberty Link™ Soybean’</w:t>
      </w:r>
      <w:r w:rsidRPr="00150C15">
        <w:rPr>
          <w:rFonts w:ascii="Times New Roman" w:eastAsia="Times New Roman" w:hAnsi="Times New Roman" w:cs="Times New Roman"/>
        </w:rPr>
        <w:t xml:space="preserve">s sister crops, </w:t>
      </w:r>
      <w:proofErr w:type="spellStart"/>
      <w:r w:rsidRPr="00150C15">
        <w:rPr>
          <w:rFonts w:ascii="Times New Roman" w:eastAsia="Times New Roman" w:hAnsi="Times New Roman" w:cs="Times New Roman"/>
        </w:rPr>
        <w:t>Starlink</w:t>
      </w:r>
      <w:proofErr w:type="spellEnd"/>
      <w:r w:rsidRPr="00150C15">
        <w:rPr>
          <w:rFonts w:ascii="Times New Roman" w:eastAsia="Times New Roman" w:hAnsi="Times New Roman" w:cs="Times New Roman"/>
        </w:rPr>
        <w:t>™ corn</w:t>
      </w:r>
      <w:r>
        <w:rPr>
          <w:rFonts w:ascii="Times New Roman" w:eastAsia="Times New Roman" w:hAnsi="Times New Roman" w:cs="Times New Roman"/>
        </w:rPr>
        <w:t xml:space="preserve"> and Liberty Link™</w:t>
      </w:r>
      <w:r w:rsidRPr="00150C15">
        <w:rPr>
          <w:rFonts w:ascii="Times New Roman" w:eastAsia="Times New Roman" w:hAnsi="Times New Roman" w:cs="Times New Roman"/>
        </w:rPr>
        <w:t xml:space="preserve"> rice). </w:t>
      </w:r>
    </w:p>
    <w:p w14:paraId="5A1D6EE6" w14:textId="77777777" w:rsidR="00FB37D9" w:rsidRPr="00FB37D9" w:rsidRDefault="00FB37D9" w:rsidP="00FB37D9">
      <w:pPr>
        <w:rPr>
          <w:rFonts w:ascii="Times New Roman" w:hAnsi="Times New Roman" w:cs="Times New Roman"/>
          <w:b/>
        </w:rPr>
      </w:pPr>
    </w:p>
    <w:p w14:paraId="5624B3E2" w14:textId="6B3E59A4" w:rsidR="00FB37D9" w:rsidRPr="00FB37D9" w:rsidRDefault="00FB37D9" w:rsidP="00FB37D9">
      <w:pPr>
        <w:pStyle w:val="ListParagraph"/>
        <w:numPr>
          <w:ilvl w:val="0"/>
          <w:numId w:val="13"/>
        </w:numPr>
        <w:rPr>
          <w:rFonts w:ascii="Times New Roman" w:hAnsi="Times New Roman" w:cs="Times New Roman"/>
          <w:b/>
        </w:rPr>
      </w:pPr>
      <w:r>
        <w:rPr>
          <w:rFonts w:ascii="Times New Roman" w:hAnsi="Times New Roman" w:cs="Times New Roman"/>
          <w:b/>
        </w:rPr>
        <w:t xml:space="preserve">Fraud </w:t>
      </w:r>
      <w:r>
        <w:rPr>
          <w:rFonts w:ascii="Times New Roman" w:eastAsia="Times New Roman" w:hAnsi="Times New Roman" w:cs="Times New Roman"/>
          <w:b/>
        </w:rPr>
        <w:t>and Negligent Misrepresentation</w:t>
      </w:r>
    </w:p>
    <w:p w14:paraId="5201E76E" w14:textId="77777777" w:rsidR="00FB37D9" w:rsidRPr="00FB37D9" w:rsidRDefault="00FB37D9" w:rsidP="00FB37D9">
      <w:pPr>
        <w:pStyle w:val="ListParagraph"/>
        <w:ind w:left="1800"/>
        <w:rPr>
          <w:rFonts w:ascii="Times New Roman" w:hAnsi="Times New Roman" w:cs="Times New Roman"/>
          <w:b/>
        </w:rPr>
      </w:pPr>
    </w:p>
    <w:p w14:paraId="32CE1770" w14:textId="6CD1B74B" w:rsidR="00FB37D9" w:rsidRDefault="00C63EC0" w:rsidP="00C63EC0">
      <w:pPr>
        <w:spacing w:after="240" w:line="276" w:lineRule="auto"/>
        <w:ind w:firstLine="720"/>
        <w:rPr>
          <w:rFonts w:ascii="Times New Roman" w:hAnsi="Times New Roman" w:cs="Times New Roman"/>
          <w:bCs/>
        </w:rPr>
      </w:pPr>
      <w:r w:rsidRPr="00150C15">
        <w:rPr>
          <w:rFonts w:ascii="Times New Roman" w:hAnsi="Times New Roman" w:cs="Times New Roman"/>
        </w:rPr>
        <w:t xml:space="preserve">In addition to potential negligence </w:t>
      </w:r>
      <w:r w:rsidR="00F56A46">
        <w:rPr>
          <w:rFonts w:ascii="Times New Roman" w:hAnsi="Times New Roman" w:cs="Times New Roman"/>
        </w:rPr>
        <w:t>a</w:t>
      </w:r>
      <w:r w:rsidR="00A21166">
        <w:rPr>
          <w:rFonts w:ascii="Times New Roman" w:hAnsi="Times New Roman" w:cs="Times New Roman"/>
        </w:rPr>
        <w:t>nd nuisance</w:t>
      </w:r>
      <w:r w:rsidR="00F56A46">
        <w:rPr>
          <w:rFonts w:ascii="Times New Roman" w:hAnsi="Times New Roman" w:cs="Times New Roman"/>
        </w:rPr>
        <w:t xml:space="preserve"> </w:t>
      </w:r>
      <w:r w:rsidRPr="00150C15">
        <w:rPr>
          <w:rFonts w:ascii="Times New Roman" w:hAnsi="Times New Roman" w:cs="Times New Roman"/>
        </w:rPr>
        <w:t>claims, fraud claims</w:t>
      </w:r>
      <w:r w:rsidRPr="00150C15">
        <w:rPr>
          <w:rFonts w:ascii="Times New Roman" w:hAnsi="Times New Roman" w:cs="Times New Roman"/>
          <w:bCs/>
        </w:rPr>
        <w:t xml:space="preserve"> could arise from any misrepresentations – e.g., promises of </w:t>
      </w:r>
      <w:r w:rsidR="00307056">
        <w:rPr>
          <w:rFonts w:ascii="Times New Roman" w:hAnsi="Times New Roman" w:cs="Times New Roman"/>
          <w:bCs/>
        </w:rPr>
        <w:t xml:space="preserve">overseas </w:t>
      </w:r>
      <w:r w:rsidRPr="00150C15">
        <w:rPr>
          <w:rFonts w:ascii="Times New Roman" w:hAnsi="Times New Roman" w:cs="Times New Roman"/>
          <w:bCs/>
        </w:rPr>
        <w:t xml:space="preserve">approval before harvest that lacked a factual basis, or marketing materials with factual misstatements. </w:t>
      </w:r>
    </w:p>
    <w:p w14:paraId="4471B527" w14:textId="474B817F" w:rsidR="00FB37D9" w:rsidRDefault="00FB37D9" w:rsidP="00FE2605">
      <w:pPr>
        <w:spacing w:line="276" w:lineRule="auto"/>
        <w:ind w:firstLine="720"/>
        <w:rPr>
          <w:rFonts w:ascii="Times New Roman" w:eastAsia="Times New Roman" w:hAnsi="Times New Roman" w:cs="Times New Roman"/>
        </w:rPr>
      </w:pPr>
      <w:r w:rsidRPr="00150C15">
        <w:rPr>
          <w:rFonts w:ascii="Times New Roman" w:eastAsia="Times New Roman" w:hAnsi="Times New Roman" w:cs="Times New Roman"/>
        </w:rPr>
        <w:t xml:space="preserve">Given the added element of inadequate disclosure to farmers that may be present, the consumer fraud statutes of many states might also be invoked. Where no adequate consumer fraud statute is on the books, the law of nuisance can adapt to stop a fraud in progress (if it </w:t>
      </w:r>
      <w:r w:rsidRPr="00150C15">
        <w:rPr>
          <w:rFonts w:ascii="Times New Roman" w:eastAsia="Times New Roman" w:hAnsi="Times New Roman" w:cs="Times New Roman"/>
        </w:rPr>
        <w:lastRenderedPageBreak/>
        <w:t>occurs against a large enough group) on grounds that it constitutes a foreseeable public nuisance.</w:t>
      </w:r>
    </w:p>
    <w:p w14:paraId="36B3BE3A" w14:textId="77777777" w:rsidR="00FE2605" w:rsidRPr="00FE2605" w:rsidRDefault="00FE2605" w:rsidP="00FE2605">
      <w:pPr>
        <w:spacing w:line="276" w:lineRule="auto"/>
        <w:ind w:firstLine="720"/>
        <w:rPr>
          <w:rFonts w:ascii="Times New Roman" w:eastAsia="Times New Roman" w:hAnsi="Times New Roman" w:cs="Times New Roman"/>
        </w:rPr>
      </w:pPr>
    </w:p>
    <w:p w14:paraId="384976D2" w14:textId="1A4DE026" w:rsidR="00FB37D9" w:rsidRPr="00FB37D9" w:rsidRDefault="00FB37D9" w:rsidP="00FB37D9">
      <w:pPr>
        <w:pStyle w:val="ListParagraph"/>
        <w:numPr>
          <w:ilvl w:val="0"/>
          <w:numId w:val="16"/>
        </w:numPr>
        <w:spacing w:after="240" w:line="276" w:lineRule="auto"/>
        <w:rPr>
          <w:rFonts w:ascii="Times New Roman" w:eastAsia="Times New Roman" w:hAnsi="Times New Roman" w:cs="Times New Roman"/>
        </w:rPr>
      </w:pPr>
      <w:r w:rsidRPr="00FB37D9">
        <w:rPr>
          <w:rFonts w:ascii="Times New Roman" w:hAnsi="Times New Roman" w:cs="Times New Roman"/>
          <w:b/>
          <w:bCs/>
        </w:rPr>
        <w:t xml:space="preserve">Syngenta’s Alleged </w:t>
      </w:r>
      <w:r>
        <w:rPr>
          <w:rFonts w:ascii="Times New Roman" w:hAnsi="Times New Roman" w:cs="Times New Roman"/>
          <w:b/>
          <w:bCs/>
        </w:rPr>
        <w:t>Fraud</w:t>
      </w:r>
    </w:p>
    <w:p w14:paraId="6C52492F" w14:textId="276793CA" w:rsidR="00FB37D9" w:rsidRDefault="00FB37D9" w:rsidP="00FB37D9">
      <w:pPr>
        <w:suppressAutoHyphens/>
        <w:spacing w:line="276" w:lineRule="auto"/>
        <w:ind w:firstLine="720"/>
        <w:rPr>
          <w:rFonts w:ascii="Calibri" w:eastAsia="Calibri" w:hAnsi="Calibri" w:cs="Calibri"/>
        </w:rPr>
      </w:pPr>
      <w:r w:rsidRPr="00C63EC0">
        <w:rPr>
          <w:rFonts w:ascii="Times New Roman" w:eastAsia="Times New Roman" w:hAnsi="Times New Roman" w:cs="Times New Roman"/>
        </w:rPr>
        <w:t>In the pending Syngenta case,</w:t>
      </w:r>
      <w:r>
        <w:rPr>
          <w:rFonts w:ascii="Times New Roman" w:eastAsia="Times New Roman" w:hAnsi="Times New Roman" w:cs="Times New Roman"/>
          <w:b/>
        </w:rPr>
        <w:t xml:space="preserve"> </w:t>
      </w:r>
      <w:r>
        <w:rPr>
          <w:rFonts w:ascii="Times New Roman" w:eastAsia="Times New Roman" w:hAnsi="Times New Roman" w:cs="Times New Roman"/>
        </w:rPr>
        <w:t xml:space="preserve">plaintiffs allege that Syngenta negligently stated that approval from China was imminent in late 2013 and </w:t>
      </w:r>
      <w:r w:rsidRPr="00D47781">
        <w:rPr>
          <w:rFonts w:ascii="Times New Roman" w:eastAsia="Times New Roman" w:hAnsi="Times New Roman" w:cs="Times New Roman"/>
        </w:rPr>
        <w:t xml:space="preserve">that Syngenta had a document on its website that purported to be an approval of </w:t>
      </w:r>
      <w:proofErr w:type="spellStart"/>
      <w:r w:rsidR="00FB21E0">
        <w:rPr>
          <w:rFonts w:ascii="Times New Roman" w:eastAsia="Times New Roman" w:hAnsi="Times New Roman" w:cs="Times New Roman"/>
        </w:rPr>
        <w:t>Viptera</w:t>
      </w:r>
      <w:proofErr w:type="spellEnd"/>
      <w:r w:rsidR="00FB21E0">
        <w:rPr>
          <w:rFonts w:ascii="Times New Roman" w:eastAsia="Times New Roman" w:hAnsi="Times New Roman" w:cs="Times New Roman"/>
        </w:rPr>
        <w:t>™</w:t>
      </w:r>
      <w:r w:rsidRPr="00D47781">
        <w:rPr>
          <w:rFonts w:ascii="Times New Roman" w:eastAsia="Times New Roman" w:hAnsi="Times New Roman" w:cs="Times New Roman"/>
        </w:rPr>
        <w:t xml:space="preserve"> from the Chinese government.  These misrepresentations led growers and corn seed buyers to believe that China had finally approved </w:t>
      </w:r>
      <w:proofErr w:type="spellStart"/>
      <w:r w:rsidR="00FB21E0">
        <w:rPr>
          <w:rFonts w:ascii="Times New Roman" w:eastAsia="Times New Roman" w:hAnsi="Times New Roman" w:cs="Times New Roman"/>
        </w:rPr>
        <w:t>Viptera</w:t>
      </w:r>
      <w:proofErr w:type="spellEnd"/>
      <w:r w:rsidR="00FB21E0">
        <w:rPr>
          <w:rFonts w:ascii="Times New Roman" w:eastAsia="Times New Roman" w:hAnsi="Times New Roman" w:cs="Times New Roman"/>
        </w:rPr>
        <w:t>™</w:t>
      </w:r>
      <w:r w:rsidRPr="00D47781">
        <w:rPr>
          <w:rFonts w:ascii="Times New Roman" w:eastAsia="Times New Roman" w:hAnsi="Times New Roman" w:cs="Times New Roman"/>
        </w:rPr>
        <w:t xml:space="preserve"> when actually it had not.  China did not approve this event until late 2014.  Growers, who relied on these representations in 2013, purchased and planted seed without realizing the risk it </w:t>
      </w:r>
      <w:r>
        <w:rPr>
          <w:rFonts w:ascii="Times New Roman" w:eastAsia="Times New Roman" w:hAnsi="Times New Roman" w:cs="Times New Roman"/>
        </w:rPr>
        <w:t xml:space="preserve">could </w:t>
      </w:r>
      <w:r w:rsidRPr="00D47781">
        <w:rPr>
          <w:rFonts w:ascii="Times New Roman" w:eastAsia="Times New Roman" w:hAnsi="Times New Roman" w:cs="Times New Roman"/>
        </w:rPr>
        <w:t>p</w:t>
      </w:r>
      <w:r>
        <w:rPr>
          <w:rFonts w:ascii="Times New Roman" w:eastAsia="Times New Roman" w:hAnsi="Times New Roman" w:cs="Times New Roman"/>
        </w:rPr>
        <w:t>ose</w:t>
      </w:r>
      <w:r w:rsidRPr="00D47781">
        <w:rPr>
          <w:rFonts w:ascii="Times New Roman" w:eastAsia="Times New Roman" w:hAnsi="Times New Roman" w:cs="Times New Roman"/>
        </w:rPr>
        <w:t xml:space="preserve"> to </w:t>
      </w:r>
      <w:r>
        <w:rPr>
          <w:rFonts w:ascii="Times New Roman" w:eastAsia="Times New Roman" w:hAnsi="Times New Roman" w:cs="Times New Roman"/>
        </w:rPr>
        <w:t xml:space="preserve">U.S. commodity corn trade to major </w:t>
      </w:r>
      <w:r w:rsidRPr="00D47781">
        <w:rPr>
          <w:rFonts w:ascii="Times New Roman" w:eastAsia="Times New Roman" w:hAnsi="Times New Roman" w:cs="Times New Roman"/>
        </w:rPr>
        <w:t>export markets</w:t>
      </w:r>
      <w:r>
        <w:rPr>
          <w:rFonts w:ascii="Times New Roman" w:eastAsia="Times New Roman" w:hAnsi="Times New Roman" w:cs="Times New Roman"/>
          <w:color w:val="333333"/>
        </w:rPr>
        <w:t>.</w:t>
      </w:r>
    </w:p>
    <w:p w14:paraId="2BCE8317" w14:textId="77777777" w:rsidR="00FB37D9" w:rsidRDefault="00FB37D9" w:rsidP="00FB37D9">
      <w:pPr>
        <w:suppressAutoHyphens/>
        <w:spacing w:line="276" w:lineRule="auto"/>
        <w:rPr>
          <w:rFonts w:ascii="Times New Roman" w:eastAsia="Times New Roman" w:hAnsi="Times New Roman" w:cs="Times New Roman"/>
          <w:color w:val="333333"/>
        </w:rPr>
      </w:pPr>
      <w:r>
        <w:rPr>
          <w:rFonts w:ascii="Times New Roman" w:eastAsia="Times New Roman" w:hAnsi="Times New Roman" w:cs="Times New Roman"/>
          <w:color w:val="333333"/>
        </w:rPr>
        <w:tab/>
      </w:r>
    </w:p>
    <w:p w14:paraId="2C87DC4D" w14:textId="0C67474A" w:rsidR="00FB37D9" w:rsidRDefault="00FE2605" w:rsidP="00FB37D9">
      <w:pPr>
        <w:suppressAutoHyphens/>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Plaintiffs alleged that </w:t>
      </w:r>
      <w:r w:rsidR="00FB37D9">
        <w:rPr>
          <w:rFonts w:ascii="Times New Roman" w:eastAsia="Times New Roman" w:hAnsi="Times New Roman" w:cs="Times New Roman"/>
        </w:rPr>
        <w:t xml:space="preserve">Syngenta’s decision to bring </w:t>
      </w:r>
      <w:proofErr w:type="spellStart"/>
      <w:r w:rsidR="00FB21E0">
        <w:rPr>
          <w:rFonts w:ascii="Times New Roman" w:eastAsia="Times New Roman" w:hAnsi="Times New Roman" w:cs="Times New Roman"/>
        </w:rPr>
        <w:t>Viptera</w:t>
      </w:r>
      <w:proofErr w:type="spellEnd"/>
      <w:r w:rsidR="00FB21E0">
        <w:rPr>
          <w:rFonts w:ascii="Times New Roman" w:eastAsia="Times New Roman" w:hAnsi="Times New Roman" w:cs="Times New Roman"/>
        </w:rPr>
        <w:t>™</w:t>
      </w:r>
      <w:r w:rsidR="00C83AFB">
        <w:rPr>
          <w:rFonts w:ascii="Times New Roman" w:eastAsia="Times New Roman" w:hAnsi="Times New Roman" w:cs="Times New Roman"/>
        </w:rPr>
        <w:t xml:space="preserve"> </w:t>
      </w:r>
      <w:r w:rsidR="00FB37D9">
        <w:rPr>
          <w:rFonts w:ascii="Times New Roman" w:eastAsia="Times New Roman" w:hAnsi="Times New Roman" w:cs="Times New Roman"/>
        </w:rPr>
        <w:t>to the market crippled the 2013/2014 corn export market</w:t>
      </w:r>
      <w:r w:rsidR="00C83AFB">
        <w:rPr>
          <w:rFonts w:ascii="Times New Roman" w:eastAsia="Times New Roman" w:hAnsi="Times New Roman" w:cs="Times New Roman"/>
        </w:rPr>
        <w:t xml:space="preserve"> to China and caused damage to p</w:t>
      </w:r>
      <w:r w:rsidR="00FB37D9">
        <w:rPr>
          <w:rFonts w:ascii="Times New Roman" w:eastAsia="Times New Roman" w:hAnsi="Times New Roman" w:cs="Times New Roman"/>
        </w:rPr>
        <w:t>laintiff</w:t>
      </w:r>
      <w:r w:rsidR="00C83AFB">
        <w:rPr>
          <w:rFonts w:ascii="Times New Roman" w:eastAsia="Times New Roman" w:hAnsi="Times New Roman" w:cs="Times New Roman"/>
        </w:rPr>
        <w:t>s</w:t>
      </w:r>
      <w:r w:rsidR="00FB37D9">
        <w:rPr>
          <w:rFonts w:ascii="Times New Roman" w:eastAsia="Times New Roman" w:hAnsi="Times New Roman" w:cs="Times New Roman"/>
        </w:rPr>
        <w:t xml:space="preserve">. Syngenta knew, or should have known, that releasing </w:t>
      </w:r>
      <w:proofErr w:type="spellStart"/>
      <w:r w:rsidR="00FB21E0">
        <w:rPr>
          <w:rFonts w:ascii="Times New Roman" w:eastAsia="Times New Roman" w:hAnsi="Times New Roman" w:cs="Times New Roman"/>
        </w:rPr>
        <w:t>Viptera</w:t>
      </w:r>
      <w:proofErr w:type="spellEnd"/>
      <w:r w:rsidR="00FB21E0">
        <w:rPr>
          <w:rFonts w:ascii="Times New Roman" w:eastAsia="Times New Roman" w:hAnsi="Times New Roman" w:cs="Times New Roman"/>
        </w:rPr>
        <w:t>™</w:t>
      </w:r>
      <w:r w:rsidR="00C83AFB">
        <w:rPr>
          <w:rFonts w:ascii="Times New Roman" w:eastAsia="Times New Roman" w:hAnsi="Times New Roman" w:cs="Times New Roman"/>
        </w:rPr>
        <w:t xml:space="preserve"> </w:t>
      </w:r>
      <w:r w:rsidR="00FB37D9">
        <w:rPr>
          <w:rFonts w:ascii="Times New Roman" w:eastAsia="Times New Roman" w:hAnsi="Times New Roman" w:cs="Times New Roman"/>
        </w:rPr>
        <w:t xml:space="preserve">would lead to the contamination of U.S. commodity corn shipments and prevent U.S. corn from being sold to export markets such as China, which had not granted regulatory approval of </w:t>
      </w:r>
      <w:proofErr w:type="spellStart"/>
      <w:r w:rsidR="00FB21E0">
        <w:rPr>
          <w:rFonts w:ascii="Times New Roman" w:eastAsia="Times New Roman" w:hAnsi="Times New Roman" w:cs="Times New Roman"/>
        </w:rPr>
        <w:t>Viptera</w:t>
      </w:r>
      <w:proofErr w:type="spellEnd"/>
      <w:r w:rsidR="00FB21E0">
        <w:rPr>
          <w:rFonts w:ascii="Times New Roman" w:eastAsia="Times New Roman" w:hAnsi="Times New Roman" w:cs="Times New Roman"/>
        </w:rPr>
        <w:t>™</w:t>
      </w:r>
      <w:r w:rsidR="005F178E">
        <w:rPr>
          <w:rFonts w:ascii="Times New Roman" w:eastAsia="Times New Roman" w:hAnsi="Times New Roman" w:cs="Times New Roman"/>
        </w:rPr>
        <w:t xml:space="preserve">. </w:t>
      </w:r>
      <w:r>
        <w:rPr>
          <w:rFonts w:ascii="Times New Roman" w:eastAsia="Times New Roman" w:hAnsi="Times New Roman" w:cs="Times New Roman"/>
        </w:rPr>
        <w:t xml:space="preserve"> Syngenta’s CEO should not have told growers and grain traders that regulatory approval was imminent in 2012 when other employees had stated 2013 at the earliest, given Syngenta’s failure to file the correct field trial data.</w:t>
      </w:r>
    </w:p>
    <w:p w14:paraId="731B52BB" w14:textId="77777777" w:rsidR="00FB37D9" w:rsidRDefault="00FB37D9" w:rsidP="00FB37D9">
      <w:pPr>
        <w:suppressAutoHyphens/>
        <w:spacing w:line="276" w:lineRule="auto"/>
        <w:ind w:firstLine="720"/>
        <w:rPr>
          <w:rFonts w:ascii="Times New Roman" w:eastAsia="Times New Roman" w:hAnsi="Times New Roman" w:cs="Times New Roman"/>
        </w:rPr>
      </w:pPr>
    </w:p>
    <w:p w14:paraId="0559FC52" w14:textId="79203163" w:rsidR="00FB37D9" w:rsidRPr="00FB37D9" w:rsidRDefault="00FE2605" w:rsidP="00FB37D9">
      <w:pPr>
        <w:spacing w:after="240" w:line="276" w:lineRule="auto"/>
        <w:ind w:firstLine="720"/>
        <w:rPr>
          <w:rFonts w:ascii="Times New Roman" w:hAnsi="Times New Roman" w:cs="Times New Roman"/>
          <w:b/>
          <w:bCs/>
        </w:rPr>
      </w:pPr>
      <w:r>
        <w:rPr>
          <w:rFonts w:ascii="Times New Roman" w:eastAsia="Times New Roman" w:hAnsi="Times New Roman" w:cs="Times New Roman"/>
        </w:rPr>
        <w:t xml:space="preserve">According to </w:t>
      </w:r>
      <w:r w:rsidR="003C34C0">
        <w:rPr>
          <w:rFonts w:ascii="Times New Roman" w:eastAsia="Times New Roman" w:hAnsi="Times New Roman" w:cs="Times New Roman"/>
        </w:rPr>
        <w:t>plaintiffs’</w:t>
      </w:r>
      <w:r>
        <w:rPr>
          <w:rFonts w:ascii="Times New Roman" w:eastAsia="Times New Roman" w:hAnsi="Times New Roman" w:cs="Times New Roman"/>
        </w:rPr>
        <w:t xml:space="preserve"> allegations, </w:t>
      </w:r>
      <w:r w:rsidR="00FB37D9" w:rsidRPr="00FB37D9">
        <w:rPr>
          <w:rFonts w:ascii="Times New Roman" w:eastAsia="Times New Roman" w:hAnsi="Times New Roman" w:cs="Times New Roman"/>
        </w:rPr>
        <w:t>Syngenta’s CEO at the time, Mike Mack, allegedly told the investing and seed-buying public in late 2011 that he expected approval in China in 2012, in plenty of time for the coming</w:t>
      </w:r>
      <w:r>
        <w:rPr>
          <w:rFonts w:ascii="Times New Roman" w:eastAsia="Times New Roman" w:hAnsi="Times New Roman" w:cs="Times New Roman"/>
        </w:rPr>
        <w:t xml:space="preserve"> harvest.  This representation may</w:t>
      </w:r>
      <w:r w:rsidR="00FB37D9" w:rsidRPr="00FB37D9">
        <w:rPr>
          <w:rFonts w:ascii="Times New Roman" w:eastAsia="Times New Roman" w:hAnsi="Times New Roman" w:cs="Times New Roman"/>
        </w:rPr>
        <w:t xml:space="preserve"> not hold up factually, since regulatory compliance employees had reported that approval could not be obtained before 2013, due to a 2011 rejection of field trial data.  If the CEO does not have his facts straight, fraud liability can ensue.</w:t>
      </w:r>
    </w:p>
    <w:p w14:paraId="0B4ACD30" w14:textId="09FDACE5" w:rsidR="00FB37D9" w:rsidRPr="00FB37D9" w:rsidRDefault="00FB37D9" w:rsidP="00FB37D9">
      <w:pPr>
        <w:pStyle w:val="ListParagraph"/>
        <w:numPr>
          <w:ilvl w:val="0"/>
          <w:numId w:val="16"/>
        </w:numPr>
        <w:spacing w:after="240" w:line="276" w:lineRule="auto"/>
        <w:rPr>
          <w:rFonts w:ascii="Times New Roman" w:eastAsia="Times New Roman" w:hAnsi="Times New Roman" w:cs="Times New Roman"/>
        </w:rPr>
      </w:pPr>
      <w:r>
        <w:rPr>
          <w:rFonts w:ascii="Times New Roman" w:hAnsi="Times New Roman" w:cs="Times New Roman"/>
          <w:b/>
          <w:bCs/>
        </w:rPr>
        <w:t>Monsanto’s Online Statements</w:t>
      </w:r>
      <w:r w:rsidR="00A21166" w:rsidRPr="00FB37D9">
        <w:rPr>
          <w:rFonts w:ascii="Times New Roman" w:hAnsi="Times New Roman" w:cs="Times New Roman"/>
          <w:bCs/>
        </w:rPr>
        <w:t xml:space="preserve"> </w:t>
      </w:r>
    </w:p>
    <w:p w14:paraId="4FAE5359" w14:textId="77777777" w:rsidR="00FB37D9" w:rsidRDefault="00FB37D9" w:rsidP="00FB37D9">
      <w:pPr>
        <w:spacing w:after="240" w:line="276" w:lineRule="auto"/>
        <w:ind w:firstLine="720"/>
        <w:rPr>
          <w:rFonts w:ascii="Times New Roman" w:hAnsi="Times New Roman" w:cs="Times New Roman"/>
          <w:bCs/>
        </w:rPr>
      </w:pPr>
      <w:r>
        <w:rPr>
          <w:rFonts w:ascii="Times New Roman" w:hAnsi="Times New Roman" w:cs="Times New Roman"/>
          <w:bCs/>
        </w:rPr>
        <w:t xml:space="preserve">In addition, complications and misrepresentations can arise from the use of form contracts and online representations. Sometimes a </w:t>
      </w:r>
      <w:r w:rsidRPr="00150C15">
        <w:rPr>
          <w:rFonts w:ascii="Times New Roman" w:hAnsi="Times New Roman" w:cs="Times New Roman"/>
          <w:bCs/>
        </w:rPr>
        <w:t>seed advertisement</w:t>
      </w:r>
      <w:r>
        <w:rPr>
          <w:rFonts w:ascii="Times New Roman" w:hAnsi="Times New Roman" w:cs="Times New Roman"/>
          <w:bCs/>
        </w:rPr>
        <w:t xml:space="preserve"> (and seed contract</w:t>
      </w:r>
      <w:r w:rsidRPr="00150C15">
        <w:rPr>
          <w:rFonts w:ascii="Times New Roman" w:hAnsi="Times New Roman" w:cs="Times New Roman"/>
          <w:bCs/>
        </w:rPr>
        <w:t xml:space="preserve">) </w:t>
      </w:r>
      <w:r>
        <w:rPr>
          <w:rFonts w:ascii="Times New Roman" w:hAnsi="Times New Roman" w:cs="Times New Roman"/>
          <w:bCs/>
        </w:rPr>
        <w:t xml:space="preserve">may </w:t>
      </w:r>
      <w:r w:rsidRPr="00150C15">
        <w:rPr>
          <w:rFonts w:ascii="Times New Roman" w:hAnsi="Times New Roman" w:cs="Times New Roman"/>
          <w:bCs/>
        </w:rPr>
        <w:t>caut</w:t>
      </w:r>
      <w:r>
        <w:rPr>
          <w:rFonts w:ascii="Times New Roman" w:hAnsi="Times New Roman" w:cs="Times New Roman"/>
          <w:bCs/>
        </w:rPr>
        <w:t>ion growers about the lack of overseas</w:t>
      </w:r>
      <w:r w:rsidRPr="00150C15">
        <w:rPr>
          <w:rFonts w:ascii="Times New Roman" w:hAnsi="Times New Roman" w:cs="Times New Roman"/>
          <w:bCs/>
        </w:rPr>
        <w:t xml:space="preserve"> approval</w:t>
      </w:r>
      <w:r>
        <w:rPr>
          <w:rFonts w:ascii="Times New Roman" w:hAnsi="Times New Roman" w:cs="Times New Roman"/>
          <w:bCs/>
        </w:rPr>
        <w:t xml:space="preserve">.  This excerpt from a Monsanto ad from early 2016 (before the late July 2016 approval of RR2 </w:t>
      </w:r>
      <w:proofErr w:type="spellStart"/>
      <w:r>
        <w:rPr>
          <w:rFonts w:ascii="Times New Roman" w:hAnsi="Times New Roman" w:cs="Times New Roman"/>
          <w:bCs/>
        </w:rPr>
        <w:t>Xtend</w:t>
      </w:r>
      <w:proofErr w:type="spellEnd"/>
      <w:r>
        <w:rPr>
          <w:rFonts w:ascii="Times New Roman" w:hAnsi="Times New Roman" w:cs="Times New Roman"/>
          <w:bCs/>
        </w:rPr>
        <w:t xml:space="preserve"> soybean) illustrates how companies warn growers of trade disruption risk</w:t>
      </w:r>
      <w:r w:rsidRPr="00150C15">
        <w:rPr>
          <w:rFonts w:ascii="Times New Roman" w:hAnsi="Times New Roman" w:cs="Times New Roman"/>
          <w:bCs/>
        </w:rPr>
        <w:t xml:space="preserve">: </w:t>
      </w:r>
    </w:p>
    <w:p w14:paraId="6DC05DEA" w14:textId="77777777" w:rsidR="00FB37D9" w:rsidRPr="00150C15" w:rsidRDefault="00FB37D9" w:rsidP="00FB37D9">
      <w:pPr>
        <w:spacing w:after="240" w:line="276" w:lineRule="auto"/>
        <w:ind w:left="720"/>
        <w:rPr>
          <w:rFonts w:ascii="Times New Roman" w:hAnsi="Times New Roman" w:cs="Times New Roman"/>
        </w:rPr>
      </w:pPr>
      <w:r w:rsidRPr="00150C15">
        <w:rPr>
          <w:rFonts w:ascii="Times New Roman" w:hAnsi="Times New Roman" w:cs="Times New Roman"/>
        </w:rPr>
        <w:t xml:space="preserve">The single events in Roundup Ready 2 </w:t>
      </w:r>
      <w:proofErr w:type="spellStart"/>
      <w:r w:rsidRPr="00150C15">
        <w:rPr>
          <w:rFonts w:ascii="Times New Roman" w:hAnsi="Times New Roman" w:cs="Times New Roman"/>
        </w:rPr>
        <w:t>Xtend</w:t>
      </w:r>
      <w:proofErr w:type="spellEnd"/>
      <w:r>
        <w:rPr>
          <w:rFonts w:ascii="Times New Roman" w:eastAsia="Times New Roman" w:hAnsi="Times New Roman" w:cs="Times New Roman"/>
        </w:rPr>
        <w:t xml:space="preserve">® </w:t>
      </w:r>
      <w:r w:rsidRPr="00150C15">
        <w:rPr>
          <w:rFonts w:ascii="Times New Roman" w:hAnsi="Times New Roman" w:cs="Times New Roman"/>
        </w:rPr>
        <w:t xml:space="preserve">soybeans have been approved for import in the EU. As of February 2, 2016, E.U. stack approval for Roundup Ready 2 </w:t>
      </w:r>
      <w:proofErr w:type="spellStart"/>
      <w:r w:rsidRPr="00150C15">
        <w:rPr>
          <w:rFonts w:ascii="Times New Roman" w:hAnsi="Times New Roman" w:cs="Times New Roman"/>
        </w:rPr>
        <w:t>Xtend</w:t>
      </w:r>
      <w:proofErr w:type="spellEnd"/>
      <w:r w:rsidRPr="00150C15">
        <w:rPr>
          <w:rFonts w:ascii="Times New Roman" w:hAnsi="Times New Roman" w:cs="Times New Roman"/>
        </w:rPr>
        <w:t xml:space="preserve"> soybeans is in the final stage of approval and is expected but not guaranteed to be received in the near future…It is a violation of national and international law to move material containing biotech traits across boundaries into nations where import is not permitted. Growers should talk to their grain handler or product purchaser to confirm </w:t>
      </w:r>
      <w:r w:rsidRPr="00150C15">
        <w:rPr>
          <w:rFonts w:ascii="Times New Roman" w:hAnsi="Times New Roman" w:cs="Times New Roman"/>
        </w:rPr>
        <w:lastRenderedPageBreak/>
        <w:t xml:space="preserve">their buying position for this product. Growers should refer to http://www.biotradestatus.com/ for any updated information on import country </w:t>
      </w:r>
      <w:r>
        <w:rPr>
          <w:rFonts w:ascii="Times New Roman" w:hAnsi="Times New Roman" w:cs="Times New Roman"/>
        </w:rPr>
        <w:t>approvals.</w:t>
      </w:r>
    </w:p>
    <w:p w14:paraId="07DFB905" w14:textId="6605C4F3" w:rsidR="00FB37D9" w:rsidRDefault="00FB37D9" w:rsidP="00FB37D9">
      <w:pPr>
        <w:spacing w:after="240" w:line="276" w:lineRule="auto"/>
        <w:ind w:firstLine="720"/>
        <w:rPr>
          <w:rFonts w:ascii="Times New Roman" w:hAnsi="Times New Roman" w:cs="Times New Roman"/>
        </w:rPr>
      </w:pPr>
      <w:r>
        <w:rPr>
          <w:rFonts w:ascii="Times New Roman" w:hAnsi="Times New Roman" w:cs="Times New Roman"/>
        </w:rPr>
        <w:t>Potentially fraudulent complications can arise when the grower refers to t</w:t>
      </w:r>
      <w:r w:rsidRPr="00150C15">
        <w:rPr>
          <w:rFonts w:ascii="Times New Roman" w:hAnsi="Times New Roman" w:cs="Times New Roman"/>
        </w:rPr>
        <w:t xml:space="preserve">he </w:t>
      </w:r>
      <w:proofErr w:type="spellStart"/>
      <w:r w:rsidRPr="00150C15">
        <w:rPr>
          <w:rFonts w:ascii="Times New Roman" w:hAnsi="Times New Roman" w:cs="Times New Roman"/>
        </w:rPr>
        <w:t>Croplife</w:t>
      </w:r>
      <w:proofErr w:type="spellEnd"/>
      <w:r w:rsidRPr="00150C15">
        <w:rPr>
          <w:rFonts w:ascii="Times New Roman" w:hAnsi="Times New Roman" w:cs="Times New Roman"/>
        </w:rPr>
        <w:t xml:space="preserve"> International “</w:t>
      </w:r>
      <w:proofErr w:type="spellStart"/>
      <w:r w:rsidRPr="00150C15">
        <w:rPr>
          <w:rFonts w:ascii="Times New Roman" w:hAnsi="Times New Roman" w:cs="Times New Roman"/>
        </w:rPr>
        <w:t>biotradestatus</w:t>
      </w:r>
      <w:proofErr w:type="spellEnd"/>
      <w:r w:rsidRPr="00150C15">
        <w:rPr>
          <w:rFonts w:ascii="Times New Roman" w:hAnsi="Times New Roman" w:cs="Times New Roman"/>
        </w:rPr>
        <w:t>” database</w:t>
      </w:r>
      <w:r>
        <w:rPr>
          <w:rFonts w:ascii="Times New Roman" w:hAnsi="Times New Roman" w:cs="Times New Roman"/>
        </w:rPr>
        <w:t xml:space="preserve"> and Monsanto has not updated its information.  At the time this ad was being marketed, Monsanto had not updated the </w:t>
      </w:r>
      <w:proofErr w:type="spellStart"/>
      <w:r>
        <w:rPr>
          <w:rFonts w:ascii="Times New Roman" w:hAnsi="Times New Roman" w:cs="Times New Roman"/>
        </w:rPr>
        <w:t>Croplife</w:t>
      </w:r>
      <w:proofErr w:type="spellEnd"/>
      <w:r>
        <w:rPr>
          <w:rFonts w:ascii="Times New Roman" w:hAnsi="Times New Roman" w:cs="Times New Roman"/>
        </w:rPr>
        <w:t xml:space="preserve"> database to make sure it was </w:t>
      </w:r>
      <w:r w:rsidRPr="00150C15">
        <w:rPr>
          <w:rFonts w:ascii="Times New Roman" w:hAnsi="Times New Roman" w:cs="Times New Roman"/>
        </w:rPr>
        <w:t>consistent with the marketing mate</w:t>
      </w:r>
      <w:r>
        <w:rPr>
          <w:rFonts w:ascii="Times New Roman" w:hAnsi="Times New Roman" w:cs="Times New Roman"/>
        </w:rPr>
        <w:t>rials selling RR2X soybeans – the database wrongly listed</w:t>
      </w:r>
      <w:r w:rsidRPr="00150C15">
        <w:rPr>
          <w:rFonts w:ascii="Times New Roman" w:hAnsi="Times New Roman" w:cs="Times New Roman"/>
        </w:rPr>
        <w:t xml:space="preserve"> the RR2X soybean stack as “not commercialized” in the United States and other markets.  The</w:t>
      </w:r>
      <w:r>
        <w:rPr>
          <w:rFonts w:ascii="Times New Roman" w:hAnsi="Times New Roman" w:cs="Times New Roman"/>
        </w:rPr>
        <w:t xml:space="preserve"> Monsanto section of this </w:t>
      </w:r>
      <w:r w:rsidRPr="00150C15">
        <w:rPr>
          <w:rFonts w:ascii="Times New Roman" w:hAnsi="Times New Roman" w:cs="Times New Roman"/>
        </w:rPr>
        <w:t>website list</w:t>
      </w:r>
      <w:r>
        <w:rPr>
          <w:rFonts w:ascii="Times New Roman" w:hAnsi="Times New Roman" w:cs="Times New Roman"/>
        </w:rPr>
        <w:t>ed</w:t>
      </w:r>
      <w:r w:rsidRPr="00150C15">
        <w:rPr>
          <w:rFonts w:ascii="Times New Roman" w:hAnsi="Times New Roman" w:cs="Times New Roman"/>
        </w:rPr>
        <w:t xml:space="preserve"> four </w:t>
      </w:r>
      <w:r>
        <w:rPr>
          <w:rFonts w:ascii="Times New Roman" w:hAnsi="Times New Roman" w:cs="Times New Roman"/>
        </w:rPr>
        <w:t xml:space="preserve">Monsanto </w:t>
      </w:r>
      <w:r w:rsidRPr="00150C15">
        <w:rPr>
          <w:rFonts w:ascii="Times New Roman" w:hAnsi="Times New Roman" w:cs="Times New Roman"/>
        </w:rPr>
        <w:t>soybeans that ha</w:t>
      </w:r>
      <w:r>
        <w:rPr>
          <w:rFonts w:ascii="Times New Roman" w:hAnsi="Times New Roman" w:cs="Times New Roman"/>
        </w:rPr>
        <w:t>d</w:t>
      </w:r>
      <w:r w:rsidRPr="00150C15">
        <w:rPr>
          <w:rFonts w:ascii="Times New Roman" w:hAnsi="Times New Roman" w:cs="Times New Roman"/>
        </w:rPr>
        <w:t xml:space="preserve"> import approval in various nations. While the database accurately state</w:t>
      </w:r>
      <w:r>
        <w:rPr>
          <w:rFonts w:ascii="Times New Roman" w:hAnsi="Times New Roman" w:cs="Times New Roman"/>
        </w:rPr>
        <w:t>d</w:t>
      </w:r>
      <w:r w:rsidRPr="00150C15">
        <w:rPr>
          <w:rFonts w:ascii="Times New Roman" w:hAnsi="Times New Roman" w:cs="Times New Roman"/>
        </w:rPr>
        <w:t xml:space="preserve"> the lack of EU Approval, it </w:t>
      </w:r>
      <w:r>
        <w:rPr>
          <w:rFonts w:ascii="Times New Roman" w:hAnsi="Times New Roman" w:cs="Times New Roman"/>
        </w:rPr>
        <w:t>was</w:t>
      </w:r>
      <w:r w:rsidRPr="00150C15">
        <w:rPr>
          <w:rFonts w:ascii="Times New Roman" w:hAnsi="Times New Roman" w:cs="Times New Roman"/>
        </w:rPr>
        <w:t xml:space="preserve"> not correct in stating that </w:t>
      </w:r>
      <w:r w:rsidR="00DD7BDB">
        <w:rPr>
          <w:rFonts w:ascii="Times New Roman" w:hAnsi="Times New Roman" w:cs="Times New Roman"/>
        </w:rPr>
        <w:t>the RR2 X</w:t>
      </w:r>
      <w:r>
        <w:rPr>
          <w:rFonts w:ascii="Times New Roman" w:eastAsia="Times New Roman" w:hAnsi="Times New Roman" w:cs="Times New Roman"/>
        </w:rPr>
        <w:t xml:space="preserve"> </w:t>
      </w:r>
      <w:r>
        <w:rPr>
          <w:rFonts w:ascii="Times New Roman" w:hAnsi="Times New Roman" w:cs="Times New Roman"/>
        </w:rPr>
        <w:t>variety is “</w:t>
      </w:r>
      <w:r w:rsidRPr="00150C15">
        <w:rPr>
          <w:rFonts w:ascii="Times New Roman" w:hAnsi="Times New Roman" w:cs="Times New Roman"/>
        </w:rPr>
        <w:t xml:space="preserve">Not Commercialized” – in fact, </w:t>
      </w:r>
      <w:r>
        <w:rPr>
          <w:rFonts w:ascii="Times New Roman" w:hAnsi="Times New Roman" w:cs="Times New Roman"/>
        </w:rPr>
        <w:t>Monsanto had</w:t>
      </w:r>
      <w:r w:rsidRPr="00150C15">
        <w:rPr>
          <w:rFonts w:ascii="Times New Roman" w:hAnsi="Times New Roman" w:cs="Times New Roman"/>
        </w:rPr>
        <w:t xml:space="preserve"> sold </w:t>
      </w:r>
      <w:r>
        <w:rPr>
          <w:rFonts w:ascii="Times New Roman" w:hAnsi="Times New Roman" w:cs="Times New Roman"/>
        </w:rPr>
        <w:t xml:space="preserve">around </w:t>
      </w:r>
      <w:r w:rsidRPr="00150C15">
        <w:rPr>
          <w:rFonts w:ascii="Times New Roman" w:hAnsi="Times New Roman" w:cs="Times New Roman"/>
        </w:rPr>
        <w:t>one million</w:t>
      </w:r>
      <w:r>
        <w:rPr>
          <w:rFonts w:ascii="Times New Roman" w:hAnsi="Times New Roman" w:cs="Times New Roman"/>
        </w:rPr>
        <w:t xml:space="preserve"> acres of</w:t>
      </w:r>
      <w:r w:rsidR="00DD7BDB">
        <w:rPr>
          <w:rFonts w:ascii="Times New Roman" w:hAnsi="Times New Roman" w:cs="Times New Roman"/>
        </w:rPr>
        <w:t xml:space="preserve"> this unapproved-in-EU RR2X</w:t>
      </w:r>
      <w:r>
        <w:rPr>
          <w:rFonts w:ascii="Times New Roman" w:hAnsi="Times New Roman" w:cs="Times New Roman"/>
        </w:rPr>
        <w:t xml:space="preserve"> soybean, </w:t>
      </w:r>
      <w:r w:rsidRPr="00150C15">
        <w:rPr>
          <w:rFonts w:ascii="Times New Roman" w:hAnsi="Times New Roman" w:cs="Times New Roman"/>
        </w:rPr>
        <w:t>most of which was presumably planted and not stored.</w:t>
      </w:r>
      <w:r w:rsidR="00FE2605">
        <w:rPr>
          <w:rStyle w:val="FootnoteReference"/>
          <w:rFonts w:ascii="Times New Roman" w:hAnsi="Times New Roman" w:cs="Times New Roman"/>
        </w:rPr>
        <w:footnoteReference w:id="55"/>
      </w:r>
      <w:r w:rsidRPr="00150C15">
        <w:rPr>
          <w:rFonts w:ascii="Times New Roman" w:hAnsi="Times New Roman" w:cs="Times New Roman"/>
        </w:rPr>
        <w:t xml:space="preserve">  </w:t>
      </w:r>
    </w:p>
    <w:p w14:paraId="512181B5" w14:textId="4DFEEFAA" w:rsidR="00FB37D9" w:rsidRDefault="00FB37D9" w:rsidP="00FB37D9">
      <w:pPr>
        <w:suppressAutoHyphens/>
        <w:spacing w:line="276" w:lineRule="auto"/>
        <w:ind w:firstLine="720"/>
        <w:rPr>
          <w:rFonts w:ascii="Times New Roman" w:hAnsi="Times New Roman" w:cs="Times New Roman"/>
          <w:bCs/>
        </w:rPr>
      </w:pPr>
      <w:r w:rsidRPr="00150C15">
        <w:rPr>
          <w:rFonts w:ascii="Times New Roman" w:hAnsi="Times New Roman" w:cs="Times New Roman"/>
          <w:bCs/>
        </w:rPr>
        <w:t xml:space="preserve">If a grain buyer at home or abroad were to rely on this misrepresentation of </w:t>
      </w:r>
      <w:r>
        <w:rPr>
          <w:rFonts w:ascii="Times New Roman" w:hAnsi="Times New Roman" w:cs="Times New Roman"/>
          <w:bCs/>
        </w:rPr>
        <w:t xml:space="preserve">non-commercial status to their detriment and shipped U.S. soybeans </w:t>
      </w:r>
      <w:r w:rsidRPr="00150C15">
        <w:rPr>
          <w:rFonts w:ascii="Times New Roman" w:hAnsi="Times New Roman" w:cs="Times New Roman"/>
          <w:bCs/>
        </w:rPr>
        <w:t>assuming</w:t>
      </w:r>
      <w:r>
        <w:rPr>
          <w:rFonts w:ascii="Times New Roman" w:hAnsi="Times New Roman" w:cs="Times New Roman"/>
          <w:bCs/>
        </w:rPr>
        <w:t xml:space="preserve"> no RR2</w:t>
      </w:r>
      <w:r w:rsidR="00DD7BDB">
        <w:rPr>
          <w:rFonts w:ascii="Times New Roman" w:hAnsi="Times New Roman" w:cs="Times New Roman"/>
          <w:bCs/>
        </w:rPr>
        <w:t>X</w:t>
      </w:r>
      <w:r>
        <w:rPr>
          <w:rFonts w:ascii="Times New Roman" w:hAnsi="Times New Roman" w:cs="Times New Roman"/>
          <w:bCs/>
        </w:rPr>
        <w:t xml:space="preserve"> were present,</w:t>
      </w:r>
      <w:r w:rsidRPr="00150C15">
        <w:rPr>
          <w:rFonts w:ascii="Times New Roman" w:hAnsi="Times New Roman" w:cs="Times New Roman"/>
          <w:bCs/>
        </w:rPr>
        <w:t xml:space="preserve"> they </w:t>
      </w:r>
      <w:r>
        <w:rPr>
          <w:rFonts w:ascii="Times New Roman" w:hAnsi="Times New Roman" w:cs="Times New Roman"/>
          <w:bCs/>
        </w:rPr>
        <w:t xml:space="preserve">could </w:t>
      </w:r>
      <w:r w:rsidRPr="00150C15">
        <w:rPr>
          <w:rFonts w:ascii="Times New Roman" w:hAnsi="Times New Roman" w:cs="Times New Roman"/>
          <w:bCs/>
        </w:rPr>
        <w:t>have suffered economic harm fro</w:t>
      </w:r>
      <w:r>
        <w:rPr>
          <w:rFonts w:ascii="Times New Roman" w:hAnsi="Times New Roman" w:cs="Times New Roman"/>
          <w:bCs/>
        </w:rPr>
        <w:t xml:space="preserve">m RR2X-related trade disruption (the detrimental reliance required for a fraud claim). If they seek compensation from Monsanto for their reasonable reliance on the </w:t>
      </w:r>
      <w:proofErr w:type="spellStart"/>
      <w:r>
        <w:rPr>
          <w:rFonts w:ascii="Times New Roman" w:hAnsi="Times New Roman" w:cs="Times New Roman"/>
          <w:bCs/>
        </w:rPr>
        <w:t>Croplife</w:t>
      </w:r>
      <w:proofErr w:type="spellEnd"/>
      <w:r>
        <w:rPr>
          <w:rFonts w:ascii="Times New Roman" w:hAnsi="Times New Roman" w:cs="Times New Roman"/>
          <w:bCs/>
        </w:rPr>
        <w:t xml:space="preserve"> database (as well as</w:t>
      </w:r>
      <w:r w:rsidRPr="006808F6">
        <w:rPr>
          <w:rFonts w:ascii="Times New Roman" w:hAnsi="Times New Roman" w:cs="Times New Roman"/>
          <w:bCs/>
        </w:rPr>
        <w:t xml:space="preserve"> </w:t>
      </w:r>
      <w:r>
        <w:rPr>
          <w:rFonts w:ascii="Times New Roman" w:hAnsi="Times New Roman" w:cs="Times New Roman"/>
          <w:bCs/>
        </w:rPr>
        <w:t xml:space="preserve">Monsanto’s </w:t>
      </w:r>
      <w:r w:rsidRPr="00150C15">
        <w:rPr>
          <w:rFonts w:ascii="Times New Roman" w:hAnsi="Times New Roman" w:cs="Times New Roman"/>
          <w:bCs/>
        </w:rPr>
        <w:t xml:space="preserve">list of commercialized biotech soybean events, </w:t>
      </w:r>
      <w:r>
        <w:rPr>
          <w:rFonts w:ascii="Times New Roman" w:hAnsi="Times New Roman" w:cs="Times New Roman"/>
          <w:bCs/>
        </w:rPr>
        <w:t>where it would not see RR2X listed)</w:t>
      </w:r>
      <w:r>
        <w:rPr>
          <w:rStyle w:val="FootnoteReference"/>
          <w:rFonts w:ascii="Times New Roman" w:hAnsi="Times New Roman" w:cs="Times New Roman"/>
          <w:bCs/>
        </w:rPr>
        <w:footnoteReference w:id="56"/>
      </w:r>
      <w:r w:rsidRPr="00150C15">
        <w:rPr>
          <w:rFonts w:ascii="Times New Roman" w:hAnsi="Times New Roman" w:cs="Times New Roman"/>
          <w:bCs/>
        </w:rPr>
        <w:t xml:space="preserve"> then these online representations could </w:t>
      </w:r>
      <w:r w:rsidR="00C83AFB">
        <w:rPr>
          <w:rFonts w:ascii="Times New Roman" w:hAnsi="Times New Roman" w:cs="Times New Roman"/>
          <w:bCs/>
        </w:rPr>
        <w:t xml:space="preserve">be alleged to </w:t>
      </w:r>
      <w:r w:rsidRPr="00150C15">
        <w:rPr>
          <w:rFonts w:ascii="Times New Roman" w:hAnsi="Times New Roman" w:cs="Times New Roman"/>
          <w:bCs/>
        </w:rPr>
        <w:t>support a claim for fraud.</w:t>
      </w:r>
      <w:r>
        <w:rPr>
          <w:rFonts w:ascii="Times New Roman" w:hAnsi="Times New Roman" w:cs="Times New Roman"/>
          <w:bCs/>
        </w:rPr>
        <w:tab/>
      </w:r>
    </w:p>
    <w:p w14:paraId="5DEEF81D" w14:textId="31A13ABA" w:rsidR="00FB37D9" w:rsidRPr="00A21166" w:rsidRDefault="00FB37D9" w:rsidP="00C83AFB">
      <w:pPr>
        <w:suppressAutoHyphens/>
        <w:spacing w:line="276" w:lineRule="auto"/>
        <w:rPr>
          <w:rFonts w:ascii="Times New Roman" w:eastAsia="Times New Roman" w:hAnsi="Times New Roman" w:cs="Times New Roman"/>
        </w:rPr>
      </w:pPr>
      <w:r>
        <w:rPr>
          <w:rFonts w:ascii="Times New Roman" w:hAnsi="Times New Roman" w:cs="Times New Roman"/>
          <w:bCs/>
        </w:rPr>
        <w:tab/>
      </w:r>
    </w:p>
    <w:p w14:paraId="3314BB55" w14:textId="78405590" w:rsidR="00FB37D9" w:rsidRPr="00FB37D9" w:rsidRDefault="00FB37D9" w:rsidP="00FB37D9">
      <w:pPr>
        <w:pStyle w:val="ListParagraph"/>
        <w:numPr>
          <w:ilvl w:val="0"/>
          <w:numId w:val="16"/>
        </w:numPr>
        <w:rPr>
          <w:rFonts w:ascii="Times New Roman" w:hAnsi="Times New Roman" w:cs="Times New Roman"/>
          <w:b/>
        </w:rPr>
      </w:pPr>
      <w:r w:rsidRPr="00FB37D9">
        <w:rPr>
          <w:rFonts w:ascii="Times New Roman" w:hAnsi="Times New Roman" w:cs="Times New Roman"/>
          <w:b/>
        </w:rPr>
        <w:t>Contractual Liability Disclaimers</w:t>
      </w:r>
    </w:p>
    <w:p w14:paraId="3D63844B" w14:textId="77777777" w:rsidR="00FB37D9" w:rsidRDefault="00FB37D9" w:rsidP="00FB37D9">
      <w:pPr>
        <w:rPr>
          <w:rFonts w:ascii="Times New Roman" w:hAnsi="Times New Roman" w:cs="Times New Roman"/>
          <w:b/>
        </w:rPr>
      </w:pPr>
    </w:p>
    <w:p w14:paraId="0E9382FA" w14:textId="5C091DEB" w:rsidR="00FE2605" w:rsidRPr="00C83AFB" w:rsidRDefault="00FB37D9" w:rsidP="00C83AFB">
      <w:pPr>
        <w:spacing w:after="240" w:line="276" w:lineRule="auto"/>
        <w:ind w:firstLine="720"/>
        <w:rPr>
          <w:rFonts w:ascii="Times New Roman" w:hAnsi="Times New Roman" w:cs="Times New Roman"/>
        </w:rPr>
      </w:pPr>
      <w:r w:rsidRPr="00150C15">
        <w:rPr>
          <w:rFonts w:ascii="Times New Roman" w:hAnsi="Times New Roman" w:cs="Times New Roman"/>
        </w:rPr>
        <w:t xml:space="preserve">While there are disclaimers of liability on both this </w:t>
      </w:r>
      <w:proofErr w:type="spellStart"/>
      <w:r w:rsidRPr="00150C15">
        <w:rPr>
          <w:rFonts w:ascii="Times New Roman" w:hAnsi="Times New Roman" w:cs="Times New Roman"/>
        </w:rPr>
        <w:t>Croplife</w:t>
      </w:r>
      <w:proofErr w:type="spellEnd"/>
      <w:r w:rsidRPr="00150C15">
        <w:rPr>
          <w:rFonts w:ascii="Times New Roman" w:hAnsi="Times New Roman" w:cs="Times New Roman"/>
        </w:rPr>
        <w:t xml:space="preserve"> database and Monsanto seed marketing materials, some courts refuse to enforce disclaimers if they consider them “unconscionable” in shifting risk unfairly to consumers.  </w:t>
      </w:r>
    </w:p>
    <w:p w14:paraId="4C14759B" w14:textId="1B285B13" w:rsidR="00FE2605" w:rsidRPr="00FE2605" w:rsidRDefault="00FE2605" w:rsidP="00FE2605">
      <w:pPr>
        <w:spacing w:after="240" w:line="276" w:lineRule="auto"/>
        <w:ind w:firstLine="720"/>
        <w:rPr>
          <w:rFonts w:ascii="Times New Roman" w:hAnsi="Times New Roman" w:cs="Times New Roman"/>
        </w:rPr>
      </w:pPr>
      <w:r>
        <w:rPr>
          <w:rFonts w:ascii="Times New Roman" w:hAnsi="Times New Roman" w:cs="Times New Roman"/>
          <w:bCs/>
        </w:rPr>
        <w:t xml:space="preserve">In its defense, Monsanto would reference the disclaimer on the </w:t>
      </w:r>
      <w:proofErr w:type="spellStart"/>
      <w:r>
        <w:rPr>
          <w:rFonts w:ascii="Times New Roman" w:hAnsi="Times New Roman" w:cs="Times New Roman"/>
          <w:bCs/>
        </w:rPr>
        <w:t>Croplife</w:t>
      </w:r>
      <w:proofErr w:type="spellEnd"/>
      <w:r>
        <w:rPr>
          <w:rFonts w:ascii="Times New Roman" w:hAnsi="Times New Roman" w:cs="Times New Roman"/>
          <w:bCs/>
        </w:rPr>
        <w:t xml:space="preserve"> database.</w:t>
      </w:r>
      <w:r>
        <w:rPr>
          <w:rFonts w:ascii="Times New Roman" w:hAnsi="Times New Roman" w:cs="Times New Roman"/>
          <w:bCs/>
        </w:rPr>
        <w:tab/>
      </w:r>
      <w:r w:rsidRPr="00150C15">
        <w:rPr>
          <w:rFonts w:ascii="Times New Roman" w:hAnsi="Times New Roman" w:cs="Times New Roman"/>
        </w:rPr>
        <w:t xml:space="preserve">While there are disclaimers of liability on both this </w:t>
      </w:r>
      <w:proofErr w:type="spellStart"/>
      <w:r w:rsidRPr="00150C15">
        <w:rPr>
          <w:rFonts w:ascii="Times New Roman" w:hAnsi="Times New Roman" w:cs="Times New Roman"/>
        </w:rPr>
        <w:t>Croplife</w:t>
      </w:r>
      <w:proofErr w:type="spellEnd"/>
      <w:r w:rsidRPr="00150C15">
        <w:rPr>
          <w:rFonts w:ascii="Times New Roman" w:hAnsi="Times New Roman" w:cs="Times New Roman"/>
        </w:rPr>
        <w:t xml:space="preserve"> database and Monsanto seed marketing materials, some courts refuse to enforce disclaimers if they consider them “unconscionable” in shifting risk unfairly to consumers.  </w:t>
      </w:r>
    </w:p>
    <w:p w14:paraId="784C931F" w14:textId="77777777" w:rsidR="00C83AFB" w:rsidRDefault="00FB37D9" w:rsidP="00FE2605">
      <w:pPr>
        <w:spacing w:after="240" w:line="276" w:lineRule="auto"/>
        <w:ind w:firstLine="720"/>
        <w:rPr>
          <w:rFonts w:ascii="Times New Roman" w:hAnsi="Times New Roman" w:cs="Times New Roman"/>
        </w:rPr>
      </w:pPr>
      <w:r w:rsidRPr="00150C15">
        <w:rPr>
          <w:rFonts w:ascii="Times New Roman" w:hAnsi="Times New Roman" w:cs="Times New Roman"/>
        </w:rPr>
        <w:t xml:space="preserve">In </w:t>
      </w:r>
      <w:r w:rsidRPr="00150C15">
        <w:rPr>
          <w:rFonts w:ascii="Times New Roman" w:hAnsi="Times New Roman" w:cs="Times New Roman"/>
          <w:i/>
        </w:rPr>
        <w:t xml:space="preserve">Oldham's Farm Sausage Co. v. </w:t>
      </w:r>
      <w:proofErr w:type="spellStart"/>
      <w:r w:rsidRPr="00150C15">
        <w:rPr>
          <w:rFonts w:ascii="Times New Roman" w:hAnsi="Times New Roman" w:cs="Times New Roman"/>
          <w:i/>
        </w:rPr>
        <w:t>Salco</w:t>
      </w:r>
      <w:proofErr w:type="spellEnd"/>
      <w:r w:rsidRPr="00150C15">
        <w:rPr>
          <w:rFonts w:ascii="Times New Roman" w:hAnsi="Times New Roman" w:cs="Times New Roman"/>
        </w:rPr>
        <w:t xml:space="preserve">, Inc., 633 S.W.2d 177 (Mo.App.1982), the court upheld the trial court's refusal to enforce a limitation of liability in connection with the sale of a </w:t>
      </w:r>
      <w:r w:rsidRPr="00150C15">
        <w:rPr>
          <w:rFonts w:ascii="Times New Roman" w:hAnsi="Times New Roman" w:cs="Times New Roman"/>
        </w:rPr>
        <w:lastRenderedPageBreak/>
        <w:t xml:space="preserve">machine – it was “unconscionable” under MO stat. § 400.2-719(3) being fine print on the back of the signature page of a lengthy contract. The entire Missouri Supreme Court raised issues of unconscionability in a Monsanto herbicide contract, in a decision explaining the basis for remanding the case to the trial court to consider denying enforcement of the disclaimer </w:t>
      </w:r>
      <w:r>
        <w:rPr>
          <w:rFonts w:ascii="Times New Roman" w:hAnsi="Times New Roman" w:cs="Times New Roman"/>
        </w:rPr>
        <w:t>under Missouri law.</w:t>
      </w:r>
      <w:r>
        <w:rPr>
          <w:rStyle w:val="FootnoteReference"/>
          <w:rFonts w:ascii="Times New Roman" w:hAnsi="Times New Roman" w:cs="Times New Roman"/>
        </w:rPr>
        <w:footnoteReference w:id="57"/>
      </w:r>
      <w:r w:rsidR="00C83AFB" w:rsidRPr="00C83AFB">
        <w:rPr>
          <w:rFonts w:ascii="Times New Roman" w:hAnsi="Times New Roman" w:cs="Times New Roman"/>
        </w:rPr>
        <w:t xml:space="preserve"> </w:t>
      </w:r>
    </w:p>
    <w:p w14:paraId="7BB46C54" w14:textId="7975DFB7" w:rsidR="00FB37D9" w:rsidRPr="00173352" w:rsidRDefault="00C83AFB" w:rsidP="00FE2605">
      <w:pPr>
        <w:spacing w:after="240" w:line="276" w:lineRule="auto"/>
        <w:ind w:firstLine="720"/>
        <w:rPr>
          <w:rFonts w:ascii="Calibri" w:eastAsia="Calibri" w:hAnsi="Calibri" w:cs="Calibri"/>
        </w:rPr>
      </w:pPr>
      <w:r w:rsidRPr="00150C15">
        <w:rPr>
          <w:rFonts w:ascii="Times New Roman" w:hAnsi="Times New Roman" w:cs="Times New Roman"/>
        </w:rPr>
        <w:t>If the courts enforce the</w:t>
      </w:r>
      <w:r>
        <w:rPr>
          <w:rFonts w:ascii="Times New Roman" w:hAnsi="Times New Roman" w:cs="Times New Roman"/>
        </w:rPr>
        <w:t>se seed company</w:t>
      </w:r>
      <w:r w:rsidRPr="00150C15">
        <w:rPr>
          <w:rFonts w:ascii="Times New Roman" w:hAnsi="Times New Roman" w:cs="Times New Roman"/>
        </w:rPr>
        <w:t xml:space="preserve"> disclaimers in future liability cases involving disruption of trade from </w:t>
      </w:r>
      <w:r>
        <w:rPr>
          <w:rFonts w:ascii="Times New Roman" w:hAnsi="Times New Roman" w:cs="Times New Roman"/>
        </w:rPr>
        <w:t>an unapproved variety</w:t>
      </w:r>
      <w:r w:rsidRPr="00150C15">
        <w:rPr>
          <w:rFonts w:ascii="Times New Roman" w:hAnsi="Times New Roman" w:cs="Times New Roman"/>
        </w:rPr>
        <w:t>, then the net effect of these efforts to shift risk could impose a duty on</w:t>
      </w:r>
      <w:r>
        <w:rPr>
          <w:rFonts w:ascii="Times New Roman" w:hAnsi="Times New Roman" w:cs="Times New Roman"/>
        </w:rPr>
        <w:t xml:space="preserve"> growers </w:t>
      </w:r>
      <w:r w:rsidRPr="00150C15">
        <w:rPr>
          <w:rFonts w:ascii="Times New Roman" w:hAnsi="Times New Roman" w:cs="Times New Roman"/>
        </w:rPr>
        <w:t xml:space="preserve">to avoid </w:t>
      </w:r>
      <w:r>
        <w:rPr>
          <w:rFonts w:ascii="Times New Roman" w:hAnsi="Times New Roman" w:cs="Times New Roman"/>
        </w:rPr>
        <w:t xml:space="preserve">disruption of </w:t>
      </w:r>
      <w:r w:rsidRPr="00150C15">
        <w:rPr>
          <w:rFonts w:ascii="Times New Roman" w:hAnsi="Times New Roman" w:cs="Times New Roman"/>
        </w:rPr>
        <w:t>export markets. If no measures to prevent export disruption are undertaken, both Monsanto and its soybean producer customers could be liable for negligence.</w:t>
      </w:r>
      <w:r>
        <w:rPr>
          <w:rFonts w:ascii="Times New Roman" w:hAnsi="Times New Roman" w:cs="Times New Roman"/>
        </w:rPr>
        <w:t xml:space="preserve">  This would</w:t>
      </w:r>
      <w:r w:rsidR="0083502E">
        <w:rPr>
          <w:rFonts w:ascii="Times New Roman" w:hAnsi="Times New Roman" w:cs="Times New Roman"/>
        </w:rPr>
        <w:t xml:space="preserve"> help to</w:t>
      </w:r>
      <w:r>
        <w:rPr>
          <w:rFonts w:ascii="Times New Roman" w:hAnsi="Times New Roman" w:cs="Times New Roman"/>
        </w:rPr>
        <w:t xml:space="preserve"> fulfill the prediction made by </w:t>
      </w:r>
      <w:proofErr w:type="spellStart"/>
      <w:r w:rsidR="0083502E">
        <w:rPr>
          <w:rFonts w:ascii="Times New Roman" w:hAnsi="Times New Roman" w:cs="Times New Roman"/>
        </w:rPr>
        <w:t>Endres</w:t>
      </w:r>
      <w:proofErr w:type="spellEnd"/>
      <w:r w:rsidR="0083502E">
        <w:rPr>
          <w:rFonts w:ascii="Times New Roman" w:hAnsi="Times New Roman" w:cs="Times New Roman"/>
        </w:rPr>
        <w:t xml:space="preserve"> and</w:t>
      </w:r>
      <w:r w:rsidR="0083502E" w:rsidRPr="002D5ACB">
        <w:t xml:space="preserve"> Johnson</w:t>
      </w:r>
      <w:r w:rsidR="0083502E">
        <w:t xml:space="preserve"> (supra n.13) of potential grower liability.</w:t>
      </w:r>
      <w:r w:rsidR="00FB37D9">
        <w:rPr>
          <w:rFonts w:ascii="Times New Roman" w:hAnsi="Times New Roman" w:cs="Times New Roman"/>
        </w:rPr>
        <w:tab/>
      </w:r>
    </w:p>
    <w:p w14:paraId="3D3A67E7" w14:textId="598ED7CC" w:rsidR="00173352" w:rsidRPr="00FE2605" w:rsidRDefault="00173352" w:rsidP="00FE2605">
      <w:pPr>
        <w:pStyle w:val="ListParagraph"/>
        <w:widowControl/>
        <w:numPr>
          <w:ilvl w:val="0"/>
          <w:numId w:val="13"/>
        </w:numPr>
        <w:autoSpaceDE/>
        <w:autoSpaceDN/>
        <w:adjustRightInd/>
        <w:spacing w:after="240" w:line="276" w:lineRule="auto"/>
        <w:rPr>
          <w:rFonts w:ascii="Times New Roman" w:hAnsi="Times New Roman" w:cs="Times New Roman"/>
          <w:b/>
        </w:rPr>
      </w:pPr>
      <w:r w:rsidRPr="00FE2605">
        <w:rPr>
          <w:rFonts w:ascii="Times New Roman" w:hAnsi="Times New Roman" w:cs="Times New Roman"/>
          <w:b/>
        </w:rPr>
        <w:t>Nuisance</w:t>
      </w:r>
    </w:p>
    <w:p w14:paraId="1EEE38CC" w14:textId="77777777" w:rsidR="0083502E" w:rsidRDefault="00173352" w:rsidP="00173352">
      <w:pPr>
        <w:widowControl/>
        <w:autoSpaceDE/>
        <w:autoSpaceDN/>
        <w:adjustRightInd/>
        <w:spacing w:after="240" w:line="276" w:lineRule="auto"/>
        <w:ind w:left="720"/>
        <w:rPr>
          <w:rFonts w:ascii="Times New Roman" w:hAnsi="Times New Roman" w:cs="Times New Roman"/>
        </w:rPr>
      </w:pPr>
      <w:r w:rsidRPr="00C63EC0">
        <w:rPr>
          <w:rFonts w:ascii="Times New Roman" w:hAnsi="Times New Roman" w:cs="Times New Roman"/>
        </w:rPr>
        <w:t>Public and private nuisance are creatures of the common law – both state and federal.</w:t>
      </w:r>
    </w:p>
    <w:p w14:paraId="04B0E1B6" w14:textId="43EF40ED" w:rsidR="00173352" w:rsidRPr="0083502E" w:rsidRDefault="0083502E" w:rsidP="005F178E">
      <w:pPr>
        <w:widowControl/>
        <w:ind w:firstLine="720"/>
        <w:rPr>
          <w:rFonts w:ascii="Times New Roman" w:hAnsi="Times New Roman" w:cs="Times New Roman"/>
          <w:sz w:val="26"/>
          <w:szCs w:val="26"/>
        </w:rPr>
      </w:pPr>
      <w:r>
        <w:rPr>
          <w:rFonts w:ascii="Times New Roman" w:hAnsi="Times New Roman" w:cs="Times New Roman"/>
        </w:rPr>
        <w:t>Both forms of nuisance require unreasonable behavior, and either negligence or international conduct will usually suffice.  This can include negligent misrepresentations about overseas approval that cause widespread trade disruption, as the court in LL Rice</w:t>
      </w:r>
      <w:r>
        <w:rPr>
          <w:rStyle w:val="FootnoteReference"/>
          <w:rFonts w:ascii="Times New Roman" w:hAnsi="Times New Roman" w:cs="Times New Roman"/>
        </w:rPr>
        <w:footnoteReference w:id="58"/>
      </w:r>
      <w:r>
        <w:rPr>
          <w:rFonts w:ascii="Times New Roman" w:hAnsi="Times New Roman" w:cs="Times New Roman"/>
        </w:rPr>
        <w:t xml:space="preserve"> </w:t>
      </w:r>
      <w:r>
        <w:rPr>
          <w:rFonts w:ascii="Times New Roman" w:hAnsi="Times New Roman" w:cs="Times New Roman"/>
          <w:sz w:val="26"/>
          <w:szCs w:val="26"/>
        </w:rPr>
        <w:t>firmly established.</w:t>
      </w:r>
      <w:r w:rsidR="00173352" w:rsidRPr="00C63EC0">
        <w:rPr>
          <w:rFonts w:ascii="Times New Roman" w:hAnsi="Times New Roman" w:cs="Times New Roman"/>
        </w:rPr>
        <w:t xml:space="preserve"> </w:t>
      </w:r>
    </w:p>
    <w:p w14:paraId="0D0406BA" w14:textId="77777777" w:rsidR="00173352" w:rsidRPr="00B728AB" w:rsidRDefault="00173352" w:rsidP="00173352">
      <w:pPr>
        <w:spacing w:line="276" w:lineRule="auto"/>
        <w:ind w:firstLine="720"/>
        <w:rPr>
          <w:rFonts w:ascii="Times New Roman" w:hAnsi="Times New Roman"/>
        </w:rPr>
      </w:pPr>
    </w:p>
    <w:p w14:paraId="2246CF78" w14:textId="62E49BE8" w:rsidR="00173352" w:rsidRPr="00B728AB" w:rsidRDefault="0083502E" w:rsidP="005F178E">
      <w:pPr>
        <w:spacing w:line="276" w:lineRule="auto"/>
        <w:ind w:firstLine="720"/>
        <w:rPr>
          <w:rFonts w:ascii="Times New Roman" w:hAnsi="Times New Roman"/>
        </w:rPr>
      </w:pPr>
      <w:r>
        <w:rPr>
          <w:rFonts w:ascii="Times New Roman" w:hAnsi="Times New Roman"/>
        </w:rPr>
        <w:t>In its 2009 order on summ</w:t>
      </w:r>
      <w:r w:rsidR="005F178E">
        <w:rPr>
          <w:rFonts w:ascii="Times New Roman" w:hAnsi="Times New Roman"/>
        </w:rPr>
        <w:t xml:space="preserve">ary judgment, the LL Rice court rejected public nuisance but allowed private nuisance given factual disputes </w:t>
      </w:r>
      <w:r w:rsidR="005F178E" w:rsidRPr="005F178E">
        <w:rPr>
          <w:rFonts w:ascii="Times New Roman" w:hAnsi="Times New Roman"/>
        </w:rPr>
        <w:t xml:space="preserve">regarding </w:t>
      </w:r>
      <w:r w:rsidR="005F178E">
        <w:rPr>
          <w:rFonts w:ascii="Times New Roman" w:hAnsi="Times New Roman"/>
        </w:rPr>
        <w:t>“</w:t>
      </w:r>
      <w:r w:rsidR="005F178E" w:rsidRPr="005F178E">
        <w:rPr>
          <w:rFonts w:ascii="Times New Roman" w:hAnsi="Times New Roman"/>
        </w:rPr>
        <w:t>whether contamination of plaintiffs' crops by</w:t>
      </w:r>
      <w:r w:rsidR="005F178E">
        <w:rPr>
          <w:rFonts w:ascii="Times New Roman" w:hAnsi="Times New Roman"/>
        </w:rPr>
        <w:t xml:space="preserve"> </w:t>
      </w:r>
      <w:r w:rsidR="005F178E" w:rsidRPr="005F178E">
        <w:rPr>
          <w:rFonts w:ascii="Times New Roman" w:hAnsi="Times New Roman"/>
        </w:rPr>
        <w:t>LLRICE may interfere wit</w:t>
      </w:r>
      <w:r w:rsidR="005F178E">
        <w:rPr>
          <w:rFonts w:ascii="Times New Roman" w:hAnsi="Times New Roman"/>
        </w:rPr>
        <w:t>h their enjoyment of their land.”</w:t>
      </w:r>
      <w:r w:rsidR="005F178E">
        <w:rPr>
          <w:rStyle w:val="FootnoteReference"/>
          <w:rFonts w:ascii="Times New Roman" w:hAnsi="Times New Roman"/>
        </w:rPr>
        <w:footnoteReference w:id="59"/>
      </w:r>
      <w:r w:rsidR="005F178E">
        <w:rPr>
          <w:rFonts w:ascii="Times New Roman" w:hAnsi="Times New Roman"/>
        </w:rPr>
        <w:t xml:space="preserve"> </w:t>
      </w:r>
    </w:p>
    <w:p w14:paraId="464E1191" w14:textId="0AE8707C" w:rsidR="00F35195" w:rsidRPr="006D6C2B" w:rsidRDefault="00F34C16" w:rsidP="00EE5FEF">
      <w:pPr>
        <w:pStyle w:val="pxs"/>
        <w:spacing w:before="180"/>
        <w:rPr>
          <w:rFonts w:ascii="Times New Roman" w:hAnsi="Times New Roman" w:cs="Times New Roman"/>
          <w:b/>
        </w:rPr>
      </w:pPr>
      <w:r>
        <w:rPr>
          <w:rFonts w:ascii="Times New Roman" w:hAnsi="Times New Roman" w:cs="Times New Roman"/>
          <w:b/>
        </w:rPr>
        <w:t>IV</w:t>
      </w:r>
      <w:r w:rsidR="00EE5FEF" w:rsidRPr="006D6C2B">
        <w:rPr>
          <w:rFonts w:ascii="Times New Roman" w:hAnsi="Times New Roman" w:cs="Times New Roman"/>
          <w:b/>
        </w:rPr>
        <w:t>. Anticipatory Nuisance and the Mediation Model for Inducing Stewardship</w:t>
      </w:r>
    </w:p>
    <w:p w14:paraId="490B260F" w14:textId="4BBFF29A" w:rsidR="00EE5FEF" w:rsidRPr="006D6C2B" w:rsidRDefault="00EE5FEF" w:rsidP="00EE5FEF">
      <w:pPr>
        <w:rPr>
          <w:rFonts w:ascii="Times New Roman" w:hAnsi="Times New Roman" w:cs="Times New Roman"/>
          <w:b/>
        </w:rPr>
      </w:pPr>
    </w:p>
    <w:p w14:paraId="75EA2BCB" w14:textId="5A0FE090" w:rsidR="0083502E" w:rsidRDefault="00FE2605" w:rsidP="0083502E">
      <w:pPr>
        <w:spacing w:line="276" w:lineRule="auto"/>
        <w:ind w:firstLine="720"/>
        <w:rPr>
          <w:rFonts w:ascii="Times New Roman" w:hAnsi="Times New Roman"/>
        </w:rPr>
      </w:pPr>
      <w:r>
        <w:rPr>
          <w:rFonts w:ascii="Times New Roman" w:hAnsi="Times New Roman" w:cs="Times New Roman"/>
        </w:rPr>
        <w:tab/>
        <w:t>Anticipatory nuisance could have been used in past liability debacles to stop a billion-dollar lawsuit before trade disruption occurs. Indeed, where companies have heeded warnings of potential liability and sought major market approval before marketing a new event (as has occurred with soybeans in North and South America), this tool need not be invoked. Where persuasion fails, however, litigation may be needed.</w:t>
      </w:r>
      <w:r w:rsidR="0083502E" w:rsidRPr="0083502E">
        <w:rPr>
          <w:rFonts w:ascii="Times New Roman" w:hAnsi="Times New Roman"/>
        </w:rPr>
        <w:t xml:space="preserve"> </w:t>
      </w:r>
      <w:r w:rsidR="0083502E">
        <w:rPr>
          <w:rFonts w:ascii="Times New Roman" w:hAnsi="Times New Roman"/>
        </w:rPr>
        <w:t xml:space="preserve"> </w:t>
      </w:r>
      <w:r w:rsidR="0083502E" w:rsidRPr="00B728AB">
        <w:rPr>
          <w:rFonts w:ascii="Times New Roman" w:hAnsi="Times New Roman"/>
        </w:rPr>
        <w:t>These tools may include injunctions under “anticipatory nuisance” laws which seek to stop the commercial launch of a biotech crop in a location that might cause undue harm to neighboring farmers.</w:t>
      </w:r>
      <w:r w:rsidR="0083502E" w:rsidRPr="00B728AB">
        <w:rPr>
          <w:rStyle w:val="FootnoteReference"/>
          <w:rFonts w:ascii="Times New Roman" w:hAnsi="Times New Roman"/>
        </w:rPr>
        <w:footnoteReference w:id="60"/>
      </w:r>
    </w:p>
    <w:p w14:paraId="1DCAE007" w14:textId="111A7708" w:rsidR="00EE5FEF" w:rsidRDefault="00EE5FEF" w:rsidP="00FE2605">
      <w:pPr>
        <w:spacing w:line="276" w:lineRule="auto"/>
        <w:rPr>
          <w:rFonts w:ascii="Times New Roman" w:hAnsi="Times New Roman"/>
        </w:rPr>
      </w:pPr>
    </w:p>
    <w:p w14:paraId="3F553936" w14:textId="77777777" w:rsidR="005F178E" w:rsidRDefault="005F178E" w:rsidP="00FE2605">
      <w:pPr>
        <w:spacing w:line="276" w:lineRule="auto"/>
        <w:rPr>
          <w:rFonts w:ascii="Times New Roman" w:hAnsi="Times New Roman" w:cs="Times New Roman"/>
        </w:rPr>
      </w:pPr>
    </w:p>
    <w:p w14:paraId="57FFF046" w14:textId="353D0786" w:rsidR="00EE5FEF" w:rsidRPr="004C0F11" w:rsidRDefault="00EE5FEF" w:rsidP="003F3300">
      <w:pPr>
        <w:pStyle w:val="ListParagraph"/>
        <w:numPr>
          <w:ilvl w:val="0"/>
          <w:numId w:val="4"/>
        </w:numPr>
        <w:rPr>
          <w:rFonts w:ascii="Times New Roman" w:hAnsi="Times New Roman" w:cs="Times New Roman"/>
          <w:b/>
        </w:rPr>
      </w:pPr>
      <w:r w:rsidRPr="004C0F11">
        <w:rPr>
          <w:rFonts w:ascii="Times New Roman" w:hAnsi="Times New Roman" w:cs="Times New Roman"/>
          <w:b/>
        </w:rPr>
        <w:t>Review of Selected State Laws on Anticipatory Nuisance</w:t>
      </w:r>
    </w:p>
    <w:p w14:paraId="062A3EC1" w14:textId="1E98C82B" w:rsidR="00EE5FEF" w:rsidRPr="004C0F11" w:rsidRDefault="003C34C0" w:rsidP="00EE5FEF">
      <w:pPr>
        <w:rPr>
          <w:rFonts w:ascii="Times New Roman" w:hAnsi="Times New Roman" w:cs="Times New Roman"/>
          <w:b/>
        </w:rPr>
      </w:pPr>
      <w:r>
        <w:rPr>
          <w:rFonts w:ascii="Times New Roman" w:hAnsi="Times New Roman" w:cs="Times New Roman"/>
          <w:b/>
        </w:rPr>
        <w:t xml:space="preserve"> </w:t>
      </w:r>
    </w:p>
    <w:p w14:paraId="57926660" w14:textId="77777777" w:rsidR="005F178E" w:rsidRDefault="00EE5FEF" w:rsidP="005F178E">
      <w:pPr>
        <w:spacing w:line="276" w:lineRule="auto"/>
        <w:ind w:firstLine="720"/>
        <w:rPr>
          <w:rFonts w:ascii="Times New Roman" w:hAnsi="Times New Roman" w:cs="Times New Roman"/>
          <w:b/>
        </w:rPr>
      </w:pPr>
      <w:r w:rsidRPr="004C0F11">
        <w:rPr>
          <w:rFonts w:ascii="Times New Roman" w:hAnsi="Times New Roman" w:cs="Times New Roman"/>
        </w:rPr>
        <w:t xml:space="preserve">As Professor Grossman discusses in her landmark article, Illinois is noteworthy for having recent claims allowing anticipatory nuisance injunctions against agricultural operations (concentrated animal feeding operations, “CAFOs”). </w:t>
      </w:r>
      <w:r w:rsidR="005F178E" w:rsidRPr="00B728AB">
        <w:rPr>
          <w:rFonts w:ascii="Times New Roman" w:hAnsi="Times New Roman"/>
        </w:rPr>
        <w:t>Citing decisions involving nuisances threatened by livestock facilities, she found courts in many jurisdictions would enjoin an anticipatory nuisance if its harm is “reasonably certain or highly probable” from defendant’s action.</w:t>
      </w:r>
      <w:r w:rsidR="005F178E" w:rsidRPr="00B728AB">
        <w:rPr>
          <w:rStyle w:val="FootnoteReference"/>
          <w:rFonts w:ascii="Times New Roman" w:hAnsi="Times New Roman"/>
        </w:rPr>
        <w:footnoteReference w:id="61"/>
      </w:r>
      <w:r w:rsidR="005F178E" w:rsidRPr="00B728AB">
        <w:rPr>
          <w:rFonts w:ascii="Times New Roman" w:hAnsi="Times New Roman"/>
        </w:rPr>
        <w:t xml:space="preserve">  </w:t>
      </w:r>
      <w:r w:rsidR="005F178E">
        <w:rPr>
          <w:rFonts w:ascii="Times New Roman" w:hAnsi="Times New Roman"/>
        </w:rPr>
        <w:t>This is discussed in more detail, updating her research, below.</w:t>
      </w:r>
    </w:p>
    <w:p w14:paraId="433EAC11" w14:textId="41E0E29C" w:rsidR="0069189B" w:rsidRDefault="0069189B" w:rsidP="002D5ACB">
      <w:pPr>
        <w:spacing w:line="276" w:lineRule="auto"/>
        <w:ind w:firstLine="720"/>
        <w:rPr>
          <w:rFonts w:ascii="Times New Roman" w:hAnsi="Times New Roman" w:cs="Times New Roman"/>
        </w:rPr>
      </w:pPr>
    </w:p>
    <w:p w14:paraId="6B625256" w14:textId="239E1692" w:rsidR="0069189B" w:rsidRDefault="0069189B" w:rsidP="002D5ACB">
      <w:pPr>
        <w:spacing w:line="276" w:lineRule="auto"/>
        <w:ind w:firstLine="720"/>
        <w:rPr>
          <w:rFonts w:ascii="Times New Roman" w:hAnsi="Times New Roman" w:cs="Times New Roman"/>
        </w:rPr>
      </w:pPr>
    </w:p>
    <w:p w14:paraId="02D4A6F9" w14:textId="2C0CC236" w:rsidR="0069189B" w:rsidRPr="0069189B" w:rsidRDefault="0069189B" w:rsidP="002D5ACB">
      <w:pPr>
        <w:spacing w:line="276" w:lineRule="auto"/>
        <w:ind w:firstLine="720"/>
        <w:rPr>
          <w:rFonts w:ascii="Times New Roman" w:hAnsi="Times New Roman" w:cs="Times New Roman"/>
        </w:rPr>
      </w:pPr>
      <w:r>
        <w:rPr>
          <w:rFonts w:ascii="Times New Roman" w:hAnsi="Times New Roman" w:cs="Times New Roman"/>
        </w:rPr>
        <w:t xml:space="preserve">Nuisances can be either </w:t>
      </w:r>
      <w:r w:rsidRPr="0069189B">
        <w:rPr>
          <w:rFonts w:ascii="Times New Roman" w:hAnsi="Times New Roman" w:cs="Times New Roman"/>
          <w:i/>
        </w:rPr>
        <w:t>per se</w:t>
      </w:r>
      <w:r>
        <w:rPr>
          <w:rFonts w:ascii="Times New Roman" w:hAnsi="Times New Roman" w:cs="Times New Roman"/>
        </w:rPr>
        <w:t xml:space="preserve"> or </w:t>
      </w:r>
      <w:r w:rsidRPr="0069189B">
        <w:rPr>
          <w:rFonts w:ascii="Times New Roman" w:hAnsi="Times New Roman" w:cs="Times New Roman"/>
          <w:i/>
        </w:rPr>
        <w:t xml:space="preserve">per </w:t>
      </w:r>
      <w:proofErr w:type="spellStart"/>
      <w:r w:rsidRPr="0069189B">
        <w:rPr>
          <w:rFonts w:ascii="Times New Roman" w:hAnsi="Times New Roman" w:cs="Times New Roman"/>
          <w:i/>
        </w:rPr>
        <w:t>accidens</w:t>
      </w:r>
      <w:proofErr w:type="spellEnd"/>
      <w:r>
        <w:rPr>
          <w:rFonts w:ascii="Times New Roman" w:hAnsi="Times New Roman" w:cs="Times New Roman"/>
          <w:i/>
        </w:rPr>
        <w:t xml:space="preserve">, </w:t>
      </w:r>
      <w:r>
        <w:rPr>
          <w:rFonts w:ascii="Times New Roman" w:hAnsi="Times New Roman" w:cs="Times New Roman"/>
        </w:rPr>
        <w:t xml:space="preserve">and courts are more likely to grant an </w:t>
      </w:r>
      <w:r w:rsidR="00EA69A1">
        <w:rPr>
          <w:rFonts w:ascii="Times New Roman" w:hAnsi="Times New Roman" w:cs="Times New Roman"/>
        </w:rPr>
        <w:t>injunction</w:t>
      </w:r>
      <w:r>
        <w:rPr>
          <w:rFonts w:ascii="Times New Roman" w:hAnsi="Times New Roman" w:cs="Times New Roman"/>
        </w:rPr>
        <w:t xml:space="preserve"> against a nuisance that is </w:t>
      </w:r>
      <w:r w:rsidRPr="0069189B">
        <w:rPr>
          <w:rFonts w:ascii="Times New Roman" w:hAnsi="Times New Roman" w:cs="Times New Roman"/>
          <w:i/>
        </w:rPr>
        <w:t>per se</w:t>
      </w:r>
      <w:r>
        <w:rPr>
          <w:rFonts w:ascii="Times New Roman" w:hAnsi="Times New Roman" w:cs="Times New Roman"/>
          <w:i/>
        </w:rPr>
        <w:t xml:space="preserve"> </w:t>
      </w:r>
      <w:r>
        <w:rPr>
          <w:rFonts w:ascii="Times New Roman" w:hAnsi="Times New Roman" w:cs="Times New Roman"/>
        </w:rPr>
        <w:t xml:space="preserve">(i.e., it is </w:t>
      </w:r>
      <w:r w:rsidR="00FF209B">
        <w:rPr>
          <w:rFonts w:ascii="Times New Roman" w:hAnsi="Times New Roman" w:cs="Times New Roman"/>
        </w:rPr>
        <w:t xml:space="preserve">a nuisance no matter where it is located) and less likely to grant an injunction against a lawful activity that is causing neighbors concern due to its location, circumstances and other particular facts of its operation. </w:t>
      </w:r>
    </w:p>
    <w:p w14:paraId="567C33DE" w14:textId="77777777" w:rsidR="0069189B" w:rsidRDefault="0069189B" w:rsidP="002D5ACB">
      <w:pPr>
        <w:spacing w:line="276" w:lineRule="auto"/>
        <w:ind w:firstLine="720"/>
        <w:rPr>
          <w:rFonts w:ascii="Times New Roman" w:hAnsi="Times New Roman" w:cs="Times New Roman"/>
        </w:rPr>
      </w:pPr>
    </w:p>
    <w:p w14:paraId="20CECB18" w14:textId="04E02F81" w:rsidR="00EE5FEF" w:rsidRPr="004C0F11" w:rsidRDefault="00EE5FEF" w:rsidP="002D5ACB">
      <w:pPr>
        <w:spacing w:line="276" w:lineRule="auto"/>
        <w:ind w:firstLine="720"/>
        <w:rPr>
          <w:rFonts w:ascii="Times New Roman" w:hAnsi="Times New Roman" w:cs="Times New Roman"/>
        </w:rPr>
      </w:pPr>
      <w:r w:rsidRPr="004C0F11">
        <w:rPr>
          <w:rFonts w:ascii="Times New Roman" w:hAnsi="Times New Roman" w:cs="Times New Roman"/>
        </w:rPr>
        <w:t>Anticipatory nuisance actions enjoining CAFOs even if approved by the Illinois Department of Agriculture (IDOA) are allowed under Illinois law, given</w:t>
      </w:r>
      <w:r w:rsidRPr="004C0F11">
        <w:rPr>
          <w:rFonts w:ascii="Times New Roman" w:hAnsi="Times New Roman" w:cs="Times New Roman"/>
          <w:i/>
        </w:rPr>
        <w:t xml:space="preserve"> Nickels v. Burnett</w:t>
      </w:r>
      <w:r w:rsidR="00161CA3">
        <w:rPr>
          <w:rFonts w:ascii="Times New Roman" w:hAnsi="Times New Roman" w:cs="Times New Roman"/>
          <w:i/>
        </w:rPr>
        <w:t>.</w:t>
      </w:r>
      <w:r w:rsidR="00161CA3">
        <w:rPr>
          <w:rStyle w:val="FootnoteReference"/>
          <w:rFonts w:ascii="Times New Roman" w:hAnsi="Times New Roman" w:cs="Times New Roman"/>
          <w:i/>
        </w:rPr>
        <w:footnoteReference w:id="62"/>
      </w:r>
    </w:p>
    <w:p w14:paraId="1536AE5F" w14:textId="0C2B151E" w:rsidR="003F3300" w:rsidRPr="004C0F11" w:rsidRDefault="003F3300" w:rsidP="003F3300">
      <w:pPr>
        <w:spacing w:line="276" w:lineRule="auto"/>
        <w:rPr>
          <w:rFonts w:ascii="Times New Roman" w:hAnsi="Times New Roman" w:cs="Times New Roman"/>
        </w:rPr>
      </w:pPr>
    </w:p>
    <w:p w14:paraId="4DC3BF60" w14:textId="31CBCFAE" w:rsidR="00EE5FEF" w:rsidRPr="004C0F11" w:rsidRDefault="00EE5FEF" w:rsidP="00EE5FEF">
      <w:pPr>
        <w:spacing w:line="276" w:lineRule="auto"/>
        <w:ind w:firstLine="360"/>
        <w:rPr>
          <w:rFonts w:ascii="Times New Roman" w:hAnsi="Times New Roman" w:cs="Times New Roman"/>
        </w:rPr>
      </w:pPr>
      <w:r w:rsidRPr="004C0F11">
        <w:rPr>
          <w:rFonts w:ascii="Times New Roman" w:hAnsi="Times New Roman" w:cs="Times New Roman"/>
        </w:rPr>
        <w:t>The following states also recognize claims for anticipatory nuisance</w:t>
      </w:r>
      <w:r w:rsidR="003F3300" w:rsidRPr="004C0F11">
        <w:rPr>
          <w:rFonts w:ascii="Times New Roman" w:hAnsi="Times New Roman" w:cs="Times New Roman"/>
        </w:rPr>
        <w:t>,</w:t>
      </w:r>
      <w:r w:rsidRPr="004C0F11">
        <w:rPr>
          <w:rFonts w:ascii="Times New Roman" w:hAnsi="Times New Roman" w:cs="Times New Roman"/>
        </w:rPr>
        <w:t xml:space="preserve"> with varying levels of proof required.</w:t>
      </w:r>
    </w:p>
    <w:p w14:paraId="699196B8" w14:textId="77777777" w:rsidR="00EE5FEF" w:rsidRPr="004C0F11" w:rsidRDefault="00EE5FEF" w:rsidP="00EE5FEF">
      <w:pPr>
        <w:spacing w:line="276" w:lineRule="auto"/>
        <w:ind w:firstLine="360"/>
        <w:rPr>
          <w:rFonts w:ascii="Times New Roman" w:hAnsi="Times New Roman" w:cs="Times New Roman"/>
        </w:rPr>
      </w:pPr>
    </w:p>
    <w:p w14:paraId="115010AD" w14:textId="77777777" w:rsidR="00EE5FEF" w:rsidRPr="004C0F11"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Alabama: </w:t>
      </w:r>
      <w:r w:rsidRPr="004C0F11">
        <w:rPr>
          <w:rFonts w:ascii="Times New Roman" w:hAnsi="Times New Roman" w:cs="Times New Roman"/>
          <w:i/>
        </w:rPr>
        <w:t xml:space="preserve">Hall v. North Montgomery Materials, LLC, </w:t>
      </w:r>
      <w:r w:rsidRPr="004C0F11">
        <w:rPr>
          <w:rFonts w:ascii="Times New Roman" w:hAnsi="Times New Roman" w:cs="Times New Roman"/>
        </w:rPr>
        <w:t>39 So.3d 159 (Al. App 2008),</w:t>
      </w:r>
    </w:p>
    <w:p w14:paraId="364B0F8E" w14:textId="64573E97" w:rsidR="00161CA3" w:rsidRDefault="00161CA3" w:rsidP="00EE5FEF">
      <w:pPr>
        <w:pStyle w:val="ListParagraph"/>
        <w:widowControl/>
        <w:numPr>
          <w:ilvl w:val="0"/>
          <w:numId w:val="2"/>
        </w:numPr>
        <w:autoSpaceDE/>
        <w:autoSpaceDN/>
        <w:adjustRightInd/>
        <w:spacing w:line="276" w:lineRule="auto"/>
        <w:rPr>
          <w:rFonts w:ascii="Times New Roman" w:hAnsi="Times New Roman" w:cs="Times New Roman"/>
        </w:rPr>
      </w:pPr>
      <w:r>
        <w:rPr>
          <w:rFonts w:ascii="Times New Roman" w:hAnsi="Times New Roman" w:cs="Times New Roman"/>
        </w:rPr>
        <w:t xml:space="preserve">Florida: </w:t>
      </w:r>
      <w:r w:rsidRPr="00A21166">
        <w:rPr>
          <w:rFonts w:ascii="Times New Roman" w:hAnsi="Times New Roman" w:cs="Times New Roman"/>
          <w:i/>
        </w:rPr>
        <w:t>Central Theatres Inc. v. State,</w:t>
      </w:r>
      <w:r>
        <w:rPr>
          <w:rFonts w:ascii="Times New Roman" w:hAnsi="Times New Roman" w:cs="Times New Roman"/>
        </w:rPr>
        <w:t xml:space="preserve"> 161 So.2d 558,565 (Fla. </w:t>
      </w:r>
      <w:r w:rsidR="00807292">
        <w:rPr>
          <w:rFonts w:ascii="Times New Roman" w:hAnsi="Times New Roman" w:cs="Times New Roman"/>
        </w:rPr>
        <w:t>Dist. Ct</w:t>
      </w:r>
      <w:r>
        <w:rPr>
          <w:rFonts w:ascii="Times New Roman" w:hAnsi="Times New Roman" w:cs="Times New Roman"/>
        </w:rPr>
        <w:t xml:space="preserve">. App. </w:t>
      </w:r>
      <w:r w:rsidR="00EA69A1">
        <w:rPr>
          <w:rFonts w:ascii="Times New Roman" w:hAnsi="Times New Roman" w:cs="Times New Roman"/>
        </w:rPr>
        <w:t>1964) (</w:t>
      </w:r>
      <w:r>
        <w:rPr>
          <w:rFonts w:ascii="Times New Roman" w:hAnsi="Times New Roman" w:cs="Times New Roman"/>
        </w:rPr>
        <w:t>White, J. Concurring),</w:t>
      </w:r>
    </w:p>
    <w:p w14:paraId="479C6BAD" w14:textId="77E56470" w:rsidR="00EE5FEF" w:rsidRPr="004C0F11"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Georgia: </w:t>
      </w:r>
      <w:r w:rsidRPr="004C0F11">
        <w:rPr>
          <w:rFonts w:ascii="Times New Roman" w:hAnsi="Times New Roman" w:cs="Times New Roman"/>
          <w:i/>
        </w:rPr>
        <w:t xml:space="preserve">Southern States-Bartow County, Inc. v. Riverwood Farm Property Owners </w:t>
      </w:r>
      <w:proofErr w:type="spellStart"/>
      <w:r w:rsidRPr="004C0F11">
        <w:rPr>
          <w:rFonts w:ascii="Times New Roman" w:hAnsi="Times New Roman" w:cs="Times New Roman"/>
          <w:i/>
        </w:rPr>
        <w:t>Ass'n</w:t>
      </w:r>
      <w:proofErr w:type="spellEnd"/>
      <w:r w:rsidRPr="004C0F11">
        <w:rPr>
          <w:rFonts w:ascii="Times New Roman" w:hAnsi="Times New Roman" w:cs="Times New Roman"/>
          <w:i/>
        </w:rPr>
        <w:t xml:space="preserve">, Inc. </w:t>
      </w:r>
      <w:r w:rsidRPr="004C0F11">
        <w:rPr>
          <w:rFonts w:ascii="Times New Roman" w:hAnsi="Times New Roman" w:cs="Times New Roman"/>
        </w:rPr>
        <w:t xml:space="preserve">331 </w:t>
      </w:r>
      <w:proofErr w:type="spellStart"/>
      <w:r w:rsidRPr="004C0F11">
        <w:rPr>
          <w:rFonts w:ascii="Times New Roman" w:hAnsi="Times New Roman" w:cs="Times New Roman"/>
        </w:rPr>
        <w:t>Ga.App</w:t>
      </w:r>
      <w:proofErr w:type="spellEnd"/>
      <w:r w:rsidRPr="004C0F11">
        <w:rPr>
          <w:rFonts w:ascii="Times New Roman" w:hAnsi="Times New Roman" w:cs="Times New Roman"/>
        </w:rPr>
        <w:t>. 878 (Ga. App. 2015),</w:t>
      </w:r>
    </w:p>
    <w:p w14:paraId="56DBB9D7" w14:textId="77777777" w:rsidR="00EE5FEF" w:rsidRPr="004C0F11"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Iowa: </w:t>
      </w:r>
      <w:r w:rsidRPr="004C0F11">
        <w:rPr>
          <w:rFonts w:ascii="Times New Roman" w:hAnsi="Times New Roman" w:cs="Times New Roman"/>
          <w:i/>
        </w:rPr>
        <w:t xml:space="preserve">Simpson v. </w:t>
      </w:r>
      <w:proofErr w:type="spellStart"/>
      <w:r w:rsidRPr="004C0F11">
        <w:rPr>
          <w:rFonts w:ascii="Times New Roman" w:hAnsi="Times New Roman" w:cs="Times New Roman"/>
          <w:i/>
        </w:rPr>
        <w:t>Kollasch</w:t>
      </w:r>
      <w:proofErr w:type="spellEnd"/>
      <w:r w:rsidRPr="004C0F11">
        <w:rPr>
          <w:rFonts w:ascii="Times New Roman" w:hAnsi="Times New Roman" w:cs="Times New Roman"/>
          <w:i/>
        </w:rPr>
        <w:t xml:space="preserve">, </w:t>
      </w:r>
      <w:r w:rsidRPr="004C0F11">
        <w:rPr>
          <w:rFonts w:ascii="Times New Roman" w:hAnsi="Times New Roman" w:cs="Times New Roman"/>
        </w:rPr>
        <w:t>749 N.W.2d 671 (Ia. App. 2008) (denying injunctive relief for an alleged anticipatory nuisance when the petitioners could not show to a certainty that a nuisance would result from plans to develop a hog confinement facility),</w:t>
      </w:r>
    </w:p>
    <w:p w14:paraId="46755FD2" w14:textId="77777777" w:rsidR="00EE5FEF" w:rsidRPr="004C0F11"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Louisiana: </w:t>
      </w:r>
      <w:r w:rsidRPr="004C0F11">
        <w:rPr>
          <w:rFonts w:ascii="Times New Roman" w:hAnsi="Times New Roman" w:cs="Times New Roman"/>
          <w:i/>
        </w:rPr>
        <w:t>Olsen v. City of Baton Rouge</w:t>
      </w:r>
      <w:r w:rsidRPr="004C0F11">
        <w:rPr>
          <w:rFonts w:ascii="Times New Roman" w:hAnsi="Times New Roman" w:cs="Times New Roman"/>
        </w:rPr>
        <w:t xml:space="preserve">, 247 So. 2d 889, 894 (La. Ct. App. 1971), application denied, 252 So. 2d 454 (La. 1971) (emphasizing the “general rule” of not granting injunctions for anticipatory nuisances), </w:t>
      </w:r>
    </w:p>
    <w:p w14:paraId="1FE9D8A7" w14:textId="2E611E72" w:rsidR="00EE5FEF"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Maryland:</w:t>
      </w:r>
      <w:r w:rsidRPr="004C0F11">
        <w:rPr>
          <w:rFonts w:ascii="Times New Roman" w:hAnsi="Times New Roman" w:cs="Times New Roman"/>
          <w:i/>
        </w:rPr>
        <w:t xml:space="preserve"> Adams v. Michael</w:t>
      </w:r>
      <w:r w:rsidRPr="004C0F11">
        <w:rPr>
          <w:rFonts w:ascii="Times New Roman" w:hAnsi="Times New Roman" w:cs="Times New Roman"/>
        </w:rPr>
        <w:t xml:space="preserve">, 38 Md. 123, 129 (1873) (recognizing the doctrine) and </w:t>
      </w:r>
      <w:r w:rsidRPr="004C0F11">
        <w:rPr>
          <w:rFonts w:ascii="Times New Roman" w:hAnsi="Times New Roman" w:cs="Times New Roman"/>
          <w:i/>
        </w:rPr>
        <w:t>City of Bowie v. Board of County Commissioners</w:t>
      </w:r>
      <w:r w:rsidRPr="004C0F11">
        <w:rPr>
          <w:rFonts w:ascii="Times New Roman" w:hAnsi="Times New Roman" w:cs="Times New Roman"/>
        </w:rPr>
        <w:t>, 260 Md. 116, 123, 271 A.2d 657, 660 (1970) (applying it),</w:t>
      </w:r>
    </w:p>
    <w:p w14:paraId="5ED9B7CE" w14:textId="1FB3790F" w:rsidR="00161CA3" w:rsidRPr="004C0F11" w:rsidRDefault="00161CA3" w:rsidP="00EE5FEF">
      <w:pPr>
        <w:pStyle w:val="ListParagraph"/>
        <w:widowControl/>
        <w:numPr>
          <w:ilvl w:val="0"/>
          <w:numId w:val="2"/>
        </w:numPr>
        <w:autoSpaceDE/>
        <w:autoSpaceDN/>
        <w:adjustRightInd/>
        <w:spacing w:line="276" w:lineRule="auto"/>
        <w:rPr>
          <w:rFonts w:ascii="Times New Roman" w:hAnsi="Times New Roman" w:cs="Times New Roman"/>
        </w:rPr>
      </w:pPr>
      <w:r>
        <w:rPr>
          <w:rFonts w:ascii="Times New Roman" w:hAnsi="Times New Roman" w:cs="Times New Roman"/>
        </w:rPr>
        <w:lastRenderedPageBreak/>
        <w:t xml:space="preserve">Michigan: </w:t>
      </w:r>
      <w:r w:rsidRPr="00A21166">
        <w:rPr>
          <w:rFonts w:ascii="Times New Roman" w:hAnsi="Times New Roman" w:cs="Times New Roman"/>
          <w:i/>
        </w:rPr>
        <w:t>City of Jackson v. Thompson-</w:t>
      </w:r>
      <w:proofErr w:type="spellStart"/>
      <w:r w:rsidRPr="00A21166">
        <w:rPr>
          <w:rFonts w:ascii="Times New Roman" w:hAnsi="Times New Roman" w:cs="Times New Roman"/>
          <w:i/>
        </w:rPr>
        <w:t>McCully</w:t>
      </w:r>
      <w:proofErr w:type="spellEnd"/>
      <w:r w:rsidRPr="00A21166">
        <w:rPr>
          <w:rFonts w:ascii="Times New Roman" w:hAnsi="Times New Roman" w:cs="Times New Roman"/>
          <w:i/>
        </w:rPr>
        <w:t xml:space="preserve"> Co.,</w:t>
      </w:r>
      <w:r>
        <w:rPr>
          <w:rFonts w:ascii="Times New Roman" w:hAnsi="Times New Roman" w:cs="Times New Roman"/>
        </w:rPr>
        <w:t xml:space="preserve"> 608 N.W. 2d 531,537 (Mich. Ct. App.)</w:t>
      </w:r>
    </w:p>
    <w:p w14:paraId="69293E94" w14:textId="77777777" w:rsidR="00EE5FEF" w:rsidRPr="004C0F11"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New Mexico:</w:t>
      </w:r>
      <w:r w:rsidRPr="004C0F11">
        <w:rPr>
          <w:rFonts w:ascii="Times New Roman" w:hAnsi="Times New Roman" w:cs="Times New Roman"/>
          <w:i/>
        </w:rPr>
        <w:t xml:space="preserve"> State ex rel. </w:t>
      </w:r>
      <w:proofErr w:type="spellStart"/>
      <w:r w:rsidRPr="004C0F11">
        <w:rPr>
          <w:rFonts w:ascii="Times New Roman" w:hAnsi="Times New Roman" w:cs="Times New Roman"/>
          <w:i/>
        </w:rPr>
        <w:t>Vill</w:t>
      </w:r>
      <w:proofErr w:type="spellEnd"/>
      <w:r w:rsidRPr="004C0F11">
        <w:rPr>
          <w:rFonts w:ascii="Times New Roman" w:hAnsi="Times New Roman" w:cs="Times New Roman"/>
          <w:i/>
        </w:rPr>
        <w:t>. of Los Ranchos de Albuquerque v. City of Albuquerque</w:t>
      </w:r>
      <w:r w:rsidRPr="004C0F11">
        <w:rPr>
          <w:rFonts w:ascii="Times New Roman" w:hAnsi="Times New Roman" w:cs="Times New Roman"/>
        </w:rPr>
        <w:t>, 889 P.2d 185, 200 (N.M. 1994) (stating that "[t]he general rule is that anticipatory nuisance is a valid cause of action" but "that the anticipated nuisance must be proven so as to make any argument that it is not a nuisance highly improbable"),</w:t>
      </w:r>
    </w:p>
    <w:p w14:paraId="44848C6E" w14:textId="77777777" w:rsidR="0069189B"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Ohio: </w:t>
      </w:r>
      <w:r w:rsidRPr="004C0F11">
        <w:rPr>
          <w:rFonts w:ascii="Times New Roman" w:hAnsi="Times New Roman" w:cs="Times New Roman"/>
          <w:i/>
        </w:rPr>
        <w:t xml:space="preserve">Gustafson v. </w:t>
      </w:r>
      <w:proofErr w:type="spellStart"/>
      <w:r w:rsidRPr="004C0F11">
        <w:rPr>
          <w:rFonts w:ascii="Times New Roman" w:hAnsi="Times New Roman" w:cs="Times New Roman"/>
          <w:i/>
        </w:rPr>
        <w:t>Cotco</w:t>
      </w:r>
      <w:proofErr w:type="spellEnd"/>
      <w:r w:rsidRPr="004C0F11">
        <w:rPr>
          <w:rFonts w:ascii="Times New Roman" w:hAnsi="Times New Roman" w:cs="Times New Roman"/>
          <w:i/>
        </w:rPr>
        <w:t xml:space="preserve"> Enterprises, Inc. </w:t>
      </w:r>
      <w:r w:rsidRPr="004C0F11">
        <w:rPr>
          <w:rFonts w:ascii="Times New Roman" w:hAnsi="Times New Roman" w:cs="Times New Roman"/>
        </w:rPr>
        <w:t>42 Ohio App.2d 45 (1974) (“clear and convincing” evidence standard),</w:t>
      </w:r>
    </w:p>
    <w:p w14:paraId="6E52B1A5" w14:textId="1AAEF2EA" w:rsidR="00EE5FEF" w:rsidRPr="004C0F11" w:rsidRDefault="0069189B" w:rsidP="00EE5FEF">
      <w:pPr>
        <w:pStyle w:val="ListParagraph"/>
        <w:widowControl/>
        <w:numPr>
          <w:ilvl w:val="0"/>
          <w:numId w:val="2"/>
        </w:numPr>
        <w:autoSpaceDE/>
        <w:autoSpaceDN/>
        <w:adjustRightInd/>
        <w:spacing w:line="276" w:lineRule="auto"/>
        <w:rPr>
          <w:rFonts w:ascii="Times New Roman" w:hAnsi="Times New Roman" w:cs="Times New Roman"/>
        </w:rPr>
      </w:pPr>
      <w:r>
        <w:rPr>
          <w:rFonts w:ascii="Times New Roman" w:hAnsi="Times New Roman" w:cs="Times New Roman"/>
        </w:rPr>
        <w:t xml:space="preserve">Oklahoma:  </w:t>
      </w:r>
      <w:r w:rsidRPr="00A21166">
        <w:rPr>
          <w:rFonts w:ascii="Times New Roman" w:hAnsi="Times New Roman" w:cs="Times New Roman"/>
          <w:i/>
        </w:rPr>
        <w:t>Sharp v. 251</w:t>
      </w:r>
      <w:r w:rsidRPr="00A21166">
        <w:rPr>
          <w:rFonts w:ascii="Times New Roman" w:hAnsi="Times New Roman" w:cs="Times New Roman"/>
          <w:i/>
          <w:vertAlign w:val="superscript"/>
        </w:rPr>
        <w:t>st</w:t>
      </w:r>
      <w:r w:rsidRPr="00A21166">
        <w:rPr>
          <w:rFonts w:ascii="Times New Roman" w:hAnsi="Times New Roman" w:cs="Times New Roman"/>
          <w:i/>
        </w:rPr>
        <w:t xml:space="preserve"> St. Landfill</w:t>
      </w:r>
      <w:r>
        <w:rPr>
          <w:rFonts w:ascii="Times New Roman" w:hAnsi="Times New Roman" w:cs="Times New Roman"/>
        </w:rPr>
        <w:t>, 925 P.2d 546, 552 (Okla. 1996</w:t>
      </w:r>
      <w:r w:rsidR="00EE5FEF" w:rsidRPr="004C0F11">
        <w:rPr>
          <w:rFonts w:ascii="Times New Roman" w:hAnsi="Times New Roman" w:cs="Times New Roman"/>
        </w:rPr>
        <w:t xml:space="preserve"> </w:t>
      </w:r>
    </w:p>
    <w:p w14:paraId="7575E6C6" w14:textId="43AB311A" w:rsidR="00EE5FEF" w:rsidRPr="004C0F11"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South Carolina: </w:t>
      </w:r>
      <w:r w:rsidRPr="004C0F11">
        <w:rPr>
          <w:rFonts w:ascii="Times New Roman" w:hAnsi="Times New Roman" w:cs="Times New Roman"/>
          <w:i/>
        </w:rPr>
        <w:t>Haley v. South Carolina Department of Health and Environmental Control,</w:t>
      </w:r>
      <w:r w:rsidRPr="004C0F11">
        <w:rPr>
          <w:rStyle w:val="apple-converted-space"/>
          <w:rFonts w:ascii="Times New Roman" w:hAnsi="Times New Roman" w:cs="Times New Roman"/>
          <w:i/>
        </w:rPr>
        <w:t> </w:t>
      </w:r>
      <w:r w:rsidRPr="004C0F11">
        <w:rPr>
          <w:rStyle w:val="cosearchdetaillevel2"/>
          <w:rFonts w:ascii="Times New Roman" w:hAnsi="Times New Roman" w:cs="Times New Roman"/>
          <w:shd w:val="clear" w:color="auto" w:fill="FFFFFF"/>
        </w:rPr>
        <w:t>1998 WL 268397</w:t>
      </w:r>
      <w:r w:rsidRPr="004C0F11">
        <w:rPr>
          <w:rStyle w:val="apple-converted-space"/>
          <w:rFonts w:ascii="Times New Roman" w:hAnsi="Times New Roman" w:cs="Times New Roman"/>
          <w:shd w:val="clear" w:color="auto" w:fill="FFFFFF"/>
        </w:rPr>
        <w:t> </w:t>
      </w:r>
      <w:r w:rsidRPr="004C0F11">
        <w:rPr>
          <w:rStyle w:val="cosearchdetaillevel2"/>
          <w:rFonts w:ascii="Times New Roman" w:hAnsi="Times New Roman" w:cs="Times New Roman"/>
          <w:shd w:val="clear" w:color="auto" w:fill="FFFFFF"/>
        </w:rPr>
        <w:t>97-ALJ-07-198-CC</w:t>
      </w:r>
      <w:r w:rsidRPr="004C0F11">
        <w:rPr>
          <w:rFonts w:ascii="Times New Roman" w:hAnsi="Times New Roman" w:cs="Times New Roman"/>
        </w:rPr>
        <w:t xml:space="preserve"> (</w:t>
      </w:r>
      <w:r w:rsidRPr="004C0F11">
        <w:rPr>
          <w:rFonts w:ascii="Times New Roman" w:hAnsi="Times New Roman" w:cs="Times New Roman"/>
          <w:shd w:val="clear" w:color="auto" w:fill="FFFFFF"/>
        </w:rPr>
        <w:t>1998</w:t>
      </w:r>
      <w:r w:rsidRPr="004C0F11">
        <w:rPr>
          <w:rFonts w:ascii="Times New Roman" w:hAnsi="Times New Roman" w:cs="Times New Roman"/>
        </w:rPr>
        <w:t>) (“anticipated nuisance” [chicken processing and composting] is inevitable from the proposed use of the premises … Such nuisance impact would be neither “doubtful, contingent, or conjectural”),</w:t>
      </w:r>
    </w:p>
    <w:p w14:paraId="4723200F" w14:textId="55E97A2F" w:rsidR="00EE5FEF" w:rsidRDefault="00EE5FEF" w:rsidP="00EE5FEF">
      <w:pPr>
        <w:pStyle w:val="ListParagraph"/>
        <w:widowControl/>
        <w:numPr>
          <w:ilvl w:val="0"/>
          <w:numId w:val="2"/>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Utah: </w:t>
      </w:r>
      <w:proofErr w:type="spellStart"/>
      <w:r w:rsidRPr="004C0F11">
        <w:rPr>
          <w:rFonts w:ascii="Times New Roman" w:hAnsi="Times New Roman" w:cs="Times New Roman"/>
          <w:i/>
          <w:shd w:val="clear" w:color="auto" w:fill="FFFFFF"/>
        </w:rPr>
        <w:t>Steffensen</w:t>
      </w:r>
      <w:proofErr w:type="spellEnd"/>
      <w:r w:rsidRPr="004C0F11">
        <w:rPr>
          <w:rFonts w:ascii="Times New Roman" w:hAnsi="Times New Roman" w:cs="Times New Roman"/>
          <w:i/>
          <w:shd w:val="clear" w:color="auto" w:fill="FFFFFF"/>
        </w:rPr>
        <w:t>–WC, LLC</w:t>
      </w:r>
      <w:r w:rsidRPr="004C0F11">
        <w:rPr>
          <w:rStyle w:val="apple-converted-space"/>
          <w:rFonts w:ascii="Times New Roman" w:hAnsi="Times New Roman" w:cs="Times New Roman"/>
          <w:i/>
          <w:shd w:val="clear" w:color="auto" w:fill="FFFFFF"/>
        </w:rPr>
        <w:t xml:space="preserve"> v. </w:t>
      </w:r>
      <w:r w:rsidRPr="004C0F11">
        <w:rPr>
          <w:rFonts w:ascii="Times New Roman" w:hAnsi="Times New Roman" w:cs="Times New Roman"/>
          <w:i/>
          <w:shd w:val="clear" w:color="auto" w:fill="FFFFFF"/>
        </w:rPr>
        <w:t>Volunteers of America of Utah, Inc.,</w:t>
      </w:r>
      <w:r w:rsidRPr="004C0F11">
        <w:rPr>
          <w:rFonts w:ascii="Times New Roman" w:hAnsi="Times New Roman" w:cs="Times New Roman"/>
        </w:rPr>
        <w:t xml:space="preserve"> 369 P.3d 483 (2016) (“</w:t>
      </w:r>
      <w:r w:rsidRPr="004C0F11">
        <w:rPr>
          <w:rFonts w:ascii="Times New Roman" w:hAnsi="Times New Roman" w:cs="Times New Roman"/>
          <w:shd w:val="clear" w:color="auto" w:fill="FFFFFF"/>
        </w:rPr>
        <w:t>Utah recognizes anticipatory nuisance as a cause of action”)</w:t>
      </w:r>
      <w:r w:rsidR="0069189B">
        <w:rPr>
          <w:rFonts w:ascii="Times New Roman" w:hAnsi="Times New Roman" w:cs="Times New Roman"/>
          <w:shd w:val="clear" w:color="auto" w:fill="FFFFFF"/>
        </w:rPr>
        <w:t>,</w:t>
      </w:r>
      <w:r w:rsidR="0069189B" w:rsidRPr="004C0F11">
        <w:rPr>
          <w:rFonts w:ascii="Times New Roman" w:hAnsi="Times New Roman" w:cs="Times New Roman"/>
        </w:rPr>
        <w:t xml:space="preserve"> and</w:t>
      </w:r>
    </w:p>
    <w:p w14:paraId="79013629" w14:textId="4F530AC3" w:rsidR="0069189B" w:rsidRPr="004C0F11" w:rsidRDefault="0069189B" w:rsidP="00EE5FEF">
      <w:pPr>
        <w:pStyle w:val="ListParagraph"/>
        <w:widowControl/>
        <w:numPr>
          <w:ilvl w:val="0"/>
          <w:numId w:val="2"/>
        </w:numPr>
        <w:autoSpaceDE/>
        <w:autoSpaceDN/>
        <w:adjustRightInd/>
        <w:spacing w:line="276" w:lineRule="auto"/>
        <w:rPr>
          <w:rFonts w:ascii="Times New Roman" w:hAnsi="Times New Roman" w:cs="Times New Roman"/>
        </w:rPr>
      </w:pPr>
      <w:r>
        <w:rPr>
          <w:rFonts w:ascii="Times New Roman" w:hAnsi="Times New Roman" w:cs="Times New Roman"/>
        </w:rPr>
        <w:t xml:space="preserve">West Virginia: </w:t>
      </w:r>
      <w:r w:rsidRPr="0069189B">
        <w:rPr>
          <w:rFonts w:ascii="Times New Roman" w:hAnsi="Times New Roman" w:cs="Times New Roman"/>
          <w:i/>
        </w:rPr>
        <w:t>Duff v. Morgantown Energy Associates</w:t>
      </w:r>
      <w:r>
        <w:rPr>
          <w:rFonts w:ascii="Times New Roman" w:hAnsi="Times New Roman" w:cs="Times New Roman"/>
          <w:i/>
        </w:rPr>
        <w:t xml:space="preserve">, </w:t>
      </w:r>
      <w:r w:rsidRPr="0069189B">
        <w:rPr>
          <w:rFonts w:ascii="Times New Roman" w:hAnsi="Times New Roman" w:cs="Times New Roman"/>
        </w:rPr>
        <w:t xml:space="preserve">421 S.E.2d 253,255 (W. Va. </w:t>
      </w:r>
      <w:r w:rsidR="00EA69A1" w:rsidRPr="0069189B">
        <w:rPr>
          <w:rFonts w:ascii="Times New Roman" w:hAnsi="Times New Roman" w:cs="Times New Roman"/>
        </w:rPr>
        <w:t>1992)</w:t>
      </w:r>
      <w:r w:rsidR="00EA69A1">
        <w:rPr>
          <w:rFonts w:ascii="Times New Roman" w:hAnsi="Times New Roman" w:cs="Times New Roman"/>
        </w:rPr>
        <w:t xml:space="preserve"> (</w:t>
      </w:r>
      <w:r>
        <w:rPr>
          <w:rFonts w:ascii="Times New Roman" w:hAnsi="Times New Roman" w:cs="Times New Roman"/>
        </w:rPr>
        <w:t>Anticipatory nuisance recognized but injunction at trial court reversed on appeal, must have proof of threat “beyond all ground of fair questioning”).</w:t>
      </w:r>
    </w:p>
    <w:p w14:paraId="2991A91B" w14:textId="77777777" w:rsidR="00EE5FEF" w:rsidRPr="004C0F11" w:rsidRDefault="00EE5FEF" w:rsidP="00EE5FEF">
      <w:pPr>
        <w:spacing w:line="276" w:lineRule="auto"/>
        <w:ind w:left="360"/>
        <w:rPr>
          <w:rFonts w:ascii="Times New Roman" w:hAnsi="Times New Roman" w:cs="Times New Roman"/>
        </w:rPr>
      </w:pPr>
    </w:p>
    <w:p w14:paraId="715F42C7" w14:textId="5E8421D1" w:rsidR="003F3300" w:rsidRPr="004C0F11" w:rsidRDefault="003F3300" w:rsidP="003F3300">
      <w:pPr>
        <w:spacing w:line="276" w:lineRule="auto"/>
        <w:ind w:firstLine="360"/>
        <w:rPr>
          <w:rFonts w:ascii="Times New Roman" w:hAnsi="Times New Roman" w:cs="Times New Roman"/>
        </w:rPr>
      </w:pPr>
      <w:r w:rsidRPr="004C0F11">
        <w:rPr>
          <w:rFonts w:ascii="Times New Roman" w:hAnsi="Times New Roman" w:cs="Times New Roman"/>
        </w:rPr>
        <w:t xml:space="preserve">Some states have no recorded cases recognizing anticipatory nuisance.  For example, </w:t>
      </w:r>
      <w:r w:rsidRPr="004C0F11">
        <w:rPr>
          <w:rFonts w:ascii="Times New Roman" w:eastAsia="Times New Roman" w:hAnsi="Times New Roman" w:cs="Times New Roman"/>
        </w:rPr>
        <w:t xml:space="preserve">nuisance law in Minnesota operates under statute, and the doctrine of anticipatory nuisance is not precluded, but no </w:t>
      </w:r>
      <w:r w:rsidRPr="004C0F11">
        <w:rPr>
          <w:rFonts w:ascii="Times New Roman" w:hAnsi="Times New Roman" w:cs="Times New Roman"/>
        </w:rPr>
        <w:t xml:space="preserve">Minnesota case appears to have recognized a claim for anticipatory nuisance. </w:t>
      </w:r>
    </w:p>
    <w:p w14:paraId="50A34884" w14:textId="77777777" w:rsidR="003F3300" w:rsidRPr="004C0F11" w:rsidRDefault="003F3300" w:rsidP="003F3300">
      <w:pPr>
        <w:spacing w:line="276" w:lineRule="auto"/>
        <w:ind w:firstLine="360"/>
        <w:rPr>
          <w:rFonts w:ascii="Times New Roman" w:hAnsi="Times New Roman" w:cs="Times New Roman"/>
        </w:rPr>
      </w:pPr>
    </w:p>
    <w:p w14:paraId="6E91CE24" w14:textId="1A049B81" w:rsidR="003F3300" w:rsidRPr="004C0F11" w:rsidRDefault="003F3300" w:rsidP="003F3300">
      <w:pPr>
        <w:spacing w:line="276" w:lineRule="auto"/>
        <w:ind w:firstLine="360"/>
        <w:rPr>
          <w:rFonts w:ascii="Times New Roman" w:eastAsia="Times New Roman" w:hAnsi="Times New Roman" w:cs="Times New Roman"/>
        </w:rPr>
      </w:pPr>
      <w:r w:rsidRPr="004C0F11">
        <w:rPr>
          <w:rFonts w:ascii="Times New Roman" w:hAnsi="Times New Roman" w:cs="Times New Roman"/>
        </w:rPr>
        <w:t xml:space="preserve">It is worth noting, however, the recent case of </w:t>
      </w:r>
      <w:hyperlink r:id="rId8" w:history="1">
        <w:r w:rsidRPr="004C0F11">
          <w:rPr>
            <w:rFonts w:ascii="Times New Roman" w:eastAsia="Times New Roman" w:hAnsi="Times New Roman" w:cs="Times New Roman"/>
            <w:i/>
          </w:rPr>
          <w:t>Johnson v. Paynesville Farmers Union Co-op. Oil Co.</w:t>
        </w:r>
      </w:hyperlink>
      <w:r w:rsidRPr="004C0F11">
        <w:rPr>
          <w:rFonts w:ascii="Times New Roman" w:eastAsia="Times New Roman" w:hAnsi="Times New Roman" w:cs="Times New Roman"/>
        </w:rPr>
        <w:t xml:space="preserve">, 817 N.W.2d 693 Minn., (August 1, 2012), where the court denied an organic grower’s claim for pesticide drift, but in so doing, recognized a claim for trespass via airborne particulate could exist and ruled that injunctive relief would be allowed. This may indicate a willingness in Minnesota to allow injunctive relief in an anticipatory nuisance action. </w:t>
      </w:r>
    </w:p>
    <w:p w14:paraId="1EBDC5F0" w14:textId="77777777" w:rsidR="003F3300" w:rsidRPr="004C0F11" w:rsidRDefault="003F3300" w:rsidP="003F3300">
      <w:pPr>
        <w:spacing w:line="276" w:lineRule="auto"/>
        <w:rPr>
          <w:rFonts w:ascii="Times New Roman" w:eastAsia="Times New Roman" w:hAnsi="Times New Roman" w:cs="Times New Roman"/>
        </w:rPr>
      </w:pPr>
    </w:p>
    <w:p w14:paraId="5411397D" w14:textId="12A6A968" w:rsidR="00EE5FEF" w:rsidRPr="004C0F11" w:rsidRDefault="00EE5FEF" w:rsidP="00EE5FEF">
      <w:pPr>
        <w:spacing w:line="276" w:lineRule="auto"/>
        <w:ind w:firstLine="360"/>
        <w:rPr>
          <w:rFonts w:ascii="Times New Roman" w:eastAsia="Times New Roman" w:hAnsi="Times New Roman" w:cs="Times New Roman"/>
        </w:rPr>
      </w:pPr>
      <w:r w:rsidRPr="004C0F11">
        <w:rPr>
          <w:rFonts w:ascii="Times New Roman" w:eastAsia="Times New Roman" w:hAnsi="Times New Roman" w:cs="Times New Roman"/>
        </w:rPr>
        <w:t xml:space="preserve">While a more comprehensive review of this issue might be necessary, the only state that my research found that </w:t>
      </w:r>
      <w:r w:rsidRPr="004C0F11">
        <w:rPr>
          <w:rFonts w:ascii="Times New Roman" w:eastAsia="Times New Roman" w:hAnsi="Times New Roman" w:cs="Times New Roman"/>
          <w:u w:val="single"/>
        </w:rPr>
        <w:t>denied</w:t>
      </w:r>
      <w:r w:rsidRPr="004C0F11">
        <w:rPr>
          <w:rFonts w:ascii="Times New Roman" w:eastAsia="Times New Roman" w:hAnsi="Times New Roman" w:cs="Times New Roman"/>
        </w:rPr>
        <w:t xml:space="preserve"> any claim for anticipatory nuisance (i.e., plaintiffs cannot even state a claim), would be North Dakota.  See, </w:t>
      </w:r>
      <w:proofErr w:type="spellStart"/>
      <w:r w:rsidRPr="004C0F11">
        <w:rPr>
          <w:rFonts w:ascii="Times New Roman" w:eastAsia="Times New Roman" w:hAnsi="Times New Roman" w:cs="Times New Roman"/>
          <w:i/>
        </w:rPr>
        <w:t>Tibert</w:t>
      </w:r>
      <w:proofErr w:type="spellEnd"/>
      <w:r w:rsidRPr="004C0F11">
        <w:rPr>
          <w:rFonts w:ascii="Times New Roman" w:eastAsia="Times New Roman" w:hAnsi="Times New Roman" w:cs="Times New Roman"/>
          <w:i/>
        </w:rPr>
        <w:t xml:space="preserve"> v. </w:t>
      </w:r>
      <w:proofErr w:type="spellStart"/>
      <w:r w:rsidRPr="004C0F11">
        <w:rPr>
          <w:rFonts w:ascii="Times New Roman" w:eastAsia="Times New Roman" w:hAnsi="Times New Roman" w:cs="Times New Roman"/>
          <w:i/>
        </w:rPr>
        <w:t>Slominski</w:t>
      </w:r>
      <w:proofErr w:type="spellEnd"/>
      <w:r w:rsidRPr="004C0F11">
        <w:rPr>
          <w:rFonts w:ascii="Times New Roman" w:eastAsia="Times New Roman" w:hAnsi="Times New Roman" w:cs="Times New Roman"/>
        </w:rPr>
        <w:t xml:space="preserve">, 2005 ND 34, 692 N.W.2d 133 (citing </w:t>
      </w:r>
      <w:proofErr w:type="spellStart"/>
      <w:r w:rsidRPr="004C0F11">
        <w:rPr>
          <w:rFonts w:ascii="Times New Roman" w:eastAsia="Times New Roman" w:hAnsi="Times New Roman" w:cs="Times New Roman"/>
          <w:i/>
          <w:iCs/>
        </w:rPr>
        <w:t>Riffey</w:t>
      </w:r>
      <w:proofErr w:type="spellEnd"/>
      <w:r w:rsidRPr="004C0F11">
        <w:rPr>
          <w:rFonts w:ascii="Times New Roman" w:eastAsia="Times New Roman" w:hAnsi="Times New Roman" w:cs="Times New Roman"/>
          <w:i/>
          <w:iCs/>
        </w:rPr>
        <w:t xml:space="preserve"> v. Rush</w:t>
      </w:r>
      <w:r w:rsidRPr="004C0F11">
        <w:rPr>
          <w:rFonts w:ascii="Times New Roman" w:eastAsia="Times New Roman" w:hAnsi="Times New Roman" w:cs="Times New Roman"/>
        </w:rPr>
        <w:t>, 51 ND 188, 199 N.W. 523 (N.D. 1924).)</w:t>
      </w:r>
    </w:p>
    <w:p w14:paraId="344F485A" w14:textId="2E99228C" w:rsidR="00EE5FEF" w:rsidRPr="004C0F11" w:rsidRDefault="00EE5FEF" w:rsidP="00EE5FEF">
      <w:pPr>
        <w:spacing w:line="276" w:lineRule="auto"/>
        <w:ind w:firstLine="360"/>
        <w:rPr>
          <w:rFonts w:ascii="Times New Roman" w:eastAsia="Times New Roman" w:hAnsi="Times New Roman" w:cs="Times New Roman"/>
        </w:rPr>
      </w:pPr>
      <w:r w:rsidRPr="004C0F11">
        <w:rPr>
          <w:rFonts w:ascii="Times New Roman" w:eastAsia="Times New Roman" w:hAnsi="Times New Roman" w:cs="Times New Roman"/>
        </w:rPr>
        <w:t xml:space="preserve"> </w:t>
      </w:r>
    </w:p>
    <w:p w14:paraId="43CF1E10" w14:textId="228CE564" w:rsidR="00EE5FEF" w:rsidRPr="004C0F11" w:rsidRDefault="003F3300" w:rsidP="00EE5FEF">
      <w:pPr>
        <w:spacing w:line="276" w:lineRule="auto"/>
        <w:ind w:firstLine="360"/>
        <w:rPr>
          <w:rFonts w:ascii="Times New Roman" w:eastAsia="Times New Roman" w:hAnsi="Times New Roman" w:cs="Times New Roman"/>
        </w:rPr>
      </w:pPr>
      <w:r w:rsidRPr="004C0F11">
        <w:rPr>
          <w:rFonts w:ascii="Times New Roman" w:eastAsia="Times New Roman" w:hAnsi="Times New Roman" w:cs="Times New Roman"/>
        </w:rPr>
        <w:t>Given the variation in state approaches to anticipatory nuisance,</w:t>
      </w:r>
      <w:r w:rsidR="00EE5FEF" w:rsidRPr="004C0F11">
        <w:rPr>
          <w:rFonts w:ascii="Times New Roman" w:eastAsia="Times New Roman" w:hAnsi="Times New Roman" w:cs="Times New Roman"/>
        </w:rPr>
        <w:t xml:space="preserve"> a practitioner considering a claim in a particular jurisdiction should ascertain the status of the law in their state.</w:t>
      </w:r>
    </w:p>
    <w:p w14:paraId="61B6119E" w14:textId="69EBC8F9" w:rsidR="00EE5FEF" w:rsidRDefault="00EE5FEF" w:rsidP="00EE5FEF">
      <w:pPr>
        <w:rPr>
          <w:rFonts w:ascii="Times New Roman" w:hAnsi="Times New Roman" w:cs="Times New Roman"/>
        </w:rPr>
      </w:pPr>
    </w:p>
    <w:p w14:paraId="1589E6AE" w14:textId="77777777" w:rsidR="005F178E" w:rsidRPr="004C0F11" w:rsidRDefault="005F178E" w:rsidP="00EE5FEF">
      <w:pPr>
        <w:rPr>
          <w:rFonts w:ascii="Times New Roman" w:hAnsi="Times New Roman" w:cs="Times New Roman"/>
        </w:rPr>
      </w:pPr>
    </w:p>
    <w:p w14:paraId="1E7CE363" w14:textId="2D74F428" w:rsidR="00EE5FEF" w:rsidRPr="002D5ACB" w:rsidRDefault="00EE5FEF" w:rsidP="00EE5FEF">
      <w:pPr>
        <w:pStyle w:val="ListParagraph"/>
        <w:numPr>
          <w:ilvl w:val="0"/>
          <w:numId w:val="4"/>
        </w:numPr>
        <w:rPr>
          <w:rFonts w:ascii="Times New Roman" w:hAnsi="Times New Roman" w:cs="Times New Roman"/>
          <w:b/>
        </w:rPr>
      </w:pPr>
      <w:r w:rsidRPr="004C0F11">
        <w:rPr>
          <w:rFonts w:ascii="Times New Roman" w:hAnsi="Times New Roman" w:cs="Times New Roman"/>
          <w:b/>
        </w:rPr>
        <w:lastRenderedPageBreak/>
        <w:t>Federal Law of Anticipatory Nuisance</w:t>
      </w:r>
    </w:p>
    <w:p w14:paraId="3C0FAE24" w14:textId="77777777" w:rsidR="00AE66A7" w:rsidRPr="004C0F11" w:rsidRDefault="00AE66A7">
      <w:pPr>
        <w:pStyle w:val="pxp"/>
        <w:rPr>
          <w:rStyle w:val="pxvis"/>
          <w:rFonts w:ascii="Times New Roman" w:hAnsi="Times New Roman" w:cs="Times New Roman"/>
          <w:b w:val="0"/>
          <w:bCs w:val="0"/>
          <w:sz w:val="24"/>
          <w:szCs w:val="24"/>
        </w:rPr>
      </w:pPr>
    </w:p>
    <w:p w14:paraId="50542417" w14:textId="77777777" w:rsidR="00411BBA" w:rsidRPr="004C0F11" w:rsidRDefault="00411BBA" w:rsidP="00411BBA">
      <w:pPr>
        <w:spacing w:line="276" w:lineRule="auto"/>
        <w:ind w:firstLine="360"/>
        <w:rPr>
          <w:rFonts w:ascii="Times New Roman" w:hAnsi="Times New Roman" w:cs="Times New Roman"/>
        </w:rPr>
      </w:pPr>
      <w:r w:rsidRPr="004C0F11">
        <w:rPr>
          <w:rFonts w:ascii="Times New Roman" w:hAnsi="Times New Roman" w:cs="Times New Roman"/>
        </w:rPr>
        <w:t xml:space="preserve">Since the federal common law of public nuisance allows a claims for anticipatory nuisance, this may be a preferred location for filing a claim for anticipatory nuisance, with jurisdiction imparted via a federal question (i.e. common law nuisance) even without diversity of citizenship. </w:t>
      </w:r>
    </w:p>
    <w:p w14:paraId="7E49B859" w14:textId="77777777" w:rsidR="005F178E" w:rsidRDefault="005F178E" w:rsidP="005F178E">
      <w:pPr>
        <w:spacing w:line="276" w:lineRule="auto"/>
        <w:rPr>
          <w:rFonts w:ascii="Times New Roman" w:hAnsi="Times New Roman" w:cs="Times New Roman"/>
        </w:rPr>
      </w:pPr>
    </w:p>
    <w:p w14:paraId="1CCD851E" w14:textId="5B9856E0" w:rsidR="009749BC" w:rsidRPr="009749BC" w:rsidRDefault="00411BBA" w:rsidP="005F178E">
      <w:pPr>
        <w:spacing w:line="276" w:lineRule="auto"/>
        <w:ind w:firstLine="360"/>
        <w:rPr>
          <w:rFonts w:ascii="Times New Roman" w:hAnsi="Times New Roman" w:cs="Times New Roman"/>
          <w:i/>
        </w:rPr>
      </w:pPr>
      <w:r w:rsidRPr="004C0F11">
        <w:rPr>
          <w:rFonts w:ascii="Times New Roman" w:hAnsi="Times New Roman" w:cs="Times New Roman"/>
        </w:rPr>
        <w:t>The US federal courts have developed a federal common law of anticipatory nuisance and, in the rare instances when they are called on to resolve such cause of action with an injunction, have done so more consistently than state courts for the past 120 years. This history starts with the Supreme Court’s decision in</w:t>
      </w:r>
      <w:r w:rsidR="009749BC">
        <w:rPr>
          <w:rFonts w:ascii="Times New Roman" w:hAnsi="Times New Roman" w:cs="Times New Roman"/>
        </w:rPr>
        <w:t xml:space="preserve"> </w:t>
      </w:r>
      <w:proofErr w:type="spellStart"/>
      <w:r w:rsidR="009749BC" w:rsidRPr="009749BC">
        <w:rPr>
          <w:rFonts w:ascii="Times New Roman" w:hAnsi="Times New Roman" w:cs="Times New Roman"/>
          <w:i/>
        </w:rPr>
        <w:t>Mugler</w:t>
      </w:r>
      <w:proofErr w:type="spellEnd"/>
      <w:r w:rsidR="009749BC" w:rsidRPr="009749BC">
        <w:rPr>
          <w:rFonts w:ascii="Times New Roman" w:hAnsi="Times New Roman" w:cs="Times New Roman"/>
          <w:i/>
        </w:rPr>
        <w:t xml:space="preserve"> v. Kansas</w:t>
      </w:r>
      <w:r w:rsidR="00161CA3">
        <w:rPr>
          <w:rFonts w:ascii="Times New Roman" w:hAnsi="Times New Roman" w:cs="Times New Roman"/>
          <w:i/>
        </w:rPr>
        <w:t>,</w:t>
      </w:r>
      <w:r w:rsidR="009749BC">
        <w:rPr>
          <w:rStyle w:val="FootnoteReference"/>
          <w:rFonts w:ascii="Times New Roman" w:hAnsi="Times New Roman" w:cs="Times New Roman"/>
          <w:i/>
        </w:rPr>
        <w:footnoteReference w:id="63"/>
      </w:r>
      <w:r w:rsidR="00161CA3">
        <w:rPr>
          <w:rFonts w:ascii="Times New Roman" w:hAnsi="Times New Roman" w:cs="Times New Roman"/>
          <w:i/>
        </w:rPr>
        <w:t xml:space="preserve"> </w:t>
      </w:r>
      <w:r w:rsidR="00161CA3" w:rsidRPr="00161CA3">
        <w:rPr>
          <w:rFonts w:ascii="Times New Roman" w:hAnsi="Times New Roman" w:cs="Times New Roman"/>
        </w:rPr>
        <w:t>where the court held that to prevent “irreparable mischief” a threat of nuisance could be enjoined.</w:t>
      </w:r>
    </w:p>
    <w:p w14:paraId="6F0BFE81" w14:textId="77777777" w:rsidR="009749BC" w:rsidRDefault="009749BC" w:rsidP="00411BBA">
      <w:pPr>
        <w:spacing w:line="276" w:lineRule="auto"/>
        <w:ind w:firstLine="720"/>
        <w:rPr>
          <w:rFonts w:ascii="Times New Roman" w:hAnsi="Times New Roman" w:cs="Times New Roman"/>
        </w:rPr>
      </w:pPr>
    </w:p>
    <w:p w14:paraId="6CC05061" w14:textId="2F049D96" w:rsidR="00411BBA" w:rsidRPr="004C0F11" w:rsidRDefault="009749BC" w:rsidP="005F178E">
      <w:pPr>
        <w:spacing w:line="276" w:lineRule="auto"/>
        <w:ind w:firstLine="360"/>
        <w:rPr>
          <w:rFonts w:ascii="Times New Roman" w:hAnsi="Times New Roman" w:cs="Times New Roman"/>
        </w:rPr>
      </w:pPr>
      <w:r>
        <w:rPr>
          <w:rFonts w:ascii="Times New Roman" w:hAnsi="Times New Roman" w:cs="Times New Roman"/>
        </w:rPr>
        <w:t>This decision was followed in</w:t>
      </w:r>
      <w:r w:rsidR="00411BBA" w:rsidRPr="004C0F11">
        <w:rPr>
          <w:rFonts w:ascii="Times New Roman" w:hAnsi="Times New Roman" w:cs="Times New Roman"/>
        </w:rPr>
        <w:t xml:space="preserve"> </w:t>
      </w:r>
      <w:proofErr w:type="spellStart"/>
      <w:r w:rsidR="00411BBA" w:rsidRPr="004C0F11">
        <w:rPr>
          <w:rFonts w:ascii="Times New Roman" w:hAnsi="Times New Roman" w:cs="Times New Roman"/>
          <w:i/>
        </w:rPr>
        <w:t>Coosaw</w:t>
      </w:r>
      <w:proofErr w:type="spellEnd"/>
      <w:r w:rsidR="00411BBA" w:rsidRPr="004C0F11">
        <w:rPr>
          <w:rFonts w:ascii="Times New Roman" w:hAnsi="Times New Roman" w:cs="Times New Roman"/>
          <w:i/>
        </w:rPr>
        <w:t xml:space="preserve"> Mining Co. v. South Carolina</w:t>
      </w:r>
      <w:r w:rsidR="00411BBA" w:rsidRPr="004C0F11">
        <w:rPr>
          <w:rFonts w:ascii="Times New Roman" w:hAnsi="Times New Roman" w:cs="Times New Roman"/>
        </w:rPr>
        <w:t xml:space="preserve">, 144 U.S. 550, 567 (1892).  The Court upheld an anticipatory nuisance injunction prohibiting the mining of phosphate from the </w:t>
      </w:r>
      <w:proofErr w:type="spellStart"/>
      <w:r w:rsidR="00411BBA" w:rsidRPr="004C0F11">
        <w:rPr>
          <w:rFonts w:ascii="Times New Roman" w:hAnsi="Times New Roman" w:cs="Times New Roman"/>
        </w:rPr>
        <w:t>Coosaw</w:t>
      </w:r>
      <w:proofErr w:type="spellEnd"/>
      <w:r w:rsidR="00411BBA" w:rsidRPr="004C0F11">
        <w:rPr>
          <w:rFonts w:ascii="Times New Roman" w:hAnsi="Times New Roman" w:cs="Times New Roman"/>
        </w:rPr>
        <w:t xml:space="preserve"> </w:t>
      </w:r>
      <w:proofErr w:type="gramStart"/>
      <w:r w:rsidR="00411BBA" w:rsidRPr="004C0F11">
        <w:rPr>
          <w:rFonts w:ascii="Times New Roman" w:hAnsi="Times New Roman" w:cs="Times New Roman"/>
        </w:rPr>
        <w:t>river</w:t>
      </w:r>
      <w:proofErr w:type="gramEnd"/>
      <w:r w:rsidR="00411BBA" w:rsidRPr="004C0F11">
        <w:rPr>
          <w:rFonts w:ascii="Times New Roman" w:hAnsi="Times New Roman" w:cs="Times New Roman"/>
        </w:rPr>
        <w:t xml:space="preserve">. </w:t>
      </w:r>
      <w:r w:rsidR="00411BBA" w:rsidRPr="004C0F11">
        <w:rPr>
          <w:rFonts w:ascii="Times New Roman" w:eastAsia="Times New Roman" w:hAnsi="Times New Roman" w:cs="Times New Roman"/>
        </w:rPr>
        <w:t xml:space="preserve">If a grower group were to make a claim under federal common law nuisance, seeking to contain an unapproved variety in several states where it may be planted, the federal courts are the logical forum for getting the injunction needed under the anticipatory nuisance doctrine. </w:t>
      </w:r>
    </w:p>
    <w:p w14:paraId="28D891F3" w14:textId="77777777" w:rsidR="00411BBA" w:rsidRPr="004C0F11" w:rsidRDefault="00411BBA" w:rsidP="00411BBA">
      <w:pPr>
        <w:spacing w:line="276" w:lineRule="auto"/>
        <w:ind w:firstLine="360"/>
        <w:rPr>
          <w:rFonts w:ascii="Times New Roman" w:eastAsia="Times New Roman" w:hAnsi="Times New Roman" w:cs="Times New Roman"/>
        </w:rPr>
      </w:pPr>
    </w:p>
    <w:p w14:paraId="1763E2BC" w14:textId="2A0A777B" w:rsidR="00411BBA" w:rsidRPr="004C0F11" w:rsidRDefault="00411BBA" w:rsidP="00411BBA">
      <w:pPr>
        <w:spacing w:line="276" w:lineRule="auto"/>
        <w:ind w:firstLine="360"/>
        <w:rPr>
          <w:rFonts w:ascii="Times New Roman" w:hAnsi="Times New Roman" w:cs="Times New Roman"/>
        </w:rPr>
      </w:pPr>
      <w:r w:rsidRPr="004C0F11">
        <w:rPr>
          <w:rFonts w:ascii="Times New Roman" w:eastAsia="Times New Roman" w:hAnsi="Times New Roman" w:cs="Times New Roman"/>
        </w:rPr>
        <w:t>Particular federal jurisdiction</w:t>
      </w:r>
      <w:r w:rsidR="005F178E">
        <w:rPr>
          <w:rFonts w:ascii="Times New Roman" w:eastAsia="Times New Roman" w:hAnsi="Times New Roman" w:cs="Times New Roman"/>
        </w:rPr>
        <w:t>s</w:t>
      </w:r>
      <w:r w:rsidRPr="004C0F11">
        <w:rPr>
          <w:rFonts w:ascii="Times New Roman" w:eastAsia="Times New Roman" w:hAnsi="Times New Roman" w:cs="Times New Roman"/>
        </w:rPr>
        <w:t xml:space="preserve"> may not have granted such injunctions for over 100 years, however.  For example, the last time a federal court in Missouri had an anticipatory nuisance claim, Missouri sued Illinois and lost. In </w:t>
      </w:r>
      <w:r w:rsidRPr="004C0F11">
        <w:rPr>
          <w:rFonts w:ascii="Times New Roman" w:hAnsi="Times New Roman" w:cs="Times New Roman"/>
          <w:i/>
        </w:rPr>
        <w:t>Missouri v. Illinois</w:t>
      </w:r>
      <w:r w:rsidRPr="004C0F11">
        <w:rPr>
          <w:rFonts w:ascii="Times New Roman" w:hAnsi="Times New Roman" w:cs="Times New Roman"/>
        </w:rPr>
        <w:t>, 180 U.S. 208 (1901), the U.S. Supreme Court reversed a motion to dismiss granted against Missouri’s claim for anticipatory nuisance, noting "that it is settled that an injunction to restrain a nuisance will issue only in cases where the fact of nuisance is made out upon determinate and satisfactory evidence."  Since then, only a few federal courts have granted anticipatory nuisance injunctions.</w:t>
      </w:r>
    </w:p>
    <w:p w14:paraId="6DFDF666" w14:textId="77777777" w:rsidR="00411BBA" w:rsidRPr="004C0F11" w:rsidRDefault="00411BBA" w:rsidP="00411BBA">
      <w:pPr>
        <w:spacing w:line="276" w:lineRule="auto"/>
        <w:ind w:firstLine="360"/>
        <w:rPr>
          <w:rFonts w:ascii="Times New Roman" w:hAnsi="Times New Roman" w:cs="Times New Roman"/>
        </w:rPr>
      </w:pPr>
    </w:p>
    <w:p w14:paraId="42E2986C" w14:textId="6AE83938" w:rsidR="00411BBA" w:rsidRPr="004C0F11" w:rsidRDefault="00411BBA" w:rsidP="00411BBA">
      <w:pPr>
        <w:spacing w:line="276" w:lineRule="auto"/>
        <w:ind w:firstLine="360"/>
        <w:rPr>
          <w:rFonts w:ascii="Times New Roman" w:hAnsi="Times New Roman" w:cs="Times New Roman"/>
        </w:rPr>
      </w:pPr>
      <w:r w:rsidRPr="004C0F11">
        <w:rPr>
          <w:rFonts w:ascii="Times New Roman" w:hAnsi="Times New Roman" w:cs="Times New Roman"/>
        </w:rPr>
        <w:t>The Eighth Circuit Court of Appeals</w:t>
      </w:r>
      <w:r w:rsidR="005F178E">
        <w:rPr>
          <w:rFonts w:ascii="Times New Roman" w:hAnsi="Times New Roman" w:cs="Times New Roman"/>
        </w:rPr>
        <w:t xml:space="preserve"> </w:t>
      </w:r>
      <w:r w:rsidRPr="004C0F11">
        <w:rPr>
          <w:rFonts w:ascii="Times New Roman" w:hAnsi="Times New Roman" w:cs="Times New Roman"/>
        </w:rPr>
        <w:t xml:space="preserve">has more recently recognized a claim for anticipatory nuisance in a CAFO case.  In </w:t>
      </w:r>
      <w:r w:rsidRPr="004C0F11">
        <w:rPr>
          <w:rFonts w:ascii="Times New Roman" w:hAnsi="Times New Roman" w:cs="Times New Roman"/>
          <w:i/>
        </w:rPr>
        <w:t>Rutter v. Carroll's Foods of Midwest, Inc.,</w:t>
      </w:r>
      <w:r w:rsidRPr="004C0F11">
        <w:rPr>
          <w:rFonts w:ascii="Times New Roman" w:hAnsi="Times New Roman" w:cs="Times New Roman"/>
        </w:rPr>
        <w:t xml:space="preserve"> 50 F.Supp.2d 876 (1999), residents brought action for anticipatory nuisance and anticipatory trespass to allow an injunction prohibiting construction of a swine containment facility.  The court held that they stated valid claims for</w:t>
      </w:r>
      <w:r w:rsidRPr="004C0F11">
        <w:rPr>
          <w:rStyle w:val="apple-converted-space"/>
          <w:rFonts w:ascii="Times New Roman" w:hAnsi="Times New Roman" w:cs="Times New Roman"/>
        </w:rPr>
        <w:t> </w:t>
      </w:r>
      <w:r w:rsidRPr="004C0F11">
        <w:rPr>
          <w:rStyle w:val="copinpointicon"/>
          <w:rFonts w:ascii="Times New Roman" w:hAnsi="Times New Roman" w:cs="Times New Roman"/>
        </w:rPr>
        <w:t>anticipatory</w:t>
      </w:r>
      <w:r w:rsidRPr="004C0F11">
        <w:rPr>
          <w:rStyle w:val="apple-converted-space"/>
          <w:rFonts w:ascii="Times New Roman" w:hAnsi="Times New Roman" w:cs="Times New Roman"/>
        </w:rPr>
        <w:t> </w:t>
      </w:r>
      <w:r w:rsidRPr="004C0F11">
        <w:rPr>
          <w:rStyle w:val="cosearchterm"/>
          <w:rFonts w:ascii="Times New Roman" w:hAnsi="Times New Roman" w:cs="Times New Roman"/>
          <w:bCs/>
        </w:rPr>
        <w:t>nuisance</w:t>
      </w:r>
      <w:r w:rsidRPr="004C0F11">
        <w:rPr>
          <w:rStyle w:val="apple-converted-space"/>
          <w:rFonts w:ascii="Times New Roman" w:hAnsi="Times New Roman" w:cs="Times New Roman"/>
        </w:rPr>
        <w:t> </w:t>
      </w:r>
      <w:r w:rsidRPr="004C0F11">
        <w:rPr>
          <w:rFonts w:ascii="Times New Roman" w:hAnsi="Times New Roman" w:cs="Times New Roman"/>
        </w:rPr>
        <w:t>and</w:t>
      </w:r>
      <w:r w:rsidRPr="004C0F11">
        <w:rPr>
          <w:rStyle w:val="apple-converted-space"/>
          <w:rFonts w:ascii="Times New Roman" w:hAnsi="Times New Roman" w:cs="Times New Roman"/>
        </w:rPr>
        <w:t> </w:t>
      </w:r>
      <w:r w:rsidRPr="004C0F11">
        <w:rPr>
          <w:rStyle w:val="cosearchterm"/>
          <w:rFonts w:ascii="Times New Roman" w:hAnsi="Times New Roman" w:cs="Times New Roman"/>
          <w:bCs/>
        </w:rPr>
        <w:t>anticipatory</w:t>
      </w:r>
      <w:r w:rsidRPr="004C0F11">
        <w:rPr>
          <w:rStyle w:val="apple-converted-space"/>
          <w:rFonts w:ascii="Times New Roman" w:hAnsi="Times New Roman" w:cs="Times New Roman"/>
        </w:rPr>
        <w:t> </w:t>
      </w:r>
      <w:r w:rsidRPr="004C0F11">
        <w:rPr>
          <w:rFonts w:ascii="Times New Roman" w:hAnsi="Times New Roman" w:cs="Times New Roman"/>
        </w:rPr>
        <w:t>trespass to enjoin construction of swine containment facility.</w:t>
      </w:r>
      <w:r w:rsidRPr="004C0F11">
        <w:rPr>
          <w:rStyle w:val="apple-converted-space"/>
          <w:rFonts w:ascii="Times New Roman" w:hAnsi="Times New Roman" w:cs="Times New Roman"/>
        </w:rPr>
        <w:t>  Iowa law, which was applied in this case, also requires mediation of farming-related claims before filing in court.</w:t>
      </w:r>
    </w:p>
    <w:p w14:paraId="09FE3A55" w14:textId="77777777" w:rsidR="00411BBA" w:rsidRPr="004C0F11" w:rsidRDefault="00411BBA" w:rsidP="00411BBA">
      <w:pPr>
        <w:spacing w:line="276" w:lineRule="auto"/>
        <w:ind w:firstLine="360"/>
        <w:rPr>
          <w:rFonts w:ascii="Times New Roman" w:hAnsi="Times New Roman" w:cs="Times New Roman"/>
        </w:rPr>
      </w:pPr>
    </w:p>
    <w:p w14:paraId="79109336" w14:textId="42437A78" w:rsidR="00411BBA" w:rsidRPr="004C0F11" w:rsidRDefault="00411BBA" w:rsidP="00411BBA">
      <w:pPr>
        <w:spacing w:line="276" w:lineRule="auto"/>
        <w:ind w:firstLine="360"/>
        <w:rPr>
          <w:rFonts w:ascii="Times New Roman" w:hAnsi="Times New Roman" w:cs="Times New Roman"/>
        </w:rPr>
      </w:pPr>
      <w:r w:rsidRPr="004C0F11">
        <w:rPr>
          <w:rFonts w:ascii="Times New Roman" w:hAnsi="Times New Roman" w:cs="Times New Roman"/>
        </w:rPr>
        <w:t xml:space="preserve">  Various other federal circuit courts have addressed this issue over the past fifty years: </w:t>
      </w:r>
    </w:p>
    <w:p w14:paraId="0BEC71A3" w14:textId="77777777" w:rsidR="00411BBA" w:rsidRPr="004C0F11" w:rsidRDefault="00411BBA" w:rsidP="00411BBA">
      <w:pPr>
        <w:spacing w:line="276" w:lineRule="auto"/>
        <w:ind w:firstLine="360"/>
        <w:rPr>
          <w:rFonts w:ascii="Times New Roman" w:hAnsi="Times New Roman" w:cs="Times New Roman"/>
        </w:rPr>
      </w:pPr>
    </w:p>
    <w:p w14:paraId="08D026CD" w14:textId="66DAA6E3" w:rsidR="00411BBA" w:rsidRPr="004C0F11" w:rsidRDefault="00411BBA" w:rsidP="00411BBA">
      <w:pPr>
        <w:pStyle w:val="ListParagraph"/>
        <w:widowControl/>
        <w:numPr>
          <w:ilvl w:val="0"/>
          <w:numId w:val="8"/>
        </w:numPr>
        <w:autoSpaceDE/>
        <w:autoSpaceDN/>
        <w:adjustRightInd/>
        <w:spacing w:line="276" w:lineRule="auto"/>
        <w:rPr>
          <w:rFonts w:ascii="Times New Roman" w:hAnsi="Times New Roman" w:cs="Times New Roman"/>
        </w:rPr>
      </w:pPr>
      <w:r w:rsidRPr="004C0F11">
        <w:rPr>
          <w:rFonts w:ascii="Times New Roman" w:hAnsi="Times New Roman" w:cs="Times New Roman"/>
        </w:rPr>
        <w:t xml:space="preserve">Cal. Tahoe </w:t>
      </w:r>
      <w:proofErr w:type="spellStart"/>
      <w:r w:rsidRPr="004C0F11">
        <w:rPr>
          <w:rFonts w:ascii="Times New Roman" w:hAnsi="Times New Roman" w:cs="Times New Roman"/>
        </w:rPr>
        <w:t>Reg'l</w:t>
      </w:r>
      <w:proofErr w:type="spellEnd"/>
      <w:r w:rsidRPr="004C0F11">
        <w:rPr>
          <w:rFonts w:ascii="Times New Roman" w:hAnsi="Times New Roman" w:cs="Times New Roman"/>
        </w:rPr>
        <w:t xml:space="preserve"> Planning Agency v. Jennings, 594 F.2d 181 (9th Cir. 1979),</w:t>
      </w:r>
    </w:p>
    <w:p w14:paraId="6D41348B" w14:textId="77777777" w:rsidR="00411BBA" w:rsidRPr="004C0F11" w:rsidRDefault="00411BBA" w:rsidP="00411BBA">
      <w:pPr>
        <w:pStyle w:val="ListParagraph"/>
        <w:widowControl/>
        <w:autoSpaceDE/>
        <w:autoSpaceDN/>
        <w:adjustRightInd/>
        <w:spacing w:line="276" w:lineRule="auto"/>
        <w:rPr>
          <w:rFonts w:ascii="Times New Roman" w:hAnsi="Times New Roman" w:cs="Times New Roman"/>
        </w:rPr>
      </w:pPr>
    </w:p>
    <w:p w14:paraId="32296C17" w14:textId="77777777" w:rsidR="00411BBA" w:rsidRPr="004C0F11" w:rsidRDefault="00411BBA" w:rsidP="00411BBA">
      <w:pPr>
        <w:pStyle w:val="ListParagraph"/>
        <w:widowControl/>
        <w:numPr>
          <w:ilvl w:val="0"/>
          <w:numId w:val="7"/>
        </w:numPr>
        <w:autoSpaceDE/>
        <w:autoSpaceDN/>
        <w:adjustRightInd/>
        <w:spacing w:after="160" w:line="276" w:lineRule="auto"/>
        <w:rPr>
          <w:rFonts w:ascii="Times New Roman" w:hAnsi="Times New Roman" w:cs="Times New Roman"/>
        </w:rPr>
      </w:pPr>
      <w:r w:rsidRPr="004C0F11">
        <w:rPr>
          <w:rFonts w:ascii="Times New Roman" w:hAnsi="Times New Roman" w:cs="Times New Roman"/>
        </w:rPr>
        <w:lastRenderedPageBreak/>
        <w:t xml:space="preserve">Texas v. </w:t>
      </w:r>
      <w:proofErr w:type="spellStart"/>
      <w:r w:rsidRPr="004C0F11">
        <w:rPr>
          <w:rFonts w:ascii="Times New Roman" w:hAnsi="Times New Roman" w:cs="Times New Roman"/>
        </w:rPr>
        <w:t>Pankey</w:t>
      </w:r>
      <w:proofErr w:type="spellEnd"/>
      <w:r w:rsidRPr="004C0F11">
        <w:rPr>
          <w:rFonts w:ascii="Times New Roman" w:hAnsi="Times New Roman" w:cs="Times New Roman"/>
        </w:rPr>
        <w:t xml:space="preserve">, 441 F.2d 236, 237 (10th Cir. 1971) (enjoining the anticipated nuisance of spraying </w:t>
      </w:r>
      <w:proofErr w:type="spellStart"/>
      <w:r w:rsidRPr="004C0F11">
        <w:rPr>
          <w:rFonts w:ascii="Times New Roman" w:hAnsi="Times New Roman" w:cs="Times New Roman"/>
        </w:rPr>
        <w:t>toxaphene</w:t>
      </w:r>
      <w:proofErr w:type="spellEnd"/>
      <w:r w:rsidRPr="004C0F11">
        <w:rPr>
          <w:rFonts w:ascii="Times New Roman" w:hAnsi="Times New Roman" w:cs="Times New Roman"/>
        </w:rPr>
        <w:t>, a pesticide, without actually discussing the doctrine); and</w:t>
      </w:r>
    </w:p>
    <w:p w14:paraId="346D3CDF" w14:textId="7989AFC7" w:rsidR="00411BBA" w:rsidRPr="004C0F11" w:rsidRDefault="00411BBA" w:rsidP="00411BBA">
      <w:pPr>
        <w:pStyle w:val="ListParagraph"/>
        <w:widowControl/>
        <w:autoSpaceDE/>
        <w:autoSpaceDN/>
        <w:adjustRightInd/>
        <w:spacing w:after="160" w:line="276" w:lineRule="auto"/>
        <w:rPr>
          <w:rFonts w:ascii="Times New Roman" w:hAnsi="Times New Roman" w:cs="Times New Roman"/>
        </w:rPr>
      </w:pPr>
      <w:r w:rsidRPr="004C0F11">
        <w:rPr>
          <w:rFonts w:ascii="Times New Roman" w:hAnsi="Times New Roman" w:cs="Times New Roman"/>
        </w:rPr>
        <w:t xml:space="preserve"> </w:t>
      </w:r>
    </w:p>
    <w:p w14:paraId="5DC50BE7" w14:textId="77777777" w:rsidR="00411BBA" w:rsidRPr="004C0F11" w:rsidRDefault="00411BBA" w:rsidP="00411BBA">
      <w:pPr>
        <w:pStyle w:val="ListParagraph"/>
        <w:widowControl/>
        <w:numPr>
          <w:ilvl w:val="0"/>
          <w:numId w:val="7"/>
        </w:numPr>
        <w:autoSpaceDE/>
        <w:autoSpaceDN/>
        <w:adjustRightInd/>
        <w:spacing w:after="160" w:line="276" w:lineRule="auto"/>
        <w:rPr>
          <w:rFonts w:ascii="Times New Roman" w:hAnsi="Times New Roman" w:cs="Times New Roman"/>
        </w:rPr>
      </w:pPr>
      <w:r w:rsidRPr="004C0F11">
        <w:rPr>
          <w:rFonts w:ascii="Times New Roman" w:hAnsi="Times New Roman" w:cs="Times New Roman"/>
        </w:rPr>
        <w:t xml:space="preserve">Cal. Tahoe </w:t>
      </w:r>
      <w:proofErr w:type="spellStart"/>
      <w:r w:rsidRPr="004C0F11">
        <w:rPr>
          <w:rFonts w:ascii="Times New Roman" w:hAnsi="Times New Roman" w:cs="Times New Roman"/>
        </w:rPr>
        <w:t>Reg</w:t>
      </w:r>
      <w:proofErr w:type="spellEnd"/>
      <w:r w:rsidRPr="004C0F11">
        <w:rPr>
          <w:rFonts w:ascii="Times New Roman" w:hAnsi="Times New Roman" w:cs="Times New Roman"/>
        </w:rPr>
        <w:t xml:space="preserve">' Planning Agency v. Jennings, 594 F.2d 181, 193 (9th Cir. 1979) (adopting the determinate and satisfactory standard). </w:t>
      </w:r>
    </w:p>
    <w:p w14:paraId="6B669566" w14:textId="2898905F" w:rsidR="00411BBA" w:rsidRPr="004C0F11" w:rsidRDefault="00411BBA" w:rsidP="00411BBA">
      <w:pPr>
        <w:spacing w:line="276" w:lineRule="auto"/>
        <w:ind w:firstLine="360"/>
        <w:rPr>
          <w:rFonts w:ascii="Times New Roman" w:hAnsi="Times New Roman" w:cs="Times New Roman"/>
        </w:rPr>
      </w:pPr>
      <w:r w:rsidRPr="004C0F11">
        <w:rPr>
          <w:rFonts w:ascii="Times New Roman" w:hAnsi="Times New Roman" w:cs="Times New Roman"/>
        </w:rPr>
        <w:t xml:space="preserve">This line of cases shows that some courts may find the facts inadequate for establishing purely economic forms of harm. For example, in </w:t>
      </w:r>
      <w:r w:rsidRPr="004C0F11">
        <w:rPr>
          <w:rFonts w:ascii="Times New Roman" w:hAnsi="Times New Roman" w:cs="Times New Roman"/>
          <w:i/>
        </w:rPr>
        <w:t xml:space="preserve">Cal. Tahoe </w:t>
      </w:r>
      <w:proofErr w:type="spellStart"/>
      <w:r w:rsidRPr="004C0F11">
        <w:rPr>
          <w:rFonts w:ascii="Times New Roman" w:hAnsi="Times New Roman" w:cs="Times New Roman"/>
          <w:i/>
        </w:rPr>
        <w:t>Reg</w:t>
      </w:r>
      <w:proofErr w:type="spellEnd"/>
      <w:r w:rsidRPr="004C0F11">
        <w:rPr>
          <w:rFonts w:ascii="Times New Roman" w:hAnsi="Times New Roman" w:cs="Times New Roman"/>
          <w:i/>
        </w:rPr>
        <w:t xml:space="preserve"> ' Planning Agency v. Jennings,</w:t>
      </w:r>
      <w:r w:rsidRPr="004C0F11">
        <w:rPr>
          <w:rFonts w:ascii="Times New Roman" w:hAnsi="Times New Roman" w:cs="Times New Roman"/>
        </w:rPr>
        <w:t xml:space="preserve"> California sought to enjoin the construction of four hotel-casinos claiming that the added vehicle and human traffic would create a nuisance and "harm the environment” of the region. Distinguishing its facts from those in </w:t>
      </w:r>
      <w:r w:rsidRPr="004C0F11">
        <w:rPr>
          <w:rFonts w:ascii="Times New Roman" w:hAnsi="Times New Roman" w:cs="Times New Roman"/>
          <w:i/>
        </w:rPr>
        <w:t>Missouri v. Illinois</w:t>
      </w:r>
      <w:r w:rsidRPr="004C0F11">
        <w:rPr>
          <w:rFonts w:ascii="Times New Roman" w:hAnsi="Times New Roman" w:cs="Times New Roman"/>
        </w:rPr>
        <w:t xml:space="preserve"> and </w:t>
      </w:r>
      <w:proofErr w:type="spellStart"/>
      <w:r w:rsidRPr="004C0F11">
        <w:rPr>
          <w:rFonts w:ascii="Times New Roman" w:hAnsi="Times New Roman" w:cs="Times New Roman"/>
          <w:i/>
        </w:rPr>
        <w:t>Pankey</w:t>
      </w:r>
      <w:proofErr w:type="spellEnd"/>
      <w:r w:rsidRPr="004C0F11">
        <w:rPr>
          <w:rFonts w:ascii="Times New Roman" w:hAnsi="Times New Roman" w:cs="Times New Roman"/>
        </w:rPr>
        <w:t>, the Ninth Circuit disregarded California's claim that the high-rise hotels would harm the environment.  It refused to equate the economic impacts from building high-rise hotels with the environmental impact that come with spills of untreated sewage, noxious gases, and poisonous pesticides.  Such environmental impacts were present in other cases.  Applying the "determinate and satisfactory evidence" test, the court found that California had failed to establish that the danger of nuisance was "real and immediate," while generally affirming the viability of federal anticipatory nuisance doctrine.</w:t>
      </w:r>
    </w:p>
    <w:p w14:paraId="653C46D6" w14:textId="77777777" w:rsidR="00411BBA" w:rsidRPr="004C0F11" w:rsidRDefault="00411BBA" w:rsidP="00411BBA">
      <w:pPr>
        <w:spacing w:line="276" w:lineRule="auto"/>
        <w:ind w:firstLine="360"/>
        <w:rPr>
          <w:rFonts w:ascii="Times New Roman" w:hAnsi="Times New Roman" w:cs="Times New Roman"/>
        </w:rPr>
      </w:pPr>
    </w:p>
    <w:p w14:paraId="6232328C" w14:textId="0DEEC2F2" w:rsidR="00411BBA" w:rsidRDefault="00411BBA" w:rsidP="005F178E">
      <w:pPr>
        <w:spacing w:line="276" w:lineRule="auto"/>
        <w:ind w:firstLine="360"/>
        <w:rPr>
          <w:rFonts w:ascii="Times New Roman" w:hAnsi="Times New Roman" w:cs="Times New Roman"/>
        </w:rPr>
      </w:pPr>
      <w:r w:rsidRPr="004C0F11">
        <w:rPr>
          <w:rFonts w:ascii="Times New Roman" w:hAnsi="Times New Roman" w:cs="Times New Roman"/>
        </w:rPr>
        <w:t>Since only a few anticipatory nuisance cases have reached federal courts, “it is difficult to draw sweeping conclusions from federal courts' treatment of anticipatory nuisance.”</w:t>
      </w:r>
      <w:r w:rsidRPr="004C0F11">
        <w:rPr>
          <w:rStyle w:val="FootnoteReference"/>
          <w:rFonts w:ascii="Times New Roman" w:hAnsi="Times New Roman" w:cs="Times New Roman"/>
        </w:rPr>
        <w:footnoteReference w:id="64"/>
      </w:r>
      <w:r w:rsidRPr="004C0F11">
        <w:rPr>
          <w:rFonts w:ascii="Times New Roman" w:hAnsi="Times New Roman" w:cs="Times New Roman"/>
        </w:rPr>
        <w:t xml:space="preserve">  As a result, even a federal claim for anticipatory nuisance should be analyzed against applicable law before filing.</w:t>
      </w:r>
      <w:r w:rsidR="005F178E">
        <w:rPr>
          <w:rFonts w:ascii="Times New Roman" w:hAnsi="Times New Roman" w:cs="Times New Roman"/>
        </w:rPr>
        <w:t xml:space="preserve">  </w:t>
      </w:r>
      <w:r w:rsidRPr="004C0F11">
        <w:rPr>
          <w:rFonts w:ascii="Times New Roman" w:hAnsi="Times New Roman" w:cs="Times New Roman"/>
        </w:rPr>
        <w:t xml:space="preserve">Given the relatively recent </w:t>
      </w:r>
      <w:r w:rsidRPr="004C0F11">
        <w:rPr>
          <w:rFonts w:ascii="Times New Roman" w:hAnsi="Times New Roman" w:cs="Times New Roman"/>
          <w:i/>
        </w:rPr>
        <w:t>Rutter</w:t>
      </w:r>
      <w:r w:rsidRPr="004C0F11">
        <w:rPr>
          <w:rFonts w:ascii="Times New Roman" w:hAnsi="Times New Roman" w:cs="Times New Roman"/>
        </w:rPr>
        <w:t xml:space="preserve"> case and the </w:t>
      </w:r>
      <w:r w:rsidRPr="004C0F11">
        <w:rPr>
          <w:rFonts w:ascii="Times New Roman" w:hAnsi="Times New Roman" w:cs="Times New Roman"/>
          <w:i/>
        </w:rPr>
        <w:t>In re LL Rice Contamination</w:t>
      </w:r>
      <w:r w:rsidRPr="004C0F11">
        <w:rPr>
          <w:rFonts w:ascii="Times New Roman" w:hAnsi="Times New Roman" w:cs="Times New Roman"/>
        </w:rPr>
        <w:t xml:space="preserve"> cases, however, a credible claim for antic</w:t>
      </w:r>
      <w:r w:rsidR="005F178E">
        <w:rPr>
          <w:rFonts w:ascii="Times New Roman" w:hAnsi="Times New Roman" w:cs="Times New Roman"/>
        </w:rPr>
        <w:t>ipatory nuisance could be filed.</w:t>
      </w:r>
    </w:p>
    <w:p w14:paraId="28A20E03" w14:textId="77777777" w:rsidR="004C0F11" w:rsidRDefault="004C0F11" w:rsidP="00411BBA">
      <w:pPr>
        <w:spacing w:line="276" w:lineRule="auto"/>
        <w:ind w:firstLine="360"/>
        <w:rPr>
          <w:rFonts w:ascii="Times New Roman" w:hAnsi="Times New Roman" w:cs="Times New Roman"/>
        </w:rPr>
      </w:pPr>
    </w:p>
    <w:p w14:paraId="1C16CA46" w14:textId="4FE2ADE7" w:rsidR="004C0F11" w:rsidRPr="00150C15" w:rsidRDefault="004C0F11" w:rsidP="004C0F11">
      <w:pPr>
        <w:pStyle w:val="ListParagraph"/>
        <w:widowControl/>
        <w:numPr>
          <w:ilvl w:val="0"/>
          <w:numId w:val="4"/>
        </w:numPr>
        <w:autoSpaceDE/>
        <w:autoSpaceDN/>
        <w:adjustRightInd/>
        <w:spacing w:line="276" w:lineRule="auto"/>
        <w:rPr>
          <w:rFonts w:ascii="Times New Roman" w:eastAsia="Times New Roman" w:hAnsi="Times New Roman" w:cs="Times New Roman"/>
          <w:b/>
        </w:rPr>
      </w:pPr>
      <w:r>
        <w:rPr>
          <w:rFonts w:ascii="Times New Roman" w:eastAsia="Times New Roman" w:hAnsi="Times New Roman" w:cs="Times New Roman"/>
          <w:b/>
        </w:rPr>
        <w:t>Setting Up Mediation to Establish Stewardship for Exports</w:t>
      </w:r>
    </w:p>
    <w:p w14:paraId="315A9B26" w14:textId="77777777" w:rsidR="004C0F11" w:rsidRPr="00150C15" w:rsidRDefault="004C0F11" w:rsidP="004C0F11">
      <w:pPr>
        <w:pStyle w:val="ListParagraph"/>
        <w:spacing w:line="276" w:lineRule="auto"/>
        <w:rPr>
          <w:rFonts w:ascii="Times New Roman" w:eastAsia="Times New Roman" w:hAnsi="Times New Roman" w:cs="Times New Roman"/>
          <w:b/>
        </w:rPr>
      </w:pPr>
    </w:p>
    <w:p w14:paraId="7F3362C2" w14:textId="54FF9C44" w:rsidR="004C0F11" w:rsidRDefault="005A02C2" w:rsidP="00FE2605">
      <w:pPr>
        <w:spacing w:line="276" w:lineRule="auto"/>
        <w:ind w:firstLine="360"/>
        <w:rPr>
          <w:rFonts w:ascii="Times New Roman" w:eastAsia="Times New Roman" w:hAnsi="Times New Roman" w:cs="Times New Roman"/>
        </w:rPr>
      </w:pPr>
      <w:r>
        <w:rPr>
          <w:rFonts w:ascii="Times New Roman" w:eastAsia="Times New Roman" w:hAnsi="Times New Roman" w:cs="Times New Roman"/>
        </w:rPr>
        <w:t>Given the research outlined above, a f</w:t>
      </w:r>
      <w:r w:rsidR="00FE2605">
        <w:rPr>
          <w:rStyle w:val="HTMLTypewriter"/>
          <w:rFonts w:ascii="Times New Roman" w:eastAsiaTheme="minorHAnsi" w:hAnsi="Times New Roman" w:cs="Times New Roman"/>
          <w:sz w:val="24"/>
          <w:szCs w:val="24"/>
        </w:rPr>
        <w:t>ederal court</w:t>
      </w:r>
      <w:r w:rsidRPr="004C0F11">
        <w:rPr>
          <w:rStyle w:val="HTMLTypewriter"/>
          <w:rFonts w:ascii="Times New Roman" w:eastAsiaTheme="minorHAnsi" w:hAnsi="Times New Roman" w:cs="Times New Roman"/>
          <w:sz w:val="24"/>
          <w:szCs w:val="24"/>
        </w:rPr>
        <w:t xml:space="preserve"> would </w:t>
      </w:r>
      <w:r>
        <w:rPr>
          <w:rStyle w:val="HTMLTypewriter"/>
          <w:rFonts w:ascii="Times New Roman" w:eastAsiaTheme="minorHAnsi" w:hAnsi="Times New Roman" w:cs="Times New Roman"/>
          <w:sz w:val="24"/>
          <w:szCs w:val="24"/>
        </w:rPr>
        <w:t xml:space="preserve">probably </w:t>
      </w:r>
      <w:r w:rsidRPr="004C0F11">
        <w:rPr>
          <w:rStyle w:val="HTMLTypewriter"/>
          <w:rFonts w:ascii="Times New Roman" w:eastAsiaTheme="minorHAnsi" w:hAnsi="Times New Roman" w:cs="Times New Roman"/>
          <w:sz w:val="24"/>
          <w:szCs w:val="24"/>
        </w:rPr>
        <w:t xml:space="preserve">recognize and possibly support a claim for an injunction under public anticipatory nuisance law to avoid a billion-dollar trade disruption nuisance case. The </w:t>
      </w:r>
      <w:r>
        <w:rPr>
          <w:rStyle w:val="HTMLTypewriter"/>
          <w:rFonts w:ascii="Times New Roman" w:eastAsiaTheme="minorHAnsi" w:hAnsi="Times New Roman" w:cs="Times New Roman"/>
          <w:sz w:val="24"/>
          <w:szCs w:val="24"/>
        </w:rPr>
        <w:t xml:space="preserve">threat </w:t>
      </w:r>
      <w:r w:rsidRPr="004C0F11">
        <w:rPr>
          <w:rStyle w:val="HTMLTypewriter"/>
          <w:rFonts w:ascii="Times New Roman" w:eastAsiaTheme="minorHAnsi" w:hAnsi="Times New Roman" w:cs="Times New Roman"/>
          <w:sz w:val="24"/>
          <w:szCs w:val="24"/>
        </w:rPr>
        <w:t xml:space="preserve">of an impending billion-dollar disruption of trade should be sufficient to state a claim.  </w:t>
      </w:r>
      <w:r>
        <w:rPr>
          <w:rFonts w:ascii="Times New Roman" w:eastAsia="Times New Roman" w:hAnsi="Times New Roman" w:cs="Times New Roman"/>
        </w:rPr>
        <w:t xml:space="preserve">If a seed company ignores major market approval at planting time, a few months remain before harvest in the Southern U.S. As a result, plaintiff in such a case </w:t>
      </w:r>
      <w:r w:rsidR="004C0F11">
        <w:rPr>
          <w:rFonts w:ascii="Times New Roman" w:eastAsia="Times New Roman" w:hAnsi="Times New Roman" w:cs="Times New Roman"/>
        </w:rPr>
        <w:t xml:space="preserve">may </w:t>
      </w:r>
      <w:r>
        <w:rPr>
          <w:rFonts w:ascii="Times New Roman" w:eastAsia="Times New Roman" w:hAnsi="Times New Roman" w:cs="Times New Roman"/>
        </w:rPr>
        <w:t>see significant</w:t>
      </w:r>
      <w:r w:rsidR="004C0F11">
        <w:rPr>
          <w:rFonts w:ascii="Times New Roman" w:eastAsia="Times New Roman" w:hAnsi="Times New Roman" w:cs="Times New Roman"/>
        </w:rPr>
        <w:t xml:space="preserve"> time pressure to achieve this outcome,</w:t>
      </w:r>
      <w:r>
        <w:rPr>
          <w:rFonts w:ascii="Times New Roman" w:eastAsia="Times New Roman" w:hAnsi="Times New Roman" w:cs="Times New Roman"/>
        </w:rPr>
        <w:t xml:space="preserve"> and getting necessary groups prepared in advance to file seems recommended. To sell this concept to reluctant plaintiffs (e.g., a </w:t>
      </w:r>
      <w:r w:rsidR="004C0F11">
        <w:rPr>
          <w:rFonts w:ascii="Times New Roman" w:eastAsia="Times New Roman" w:hAnsi="Times New Roman" w:cs="Times New Roman"/>
        </w:rPr>
        <w:t>grower</w:t>
      </w:r>
      <w:r>
        <w:rPr>
          <w:rFonts w:ascii="Times New Roman" w:eastAsia="Times New Roman" w:hAnsi="Times New Roman" w:cs="Times New Roman"/>
        </w:rPr>
        <w:t xml:space="preserve"> or grain</w:t>
      </w:r>
      <w:r w:rsidR="004C0F11">
        <w:rPr>
          <w:rFonts w:ascii="Times New Roman" w:eastAsia="Times New Roman" w:hAnsi="Times New Roman" w:cs="Times New Roman"/>
        </w:rPr>
        <w:t xml:space="preserve"> group</w:t>
      </w:r>
      <w:r>
        <w:rPr>
          <w:rFonts w:ascii="Times New Roman" w:eastAsia="Times New Roman" w:hAnsi="Times New Roman" w:cs="Times New Roman"/>
        </w:rPr>
        <w:t xml:space="preserve">) it helps to explain that such a case would </w:t>
      </w:r>
      <w:r w:rsidR="004C0F11">
        <w:rPr>
          <w:rFonts w:ascii="Times New Roman" w:eastAsia="Times New Roman" w:hAnsi="Times New Roman" w:cs="Times New Roman"/>
        </w:rPr>
        <w:t xml:space="preserve">seek </w:t>
      </w:r>
      <w:r>
        <w:rPr>
          <w:rFonts w:ascii="Times New Roman" w:eastAsia="Times New Roman" w:hAnsi="Times New Roman" w:cs="Times New Roman"/>
        </w:rPr>
        <w:t xml:space="preserve">confidential </w:t>
      </w:r>
      <w:r w:rsidR="004C0F11">
        <w:rPr>
          <w:rFonts w:ascii="Times New Roman" w:eastAsia="Times New Roman" w:hAnsi="Times New Roman" w:cs="Times New Roman"/>
        </w:rPr>
        <w:t>mediation through the early neutral evaluation process prevailing in federal courts.</w:t>
      </w:r>
    </w:p>
    <w:p w14:paraId="6D1AC47A" w14:textId="77777777" w:rsidR="00FE2605" w:rsidRPr="00FE2605" w:rsidRDefault="00FE2605" w:rsidP="00FE2605">
      <w:pPr>
        <w:spacing w:line="276" w:lineRule="auto"/>
        <w:ind w:firstLine="360"/>
        <w:rPr>
          <w:rFonts w:ascii="Times New Roman" w:eastAsiaTheme="minorHAnsi" w:hAnsi="Times New Roman" w:cs="Times New Roman"/>
        </w:rPr>
      </w:pPr>
    </w:p>
    <w:p w14:paraId="5FC40980" w14:textId="009CD268" w:rsidR="005A02C2" w:rsidRPr="005A02C2" w:rsidRDefault="004C0F11" w:rsidP="005A02C2">
      <w:pPr>
        <w:spacing w:after="240" w:line="276" w:lineRule="auto"/>
        <w:ind w:firstLine="720"/>
        <w:rPr>
          <w:rFonts w:ascii="Times New Roman" w:hAnsi="Times New Roman" w:cs="Times New Roman"/>
          <w:bCs/>
        </w:rPr>
      </w:pPr>
      <w:r w:rsidRPr="00150C15">
        <w:rPr>
          <w:rFonts w:ascii="Times New Roman" w:eastAsia="Times New Roman" w:hAnsi="Times New Roman" w:cs="Times New Roman"/>
        </w:rPr>
        <w:t xml:space="preserve">The legal basis for a claim for anticipatory nuisance, if it only seeks to establish </w:t>
      </w:r>
      <w:r w:rsidRPr="00150C15">
        <w:rPr>
          <w:rFonts w:ascii="Times New Roman" w:eastAsia="Times New Roman" w:hAnsi="Times New Roman" w:cs="Times New Roman"/>
        </w:rPr>
        <w:lastRenderedPageBreak/>
        <w:t>mediation, need only meet the lowest standard applic</w:t>
      </w:r>
      <w:r w:rsidR="005A02C2">
        <w:rPr>
          <w:rFonts w:ascii="Times New Roman" w:eastAsia="Times New Roman" w:hAnsi="Times New Roman" w:cs="Times New Roman"/>
        </w:rPr>
        <w:t>able to scrutiny of complaints (Rule 11).  If challenged after mediation fails, such a claim</w:t>
      </w:r>
      <w:r w:rsidRPr="00150C15">
        <w:rPr>
          <w:rFonts w:ascii="Times New Roman" w:eastAsia="Times New Roman" w:hAnsi="Times New Roman" w:cs="Times New Roman"/>
        </w:rPr>
        <w:t xml:space="preserve"> need only be able to survive a motion to dismiss under Federal Rules of Civil Procedure §12(b</w:t>
      </w:r>
      <w:proofErr w:type="gramStart"/>
      <w:r w:rsidRPr="00150C15">
        <w:rPr>
          <w:rFonts w:ascii="Times New Roman" w:eastAsia="Times New Roman" w:hAnsi="Times New Roman" w:cs="Times New Roman"/>
        </w:rPr>
        <w:t>)(</w:t>
      </w:r>
      <w:proofErr w:type="gramEnd"/>
      <w:r w:rsidRPr="00150C15">
        <w:rPr>
          <w:rFonts w:ascii="Times New Roman" w:eastAsia="Times New Roman" w:hAnsi="Times New Roman" w:cs="Times New Roman"/>
        </w:rPr>
        <w:t>6)</w:t>
      </w:r>
      <w:r w:rsidR="005A02C2">
        <w:rPr>
          <w:rFonts w:ascii="Times New Roman" w:eastAsia="Times New Roman" w:hAnsi="Times New Roman" w:cs="Times New Roman"/>
        </w:rPr>
        <w:t xml:space="preserve"> and meet the standards for preliminary injunction</w:t>
      </w:r>
      <w:r w:rsidRPr="00150C15">
        <w:rPr>
          <w:rFonts w:ascii="Times New Roman" w:eastAsia="Times New Roman" w:hAnsi="Times New Roman" w:cs="Times New Roman"/>
        </w:rPr>
        <w:t xml:space="preserve">.  For purposes of this analysis, all </w:t>
      </w:r>
      <w:r>
        <w:rPr>
          <w:rFonts w:ascii="Times New Roman" w:eastAsia="Times New Roman" w:hAnsi="Times New Roman" w:cs="Times New Roman"/>
        </w:rPr>
        <w:t>the grower group</w:t>
      </w:r>
      <w:r w:rsidRPr="00150C15">
        <w:rPr>
          <w:rFonts w:ascii="Times New Roman" w:eastAsia="Times New Roman" w:hAnsi="Times New Roman" w:cs="Times New Roman"/>
        </w:rPr>
        <w:t xml:space="preserve"> needs to</w:t>
      </w:r>
      <w:r>
        <w:rPr>
          <w:rFonts w:ascii="Times New Roman" w:eastAsia="Times New Roman" w:hAnsi="Times New Roman" w:cs="Times New Roman"/>
        </w:rPr>
        <w:t xml:space="preserve"> do is</w:t>
      </w:r>
      <w:r w:rsidRPr="00150C15">
        <w:rPr>
          <w:rFonts w:ascii="Times New Roman" w:eastAsia="Times New Roman" w:hAnsi="Times New Roman" w:cs="Times New Roman"/>
        </w:rPr>
        <w:t xml:space="preserve"> make a credible claim to mediation is a claim that can survive a motion to dismiss</w:t>
      </w:r>
      <w:r w:rsidR="005A02C2">
        <w:rPr>
          <w:rFonts w:ascii="Times New Roman" w:eastAsia="Times New Roman" w:hAnsi="Times New Roman" w:cs="Times New Roman"/>
        </w:rPr>
        <w:t xml:space="preserve"> and win the injunction motion</w:t>
      </w:r>
      <w:r w:rsidRPr="00150C15">
        <w:rPr>
          <w:rFonts w:ascii="Times New Roman" w:eastAsia="Times New Roman" w:hAnsi="Times New Roman" w:cs="Times New Roman"/>
        </w:rPr>
        <w:t>.</w:t>
      </w:r>
      <w:r w:rsidRPr="00150C15">
        <w:rPr>
          <w:rFonts w:ascii="Times New Roman" w:hAnsi="Times New Roman" w:cs="Times New Roman"/>
          <w:bCs/>
        </w:rPr>
        <w:t xml:space="preserve"> </w:t>
      </w:r>
    </w:p>
    <w:p w14:paraId="193ADC20" w14:textId="04075A6B" w:rsidR="005A02C2" w:rsidRPr="00FE2605" w:rsidRDefault="005A02C2" w:rsidP="00FE2605">
      <w:pPr>
        <w:spacing w:line="276" w:lineRule="auto"/>
        <w:ind w:firstLine="360"/>
        <w:rPr>
          <w:rStyle w:val="HTMLTypewriter"/>
          <w:rFonts w:ascii="Times New Roman" w:eastAsiaTheme="minorEastAsia" w:hAnsi="Times New Roman" w:cs="Times New Roman"/>
          <w:sz w:val="24"/>
          <w:szCs w:val="24"/>
        </w:rPr>
      </w:pPr>
      <w:r w:rsidRPr="00150C15">
        <w:rPr>
          <w:rFonts w:ascii="Times New Roman" w:eastAsia="Times New Roman" w:hAnsi="Times New Roman" w:cs="Times New Roman"/>
        </w:rPr>
        <w:t>The plaintiffs filing such a case of anticipatory nuisance need not be soybean growers</w:t>
      </w:r>
      <w:r>
        <w:rPr>
          <w:rFonts w:ascii="Times New Roman" w:eastAsia="Times New Roman" w:hAnsi="Times New Roman" w:cs="Times New Roman"/>
        </w:rPr>
        <w:t xml:space="preserve"> or grain traders concerned with the loss of key export markets</w:t>
      </w:r>
      <w:r w:rsidRPr="00150C15">
        <w:rPr>
          <w:rFonts w:ascii="Times New Roman" w:eastAsia="Times New Roman" w:hAnsi="Times New Roman" w:cs="Times New Roman"/>
        </w:rPr>
        <w:t xml:space="preserve">.  Given the magnitude of the economic harm caused by an unapproved-in-overseas-markets variety of soybean, the attorney general in a farming state could seek to apply public nuisance law via persuading a sympathetic state or federal court judge to declare the sale of an unapproved-in-E.U. biotech seed to be a public nuisance. </w:t>
      </w:r>
      <w:r w:rsidR="00FE2605">
        <w:rPr>
          <w:rFonts w:ascii="Times New Roman" w:eastAsia="Times New Roman" w:hAnsi="Times New Roman" w:cs="Times New Roman"/>
        </w:rPr>
        <w:t xml:space="preserve"> </w:t>
      </w:r>
      <w:r>
        <w:rPr>
          <w:rStyle w:val="HTMLTypewriter"/>
          <w:rFonts w:ascii="Times New Roman" w:eastAsiaTheme="minorHAnsi" w:hAnsi="Times New Roman" w:cs="Times New Roman"/>
          <w:sz w:val="24"/>
          <w:szCs w:val="24"/>
        </w:rPr>
        <w:t>It is clear that grain traders or g</w:t>
      </w:r>
      <w:r w:rsidRPr="004C0F11">
        <w:rPr>
          <w:rStyle w:val="HTMLTypewriter"/>
          <w:rFonts w:ascii="Times New Roman" w:eastAsiaTheme="minorHAnsi" w:hAnsi="Times New Roman" w:cs="Times New Roman"/>
          <w:sz w:val="24"/>
          <w:szCs w:val="24"/>
        </w:rPr>
        <w:t xml:space="preserve">rowers could convene a mediation (or arbitration, if </w:t>
      </w:r>
      <w:r>
        <w:rPr>
          <w:rStyle w:val="HTMLTypewriter"/>
          <w:rFonts w:ascii="Times New Roman" w:eastAsiaTheme="minorHAnsi" w:hAnsi="Times New Roman" w:cs="Times New Roman"/>
          <w:sz w:val="24"/>
          <w:szCs w:val="24"/>
        </w:rPr>
        <w:t>the biotech seed company</w:t>
      </w:r>
      <w:r w:rsidRPr="004C0F11">
        <w:rPr>
          <w:rStyle w:val="HTMLTypewriter"/>
          <w:rFonts w:ascii="Times New Roman" w:eastAsiaTheme="minorHAnsi" w:hAnsi="Times New Roman" w:cs="Times New Roman"/>
          <w:sz w:val="24"/>
          <w:szCs w:val="24"/>
        </w:rPr>
        <w:t xml:space="preserve"> agrees to be bound by the outcome) </w:t>
      </w:r>
      <w:r>
        <w:rPr>
          <w:rStyle w:val="HTMLTypewriter"/>
          <w:rFonts w:ascii="Times New Roman" w:eastAsiaTheme="minorHAnsi" w:hAnsi="Times New Roman" w:cs="Times New Roman"/>
          <w:sz w:val="24"/>
          <w:szCs w:val="24"/>
        </w:rPr>
        <w:t>with any biotech seed company</w:t>
      </w:r>
      <w:r w:rsidRPr="004C0F11">
        <w:rPr>
          <w:rStyle w:val="HTMLTypewriter"/>
          <w:rFonts w:ascii="Times New Roman" w:eastAsiaTheme="minorHAnsi" w:hAnsi="Times New Roman" w:cs="Times New Roman"/>
          <w:sz w:val="24"/>
          <w:szCs w:val="24"/>
        </w:rPr>
        <w:t xml:space="preserve"> </w:t>
      </w:r>
      <w:r>
        <w:rPr>
          <w:rStyle w:val="HTMLTypewriter"/>
          <w:rFonts w:ascii="Times New Roman" w:eastAsiaTheme="minorHAnsi" w:hAnsi="Times New Roman" w:cs="Times New Roman"/>
          <w:sz w:val="24"/>
          <w:szCs w:val="24"/>
        </w:rPr>
        <w:t xml:space="preserve">that they think has </w:t>
      </w:r>
      <w:r w:rsidRPr="004C0F11">
        <w:rPr>
          <w:rStyle w:val="HTMLTypewriter"/>
          <w:rFonts w:ascii="Times New Roman" w:eastAsiaTheme="minorHAnsi" w:hAnsi="Times New Roman" w:cs="Times New Roman"/>
          <w:sz w:val="24"/>
          <w:szCs w:val="24"/>
        </w:rPr>
        <w:t>failed to implement adequate stewardship to protect expor</w:t>
      </w:r>
      <w:r>
        <w:rPr>
          <w:rStyle w:val="HTMLTypewriter"/>
          <w:rFonts w:ascii="Times New Roman" w:eastAsiaTheme="minorHAnsi" w:hAnsi="Times New Roman" w:cs="Times New Roman"/>
          <w:sz w:val="24"/>
          <w:szCs w:val="24"/>
        </w:rPr>
        <w:t xml:space="preserve">t markets from commingling an unapproved variety </w:t>
      </w:r>
      <w:r w:rsidRPr="004C0F11">
        <w:rPr>
          <w:rStyle w:val="HTMLTypewriter"/>
          <w:rFonts w:ascii="Times New Roman" w:eastAsiaTheme="minorHAnsi" w:hAnsi="Times New Roman" w:cs="Times New Roman"/>
          <w:sz w:val="24"/>
          <w:szCs w:val="24"/>
        </w:rPr>
        <w:t>into the U.S. commodity soybean export stream.</w:t>
      </w:r>
    </w:p>
    <w:p w14:paraId="43551FE8" w14:textId="1DB4CAFB" w:rsidR="005A02C2" w:rsidRPr="004C0F11" w:rsidRDefault="005A02C2" w:rsidP="005A02C2">
      <w:pPr>
        <w:spacing w:line="276" w:lineRule="auto"/>
        <w:rPr>
          <w:rStyle w:val="HTMLTypewriter"/>
          <w:rFonts w:ascii="Times New Roman" w:eastAsiaTheme="minorHAnsi" w:hAnsi="Times New Roman" w:cs="Times New Roman"/>
          <w:sz w:val="24"/>
          <w:szCs w:val="24"/>
        </w:rPr>
      </w:pPr>
    </w:p>
    <w:p w14:paraId="23B519DF" w14:textId="77777777" w:rsidR="005A02C2" w:rsidRDefault="005A02C2" w:rsidP="005A02C2">
      <w:pPr>
        <w:spacing w:line="276" w:lineRule="auto"/>
        <w:ind w:firstLine="360"/>
        <w:rPr>
          <w:rFonts w:ascii="Times New Roman" w:eastAsiaTheme="minorHAnsi" w:hAnsi="Times New Roman" w:cs="Times New Roman"/>
        </w:rPr>
      </w:pPr>
      <w:r>
        <w:rPr>
          <w:rStyle w:val="HTMLTypewriter"/>
          <w:rFonts w:ascii="Times New Roman" w:eastAsiaTheme="minorHAnsi" w:hAnsi="Times New Roman" w:cs="Times New Roman"/>
          <w:sz w:val="24"/>
          <w:szCs w:val="24"/>
        </w:rPr>
        <w:t xml:space="preserve">If plaintiffs </w:t>
      </w:r>
      <w:r w:rsidRPr="004C0F11">
        <w:rPr>
          <w:rStyle w:val="HTMLTypewriter"/>
          <w:rFonts w:ascii="Times New Roman" w:eastAsiaTheme="minorHAnsi" w:hAnsi="Times New Roman" w:cs="Times New Roman"/>
          <w:sz w:val="24"/>
          <w:szCs w:val="24"/>
        </w:rPr>
        <w:t>use this court filing to s</w:t>
      </w:r>
      <w:r>
        <w:rPr>
          <w:rStyle w:val="HTMLTypewriter"/>
          <w:rFonts w:ascii="Times New Roman" w:eastAsiaTheme="minorHAnsi" w:hAnsi="Times New Roman" w:cs="Times New Roman"/>
          <w:sz w:val="24"/>
          <w:szCs w:val="24"/>
        </w:rPr>
        <w:t>eek documents about the biotech seed company</w:t>
      </w:r>
      <w:r w:rsidRPr="004C0F11">
        <w:rPr>
          <w:rStyle w:val="HTMLTypewriter"/>
          <w:rFonts w:ascii="Times New Roman" w:eastAsiaTheme="minorHAnsi" w:hAnsi="Times New Roman" w:cs="Times New Roman"/>
          <w:sz w:val="24"/>
          <w:szCs w:val="24"/>
        </w:rPr>
        <w:t>’s list of growers and any information rega</w:t>
      </w:r>
      <w:r>
        <w:rPr>
          <w:rStyle w:val="HTMLTypewriter"/>
          <w:rFonts w:ascii="Times New Roman" w:eastAsiaTheme="minorHAnsi" w:hAnsi="Times New Roman" w:cs="Times New Roman"/>
          <w:sz w:val="24"/>
          <w:szCs w:val="24"/>
        </w:rPr>
        <w:t>rding its stewardship program, the biotech seed company</w:t>
      </w:r>
      <w:r w:rsidRPr="004C0F11">
        <w:rPr>
          <w:rStyle w:val="HTMLTypewriter"/>
          <w:rFonts w:ascii="Times New Roman" w:eastAsiaTheme="minorHAnsi" w:hAnsi="Times New Roman" w:cs="Times New Roman"/>
          <w:sz w:val="24"/>
          <w:szCs w:val="24"/>
        </w:rPr>
        <w:t xml:space="preserve"> might seek a protective order, arguing that grower identities a</w:t>
      </w:r>
      <w:r>
        <w:rPr>
          <w:rStyle w:val="HTMLTypewriter"/>
          <w:rFonts w:ascii="Times New Roman" w:eastAsiaTheme="minorHAnsi" w:hAnsi="Times New Roman" w:cs="Times New Roman"/>
          <w:sz w:val="24"/>
          <w:szCs w:val="24"/>
        </w:rPr>
        <w:t>re confidential information.  T</w:t>
      </w:r>
      <w:r w:rsidRPr="004C0F11">
        <w:rPr>
          <w:rStyle w:val="HTMLTypewriter"/>
          <w:rFonts w:ascii="Times New Roman" w:eastAsiaTheme="minorHAnsi" w:hAnsi="Times New Roman" w:cs="Times New Roman"/>
          <w:sz w:val="24"/>
          <w:szCs w:val="24"/>
        </w:rPr>
        <w:t>he court would stil</w:t>
      </w:r>
      <w:r>
        <w:rPr>
          <w:rStyle w:val="HTMLTypewriter"/>
          <w:rFonts w:ascii="Times New Roman" w:eastAsiaTheme="minorHAnsi" w:hAnsi="Times New Roman" w:cs="Times New Roman"/>
          <w:sz w:val="24"/>
          <w:szCs w:val="24"/>
        </w:rPr>
        <w:t xml:space="preserve">l order production of the list, </w:t>
      </w:r>
      <w:r w:rsidRPr="004C0F11">
        <w:rPr>
          <w:rStyle w:val="HTMLTypewriter"/>
          <w:rFonts w:ascii="Times New Roman" w:eastAsiaTheme="minorHAnsi" w:hAnsi="Times New Roman" w:cs="Times New Roman"/>
          <w:sz w:val="24"/>
          <w:szCs w:val="24"/>
        </w:rPr>
        <w:t>possibly limi</w:t>
      </w:r>
      <w:r>
        <w:rPr>
          <w:rStyle w:val="HTMLTypewriter"/>
          <w:rFonts w:ascii="Times New Roman" w:eastAsiaTheme="minorHAnsi" w:hAnsi="Times New Roman" w:cs="Times New Roman"/>
          <w:sz w:val="24"/>
          <w:szCs w:val="24"/>
        </w:rPr>
        <w:t>ting such disclosure to counsel if it is particularly sensitive</w:t>
      </w:r>
      <w:r w:rsidRPr="004C0F11">
        <w:rPr>
          <w:rStyle w:val="HTMLTypewriter"/>
          <w:rFonts w:ascii="Times New Roman" w:eastAsiaTheme="minorHAnsi" w:hAnsi="Times New Roman" w:cs="Times New Roman"/>
          <w:sz w:val="24"/>
          <w:szCs w:val="24"/>
        </w:rPr>
        <w:t xml:space="preserve">. Knowing the identity of growers will be a necessary step in evaluating the </w:t>
      </w:r>
      <w:r>
        <w:rPr>
          <w:rStyle w:val="HTMLTypewriter"/>
          <w:rFonts w:ascii="Times New Roman" w:eastAsiaTheme="minorHAnsi" w:hAnsi="Times New Roman" w:cs="Times New Roman"/>
          <w:sz w:val="24"/>
          <w:szCs w:val="24"/>
        </w:rPr>
        <w:t xml:space="preserve">seed company’s </w:t>
      </w:r>
      <w:r w:rsidRPr="004C0F11">
        <w:rPr>
          <w:rStyle w:val="HTMLTypewriter"/>
          <w:rFonts w:ascii="Times New Roman" w:eastAsiaTheme="minorHAnsi" w:hAnsi="Times New Roman" w:cs="Times New Roman"/>
          <w:sz w:val="24"/>
          <w:szCs w:val="24"/>
        </w:rPr>
        <w:t xml:space="preserve">stewardship </w:t>
      </w:r>
      <w:r>
        <w:rPr>
          <w:rStyle w:val="HTMLTypewriter"/>
          <w:rFonts w:ascii="Times New Roman" w:eastAsiaTheme="minorHAnsi" w:hAnsi="Times New Roman" w:cs="Times New Roman"/>
          <w:sz w:val="24"/>
          <w:szCs w:val="24"/>
        </w:rPr>
        <w:t>for the unapproved variety</w:t>
      </w:r>
      <w:r w:rsidRPr="004C0F11">
        <w:rPr>
          <w:rStyle w:val="HTMLTypewriter"/>
          <w:rFonts w:ascii="Times New Roman" w:eastAsiaTheme="minorHAnsi" w:hAnsi="Times New Roman" w:cs="Times New Roman"/>
          <w:sz w:val="24"/>
          <w:szCs w:val="24"/>
        </w:rPr>
        <w:t>.</w:t>
      </w:r>
    </w:p>
    <w:p w14:paraId="10917CDC" w14:textId="77777777" w:rsidR="005A02C2" w:rsidRDefault="005A02C2" w:rsidP="005A02C2">
      <w:pPr>
        <w:spacing w:line="276" w:lineRule="auto"/>
        <w:ind w:firstLine="360"/>
        <w:rPr>
          <w:rFonts w:ascii="Times New Roman" w:eastAsiaTheme="minorHAnsi" w:hAnsi="Times New Roman" w:cs="Times New Roman"/>
        </w:rPr>
      </w:pPr>
    </w:p>
    <w:p w14:paraId="49B4DC6D" w14:textId="6458D06D" w:rsidR="003F3300" w:rsidRDefault="004C0F11" w:rsidP="005A02C2">
      <w:pPr>
        <w:spacing w:line="276" w:lineRule="auto"/>
        <w:ind w:firstLine="360"/>
        <w:rPr>
          <w:rFonts w:ascii="Times New Roman" w:hAnsi="Times New Roman" w:cs="Times New Roman"/>
          <w:bCs/>
        </w:rPr>
      </w:pPr>
      <w:r w:rsidRPr="00150C15">
        <w:rPr>
          <w:rFonts w:ascii="Times New Roman" w:hAnsi="Times New Roman" w:cs="Times New Roman"/>
          <w:bCs/>
        </w:rPr>
        <w:t>Since court filings are public record,</w:t>
      </w:r>
      <w:r w:rsidR="005A02C2">
        <w:rPr>
          <w:rFonts w:ascii="Times New Roman" w:hAnsi="Times New Roman" w:cs="Times New Roman"/>
          <w:bCs/>
        </w:rPr>
        <w:t xml:space="preserve"> however,</w:t>
      </w:r>
      <w:r>
        <w:rPr>
          <w:rFonts w:ascii="Times New Roman" w:hAnsi="Times New Roman" w:cs="Times New Roman"/>
          <w:bCs/>
        </w:rPr>
        <w:t xml:space="preserve"> attorney</w:t>
      </w:r>
      <w:r w:rsidR="005A02C2">
        <w:rPr>
          <w:rFonts w:ascii="Times New Roman" w:hAnsi="Times New Roman" w:cs="Times New Roman"/>
          <w:bCs/>
        </w:rPr>
        <w:t xml:space="preserve">s and their clients should not </w:t>
      </w:r>
      <w:r w:rsidRPr="00150C15">
        <w:rPr>
          <w:rFonts w:ascii="Times New Roman" w:hAnsi="Times New Roman" w:cs="Times New Roman"/>
          <w:bCs/>
        </w:rPr>
        <w:t>rule out coverage of the fi</w:t>
      </w:r>
      <w:r w:rsidR="005A02C2">
        <w:rPr>
          <w:rFonts w:ascii="Times New Roman" w:hAnsi="Times New Roman" w:cs="Times New Roman"/>
          <w:bCs/>
        </w:rPr>
        <w:t>ling by the press, even where protective orders are in place for confidential information.</w:t>
      </w:r>
    </w:p>
    <w:p w14:paraId="3E40C655" w14:textId="77777777" w:rsidR="005A02C2" w:rsidRPr="005A02C2" w:rsidRDefault="005A02C2" w:rsidP="005A02C2">
      <w:pPr>
        <w:spacing w:line="276" w:lineRule="auto"/>
        <w:ind w:firstLine="360"/>
        <w:rPr>
          <w:rStyle w:val="pxvis"/>
          <w:rFonts w:ascii="Times New Roman" w:eastAsiaTheme="minorHAnsi" w:hAnsi="Times New Roman" w:cs="Times New Roman"/>
          <w:b w:val="0"/>
          <w:bCs w:val="0"/>
          <w:sz w:val="24"/>
          <w:szCs w:val="24"/>
        </w:rPr>
      </w:pPr>
    </w:p>
    <w:p w14:paraId="5260BD5C" w14:textId="2442752B" w:rsidR="003F3300" w:rsidRPr="004C0F11" w:rsidRDefault="003F3300" w:rsidP="003F3300">
      <w:pPr>
        <w:pStyle w:val="ListParagraph"/>
        <w:widowControl/>
        <w:numPr>
          <w:ilvl w:val="0"/>
          <w:numId w:val="6"/>
        </w:numPr>
        <w:autoSpaceDE/>
        <w:autoSpaceDN/>
        <w:adjustRightInd/>
        <w:spacing w:line="276" w:lineRule="auto"/>
        <w:rPr>
          <w:rFonts w:ascii="Times New Roman" w:eastAsia="Times New Roman" w:hAnsi="Times New Roman" w:cs="Times New Roman"/>
          <w:b/>
        </w:rPr>
      </w:pPr>
      <w:r w:rsidRPr="004C0F11">
        <w:rPr>
          <w:rFonts w:ascii="Times New Roman" w:eastAsia="Times New Roman" w:hAnsi="Times New Roman" w:cs="Times New Roman"/>
          <w:b/>
        </w:rPr>
        <w:t>Conclusion</w:t>
      </w:r>
    </w:p>
    <w:p w14:paraId="644D473D" w14:textId="77777777" w:rsidR="003F3300" w:rsidRPr="004C0F11" w:rsidRDefault="003F3300" w:rsidP="003F3300">
      <w:pPr>
        <w:spacing w:line="276" w:lineRule="auto"/>
        <w:rPr>
          <w:rFonts w:ascii="Times New Roman" w:eastAsia="Times New Roman" w:hAnsi="Times New Roman" w:cs="Times New Roman"/>
        </w:rPr>
      </w:pPr>
    </w:p>
    <w:p w14:paraId="4D55460F" w14:textId="5DF5F17F" w:rsidR="00F35195" w:rsidRDefault="007B3CE9" w:rsidP="00FF209B">
      <w:pPr>
        <w:pStyle w:val="pxp"/>
        <w:spacing w:line="276" w:lineRule="auto"/>
        <w:rPr>
          <w:rFonts w:ascii="Times New Roman" w:hAnsi="Times New Roman" w:cs="Times New Roman"/>
        </w:rPr>
      </w:pPr>
      <w:r w:rsidRPr="004C0F11">
        <w:rPr>
          <w:rStyle w:val="pxvis"/>
          <w:rFonts w:ascii="Times New Roman" w:hAnsi="Times New Roman" w:cs="Times New Roman"/>
          <w:b w:val="0"/>
          <w:bCs w:val="0"/>
          <w:sz w:val="24"/>
          <w:szCs w:val="24"/>
        </w:rPr>
        <w:tab/>
      </w:r>
      <w:r w:rsidRPr="004C0F11">
        <w:rPr>
          <w:rFonts w:ascii="Times New Roman" w:hAnsi="Times New Roman" w:cs="Times New Roman"/>
        </w:rPr>
        <w:t xml:space="preserve">In sum, </w:t>
      </w:r>
      <w:r w:rsidR="00FE2605">
        <w:rPr>
          <w:rFonts w:ascii="Times New Roman" w:hAnsi="Times New Roman" w:cs="Times New Roman"/>
        </w:rPr>
        <w:t>the threat of billions of dollars in liability should spur</w:t>
      </w:r>
      <w:r w:rsidRPr="004C0F11">
        <w:rPr>
          <w:rFonts w:ascii="Times New Roman" w:hAnsi="Times New Roman" w:cs="Times New Roman"/>
        </w:rPr>
        <w:t xml:space="preserve"> act</w:t>
      </w:r>
      <w:r w:rsidR="00AE66A7" w:rsidRPr="004C0F11">
        <w:rPr>
          <w:rFonts w:ascii="Times New Roman" w:hAnsi="Times New Roman" w:cs="Times New Roman"/>
        </w:rPr>
        <w:t xml:space="preserve">ive industry efforts to manage export-related liability </w:t>
      </w:r>
      <w:r w:rsidRPr="004C0F11">
        <w:rPr>
          <w:rFonts w:ascii="Times New Roman" w:hAnsi="Times New Roman" w:cs="Times New Roman"/>
        </w:rPr>
        <w:t>risk</w:t>
      </w:r>
      <w:r w:rsidR="00AE66A7" w:rsidRPr="004C0F11">
        <w:rPr>
          <w:rFonts w:ascii="Times New Roman" w:hAnsi="Times New Roman" w:cs="Times New Roman"/>
        </w:rPr>
        <w:t>s</w:t>
      </w:r>
      <w:r w:rsidR="00411BBA" w:rsidRPr="004C0F11">
        <w:rPr>
          <w:rFonts w:ascii="Times New Roman" w:hAnsi="Times New Roman" w:cs="Times New Roman"/>
        </w:rPr>
        <w:t>.</w:t>
      </w:r>
      <w:r w:rsidRPr="004C0F11">
        <w:rPr>
          <w:rFonts w:ascii="Times New Roman" w:hAnsi="Times New Roman" w:cs="Times New Roman"/>
        </w:rPr>
        <w:t xml:space="preserve"> The test will be whether </w:t>
      </w:r>
      <w:r w:rsidR="00DD7BDB">
        <w:rPr>
          <w:rFonts w:ascii="Times New Roman" w:hAnsi="Times New Roman" w:cs="Times New Roman"/>
        </w:rPr>
        <w:t xml:space="preserve">companies </w:t>
      </w:r>
      <w:r w:rsidRPr="004C0F11">
        <w:rPr>
          <w:rFonts w:ascii="Times New Roman" w:hAnsi="Times New Roman" w:cs="Times New Roman"/>
        </w:rPr>
        <w:t xml:space="preserve">not using these industry guidelines </w:t>
      </w:r>
      <w:r w:rsidR="00DD7BDB">
        <w:rPr>
          <w:rFonts w:ascii="Times New Roman" w:hAnsi="Times New Roman" w:cs="Times New Roman"/>
        </w:rPr>
        <w:t xml:space="preserve">extract </w:t>
      </w:r>
      <w:r w:rsidRPr="004C0F11">
        <w:rPr>
          <w:rFonts w:ascii="Times New Roman" w:hAnsi="Times New Roman" w:cs="Times New Roman"/>
        </w:rPr>
        <w:t xml:space="preserve">themselves </w:t>
      </w:r>
      <w:r w:rsidR="00DD7BDB">
        <w:rPr>
          <w:rFonts w:ascii="Times New Roman" w:hAnsi="Times New Roman" w:cs="Times New Roman"/>
        </w:rPr>
        <w:t>from costly litigation; Syngenta’s pending case will answer that question.</w:t>
      </w:r>
      <w:r w:rsidRPr="004C0F11">
        <w:rPr>
          <w:rFonts w:ascii="Times New Roman" w:hAnsi="Times New Roman" w:cs="Times New Roman"/>
        </w:rPr>
        <w:t xml:space="preserve"> </w:t>
      </w:r>
      <w:r w:rsidR="005F178E">
        <w:rPr>
          <w:rFonts w:ascii="Times New Roman" w:hAnsi="Times New Roman" w:cs="Times New Roman"/>
        </w:rPr>
        <w:t xml:space="preserve"> </w:t>
      </w:r>
    </w:p>
    <w:p w14:paraId="3F3E732C" w14:textId="41D841D7" w:rsidR="005F178E" w:rsidRDefault="005F178E" w:rsidP="005F178E"/>
    <w:p w14:paraId="20629B77" w14:textId="58FC9A36" w:rsidR="005F178E" w:rsidRPr="005F178E" w:rsidRDefault="005F178E" w:rsidP="00357944">
      <w:pPr>
        <w:spacing w:line="276" w:lineRule="auto"/>
      </w:pPr>
      <w:r>
        <w:tab/>
        <w:t xml:space="preserve">In hindsight, much of the billion-dollar liability that has occurred in biotech crop litigation could have been prevented through mediation of stewardship issues before commercial launch. If the filing of a claim for anticipatory nuisance (or the threat of such a filing) can help maintain biotech </w:t>
      </w:r>
      <w:proofErr w:type="gramStart"/>
      <w:r>
        <w:t>seed company’s</w:t>
      </w:r>
      <w:proofErr w:type="gramEnd"/>
      <w:r>
        <w:t xml:space="preserve"> bottom line and prevent disclosing billion dollar mistakes to shareholders, the entire industry would benefit and all the benefits of biotech crops could be reaped.</w:t>
      </w:r>
    </w:p>
    <w:p w14:paraId="5B6D81BE" w14:textId="77777777" w:rsidR="00F35195" w:rsidRPr="004C0F11" w:rsidRDefault="00F35195" w:rsidP="00FF209B">
      <w:pPr>
        <w:pStyle w:val="pxp"/>
        <w:spacing w:line="276" w:lineRule="auto"/>
        <w:rPr>
          <w:rFonts w:ascii="Times New Roman" w:hAnsi="Times New Roman" w:cs="Times New Roman"/>
        </w:rPr>
      </w:pPr>
    </w:p>
    <w:sectPr w:rsidR="00F35195" w:rsidRPr="004C0F11" w:rsidSect="00F351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96B9" w14:textId="77777777" w:rsidR="00033F63" w:rsidRDefault="00033F63" w:rsidP="009D2266">
      <w:r>
        <w:separator/>
      </w:r>
    </w:p>
  </w:endnote>
  <w:endnote w:type="continuationSeparator" w:id="0">
    <w:p w14:paraId="2BBB6155" w14:textId="77777777" w:rsidR="00033F63" w:rsidRDefault="00033F63" w:rsidP="009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40CC" w14:textId="77777777" w:rsidR="002868B7" w:rsidRDefault="00286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9114" w14:textId="0F8AB099" w:rsidR="00FB37D9" w:rsidRPr="002868B7" w:rsidRDefault="00DE5573">
    <w:pPr>
      <w:pStyle w:val="Footer"/>
      <w:rPr>
        <w:sz w:val="20"/>
        <w:szCs w:val="20"/>
      </w:rPr>
    </w:pPr>
    <w:bookmarkStart w:id="0" w:name="_GoBack"/>
    <w:bookmarkEnd w:id="0"/>
    <w:r>
      <w:rPr>
        <w:sz w:val="20"/>
        <w:szCs w:val="20"/>
      </w:rPr>
      <w:t>CS2B-</w:t>
    </w:r>
    <w:r w:rsidR="002868B7" w:rsidRPr="002868B7">
      <w:rPr>
        <w:sz w:val="20"/>
        <w:szCs w:val="20"/>
      </w:rPr>
      <w:t>Redick</w:t>
    </w:r>
    <w:r w:rsidR="002868B7" w:rsidRPr="002868B7">
      <w:rPr>
        <w:sz w:val="20"/>
        <w:szCs w:val="20"/>
      </w:rPr>
      <w:ptab w:relativeTo="margin" w:alignment="center" w:leader="none"/>
    </w:r>
    <w:r w:rsidR="002868B7" w:rsidRPr="002868B7">
      <w:rPr>
        <w:sz w:val="20"/>
        <w:szCs w:val="20"/>
      </w:rPr>
      <w:fldChar w:fldCharType="begin"/>
    </w:r>
    <w:r w:rsidR="002868B7" w:rsidRPr="002868B7">
      <w:rPr>
        <w:sz w:val="20"/>
        <w:szCs w:val="20"/>
      </w:rPr>
      <w:instrText xml:space="preserve"> PAGE  \* Arabic  \* MERGEFORMAT </w:instrText>
    </w:r>
    <w:r w:rsidR="002868B7" w:rsidRPr="002868B7">
      <w:rPr>
        <w:sz w:val="20"/>
        <w:szCs w:val="20"/>
      </w:rPr>
      <w:fldChar w:fldCharType="separate"/>
    </w:r>
    <w:r>
      <w:rPr>
        <w:noProof/>
        <w:sz w:val="20"/>
        <w:szCs w:val="20"/>
      </w:rPr>
      <w:t>2</w:t>
    </w:r>
    <w:r w:rsidR="002868B7" w:rsidRPr="002868B7">
      <w:rPr>
        <w:sz w:val="20"/>
        <w:szCs w:val="20"/>
      </w:rPr>
      <w:fldChar w:fldCharType="end"/>
    </w:r>
    <w:r w:rsidR="002868B7" w:rsidRPr="002868B7">
      <w:rPr>
        <w:sz w:val="20"/>
        <w:szCs w:val="20"/>
      </w:rPr>
      <w:ptab w:relativeTo="margin" w:alignment="right" w:leader="none"/>
    </w:r>
    <w:r>
      <w:rPr>
        <w:sz w:val="20"/>
        <w:szCs w:val="20"/>
      </w:rPr>
      <w:t>Managing the Liability Risk of GMO Products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AB55" w14:textId="77777777" w:rsidR="002868B7" w:rsidRDefault="00286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F1C9D" w14:textId="77777777" w:rsidR="00033F63" w:rsidRDefault="00033F63" w:rsidP="009D2266">
      <w:r>
        <w:separator/>
      </w:r>
    </w:p>
  </w:footnote>
  <w:footnote w:type="continuationSeparator" w:id="0">
    <w:p w14:paraId="727DE9EC" w14:textId="77777777" w:rsidR="00033F63" w:rsidRDefault="00033F63" w:rsidP="009D2266">
      <w:r>
        <w:continuationSeparator/>
      </w:r>
    </w:p>
  </w:footnote>
  <w:footnote w:id="1">
    <w:p w14:paraId="4F6DC8B3" w14:textId="7F774352" w:rsidR="00FB37D9" w:rsidRDefault="00FB37D9">
      <w:pPr>
        <w:pStyle w:val="FootnoteText"/>
      </w:pPr>
      <w:r>
        <w:rPr>
          <w:rStyle w:val="FootnoteReference"/>
        </w:rPr>
        <w:footnoteRef/>
      </w:r>
      <w:r>
        <w:t xml:space="preserve"> Thomas P. Redick practices solo international environmental law at Global Environmental Ethics Counsel LLC. </w:t>
      </w:r>
      <w:proofErr w:type="gramStart"/>
      <w:r>
        <w:t>in</w:t>
      </w:r>
      <w:proofErr w:type="gramEnd"/>
      <w:r>
        <w:t xml:space="preserve"> St. Louis MO, where he represents corn and soybean growers as well as high tech clients with liability prevention.</w:t>
      </w:r>
    </w:p>
  </w:footnote>
  <w:footnote w:id="2">
    <w:p w14:paraId="1B614460" w14:textId="3143BFD1" w:rsidR="00FB37D9" w:rsidRDefault="00FB37D9">
      <w:pPr>
        <w:pStyle w:val="FootnoteText"/>
      </w:pPr>
      <w:r>
        <w:rPr>
          <w:rStyle w:val="FootnoteReference"/>
        </w:rPr>
        <w:footnoteRef/>
      </w:r>
      <w:r>
        <w:t xml:space="preserve"> </w:t>
      </w:r>
      <w:r w:rsidRPr="00051D26">
        <w:t xml:space="preserve">Syngenta AG Case Activity, LAW360, http://www.law360.com/companies/syngenta-ag/dockets (last visited May 16, 2015).  </w:t>
      </w:r>
    </w:p>
  </w:footnote>
  <w:footnote w:id="3">
    <w:p w14:paraId="1EC23CE8" w14:textId="4FB83164" w:rsidR="00FB37D9" w:rsidRDefault="00FB37D9">
      <w:pPr>
        <w:pStyle w:val="FootnoteText"/>
      </w:pPr>
      <w:r>
        <w:rPr>
          <w:rStyle w:val="FootnoteReference"/>
        </w:rPr>
        <w:footnoteRef/>
      </w:r>
      <w:r>
        <w:t xml:space="preserve"> Stephen Breyer, BREAKING THE VICIOUS </w:t>
      </w:r>
      <w:r w:rsidRPr="00807292">
        <w:t>CIRCLE</w:t>
      </w:r>
      <w:r>
        <w:t xml:space="preserve"> (1995). </w:t>
      </w:r>
    </w:p>
  </w:footnote>
  <w:footnote w:id="4">
    <w:p w14:paraId="250DA2EB" w14:textId="6C5FA93E" w:rsidR="00FB37D9" w:rsidRPr="00610CE9" w:rsidRDefault="00FB37D9" w:rsidP="00253D1C">
      <w:pPr>
        <w:pStyle w:val="pxp"/>
        <w:spacing w:line="276" w:lineRule="auto"/>
      </w:pPr>
      <w:r>
        <w:rPr>
          <w:rStyle w:val="FootnoteReference"/>
        </w:rPr>
        <w:footnoteRef/>
      </w:r>
      <w:r>
        <w:t xml:space="preserve"> </w:t>
      </w:r>
      <w:r w:rsidRPr="00610CE9">
        <w:rPr>
          <w:rStyle w:val="pxi"/>
          <w:i/>
          <w:iCs/>
          <w:sz w:val="20"/>
          <w:szCs w:val="20"/>
        </w:rPr>
        <w:t>See</w:t>
      </w:r>
      <w:r w:rsidRPr="00610CE9">
        <w:rPr>
          <w:sz w:val="20"/>
          <w:szCs w:val="20"/>
        </w:rPr>
        <w:t xml:space="preserve"> </w:t>
      </w:r>
      <w:r w:rsidRPr="00610CE9">
        <w:rPr>
          <w:rStyle w:val="pxcc"/>
          <w:sz w:val="20"/>
          <w:szCs w:val="20"/>
        </w:rPr>
        <w:fldChar w:fldCharType="begin"/>
      </w:r>
      <w:r w:rsidRPr="00610CE9">
        <w:rPr>
          <w:rStyle w:val="pxcc"/>
          <w:sz w:val="20"/>
          <w:szCs w:val="20"/>
        </w:rPr>
        <w:instrText>cc.ref.id="I03MQ49"</w:instrText>
      </w:r>
      <w:r w:rsidRPr="00610CE9">
        <w:rPr>
          <w:rStyle w:val="pxcc"/>
          <w:sz w:val="20"/>
          <w:szCs w:val="20"/>
        </w:rPr>
        <w:fldChar w:fldCharType="end"/>
      </w:r>
      <w:r w:rsidRPr="00610CE9">
        <w:rPr>
          <w:rStyle w:val="pxcc"/>
          <w:sz w:val="20"/>
          <w:szCs w:val="20"/>
        </w:rPr>
        <w:t xml:space="preserve">In re </w:t>
      </w:r>
      <w:proofErr w:type="spellStart"/>
      <w:r w:rsidRPr="00610CE9">
        <w:rPr>
          <w:rStyle w:val="pxcc"/>
          <w:sz w:val="20"/>
          <w:szCs w:val="20"/>
        </w:rPr>
        <w:t>StarLink</w:t>
      </w:r>
      <w:proofErr w:type="spellEnd"/>
      <w:r w:rsidRPr="00610CE9">
        <w:rPr>
          <w:rStyle w:val="pxcc"/>
          <w:sz w:val="20"/>
          <w:szCs w:val="20"/>
        </w:rPr>
        <w:t xml:space="preserve"> Corn Products Liability Litigation, 212 F. Supp. 2d 828 (N.D. Ill. 2002)</w:t>
      </w:r>
      <w:r w:rsidRPr="00610CE9">
        <w:rPr>
          <w:sz w:val="20"/>
          <w:szCs w:val="20"/>
        </w:rPr>
        <w:t xml:space="preserve"> (</w:t>
      </w:r>
      <w:r w:rsidRPr="00610CE9">
        <w:rPr>
          <w:rStyle w:val="pxvis"/>
          <w:rFonts w:ascii="Times NewRoman" w:hAnsi="Times NewRoman" w:cstheme="minorBidi"/>
          <w:b w:val="0"/>
          <w:bCs w:val="0"/>
          <w:sz w:val="20"/>
          <w:szCs w:val="20"/>
        </w:rPr>
        <w:t>“</w:t>
      </w:r>
      <w:proofErr w:type="spellStart"/>
      <w:r w:rsidRPr="00610CE9">
        <w:rPr>
          <w:sz w:val="20"/>
          <w:szCs w:val="20"/>
        </w:rPr>
        <w:t>Starlink</w:t>
      </w:r>
      <w:proofErr w:type="spellEnd"/>
      <w:r w:rsidRPr="00610CE9">
        <w:rPr>
          <w:rStyle w:val="pxvis"/>
          <w:rFonts w:ascii="Times NewRoman" w:hAnsi="Times NewRoman" w:cstheme="minorBidi"/>
          <w:b w:val="0"/>
          <w:bCs w:val="0"/>
          <w:sz w:val="20"/>
          <w:szCs w:val="20"/>
        </w:rPr>
        <w:t>”</w:t>
      </w:r>
      <w:r w:rsidRPr="00610CE9">
        <w:rPr>
          <w:sz w:val="20"/>
          <w:szCs w:val="20"/>
        </w:rPr>
        <w:t>).</w:t>
      </w:r>
    </w:p>
  </w:footnote>
  <w:footnote w:id="5">
    <w:p w14:paraId="5E9CBEA7" w14:textId="7569B75D" w:rsidR="00FB37D9" w:rsidRDefault="00FB37D9" w:rsidP="00610CE9">
      <w:pPr>
        <w:pStyle w:val="FootnoteText"/>
      </w:pPr>
      <w:r w:rsidRPr="00610CE9">
        <w:rPr>
          <w:rStyle w:val="FootnoteReference"/>
        </w:rPr>
        <w:footnoteRef/>
      </w:r>
      <w:r w:rsidRPr="00610CE9">
        <w:t xml:space="preserve"> Mandel, Gregory N., "Confidence-Building Measures for Genetically Modified Products: Stakeholder Tea</w:t>
      </w:r>
      <w:r>
        <w:t>mwork on Regulatory Proposals,</w:t>
      </w:r>
      <w:r w:rsidRPr="00610CE9">
        <w:t xml:space="preserve"> Jurimetrics, Vol. 44, pp. 41-61, (2003).</w:t>
      </w:r>
    </w:p>
  </w:footnote>
  <w:footnote w:id="6">
    <w:p w14:paraId="674FE95A" w14:textId="0FB13269" w:rsidR="00FB37D9" w:rsidRPr="00610CE9" w:rsidRDefault="00FB37D9" w:rsidP="00835EC1">
      <w:pPr>
        <w:pStyle w:val="FootnoteText"/>
      </w:pPr>
      <w:r>
        <w:rPr>
          <w:rStyle w:val="FootnoteReference"/>
        </w:rPr>
        <w:footnoteRef/>
      </w:r>
      <w:r>
        <w:t xml:space="preserve"> </w:t>
      </w:r>
      <w:proofErr w:type="spellStart"/>
      <w:r w:rsidRPr="002D5ACB">
        <w:t>Endres</w:t>
      </w:r>
      <w:proofErr w:type="spellEnd"/>
      <w:r w:rsidRPr="002D5ACB">
        <w:t xml:space="preserve"> and Johnson, </w:t>
      </w:r>
      <w:r w:rsidRPr="002D5ACB">
        <w:rPr>
          <w:rStyle w:val="pxvis"/>
          <w:rFonts w:ascii="Times NewRoman" w:hAnsi="Times NewRoman" w:cstheme="minorBidi"/>
          <w:b w:val="0"/>
          <w:bCs w:val="0"/>
          <w:sz w:val="20"/>
          <w:szCs w:val="20"/>
        </w:rPr>
        <w:t>“</w:t>
      </w:r>
      <w:r w:rsidRPr="002D5ACB">
        <w:t xml:space="preserve">Bayer's Desire to Be Done </w:t>
      </w:r>
      <w:r w:rsidR="00687646" w:rsidRPr="002D5ACB">
        <w:t>with</w:t>
      </w:r>
      <w:r w:rsidRPr="002D5ACB">
        <w:t xml:space="preserve"> Litigation is a Reminder of the 2002 Aventis Crop Science Settlement,</w:t>
      </w:r>
      <w:r w:rsidRPr="002D5ACB">
        <w:rPr>
          <w:rStyle w:val="pxvis"/>
          <w:rFonts w:ascii="Times NewRoman" w:hAnsi="Times NewRoman" w:cstheme="minorBidi"/>
          <w:b w:val="0"/>
          <w:bCs w:val="0"/>
          <w:sz w:val="20"/>
          <w:szCs w:val="20"/>
        </w:rPr>
        <w:t>”</w:t>
      </w:r>
      <w:r w:rsidRPr="002D5ACB">
        <w:t xml:space="preserve"> AgFax.com, July 8, 2011, </w:t>
      </w:r>
      <w:r w:rsidRPr="002D5ACB">
        <w:rPr>
          <w:rStyle w:val="pxi"/>
          <w:i/>
          <w:iCs/>
          <w:sz w:val="20"/>
          <w:szCs w:val="20"/>
        </w:rPr>
        <w:t>available at</w:t>
      </w:r>
      <w:r w:rsidRPr="002D5ACB">
        <w:t xml:space="preserve"> </w:t>
      </w:r>
      <w:r w:rsidRPr="002D5ACB">
        <w:rPr>
          <w:rStyle w:val="pxurl"/>
          <w:sz w:val="20"/>
          <w:szCs w:val="20"/>
        </w:rPr>
        <w:fldChar w:fldCharType="begin"/>
      </w:r>
      <w:r w:rsidRPr="002D5ACB">
        <w:rPr>
          <w:rStyle w:val="pxurl"/>
          <w:sz w:val="20"/>
          <w:szCs w:val="20"/>
        </w:rPr>
        <w:instrText>url.ref.id="I00MPT2"</w:instrText>
      </w:r>
      <w:r w:rsidRPr="002D5ACB">
        <w:rPr>
          <w:rStyle w:val="pxurl"/>
          <w:sz w:val="20"/>
          <w:szCs w:val="20"/>
        </w:rPr>
        <w:fldChar w:fldCharType="end"/>
      </w:r>
      <w:r w:rsidRPr="002D5ACB">
        <w:t>http://agfax.com/Content/bayer-rice-settlement-offer-is-a-reminder-of-2002-aventis-corn-litigation-07082010.aspx (</w:t>
      </w:r>
      <w:r>
        <w:t>visited September 7, 2016).</w:t>
      </w:r>
    </w:p>
  </w:footnote>
  <w:footnote w:id="7">
    <w:p w14:paraId="50C0438B" w14:textId="6DF92BCD" w:rsidR="00FB37D9" w:rsidRDefault="00FB37D9" w:rsidP="00253D1C">
      <w:pPr>
        <w:pStyle w:val="pxp"/>
      </w:pPr>
      <w:r>
        <w:rPr>
          <w:rStyle w:val="FootnoteReference"/>
        </w:rPr>
        <w:footnoteRef/>
      </w:r>
      <w:r>
        <w:t xml:space="preserve"> </w:t>
      </w:r>
      <w:r w:rsidRPr="00610CE9">
        <w:rPr>
          <w:rStyle w:val="pxcc"/>
          <w:sz w:val="20"/>
          <w:szCs w:val="20"/>
        </w:rPr>
        <w:fldChar w:fldCharType="begin"/>
      </w:r>
      <w:r w:rsidRPr="00610CE9">
        <w:rPr>
          <w:rStyle w:val="pxcc"/>
          <w:sz w:val="20"/>
          <w:szCs w:val="20"/>
        </w:rPr>
        <w:instrText>cc.ref.id="I01IMD5"</w:instrText>
      </w:r>
      <w:r w:rsidRPr="00610CE9">
        <w:rPr>
          <w:rStyle w:val="pxcc"/>
          <w:sz w:val="20"/>
          <w:szCs w:val="20"/>
        </w:rPr>
        <w:fldChar w:fldCharType="end"/>
      </w:r>
      <w:r w:rsidRPr="00610CE9">
        <w:rPr>
          <w:rStyle w:val="pxcc"/>
          <w:sz w:val="20"/>
          <w:szCs w:val="20"/>
        </w:rPr>
        <w:t xml:space="preserve">Monsanto Co. v. </w:t>
      </w:r>
      <w:proofErr w:type="spellStart"/>
      <w:r w:rsidRPr="00610CE9">
        <w:rPr>
          <w:rStyle w:val="pxcc"/>
          <w:sz w:val="20"/>
          <w:szCs w:val="20"/>
        </w:rPr>
        <w:t>Geertson</w:t>
      </w:r>
      <w:proofErr w:type="spellEnd"/>
      <w:r w:rsidRPr="00610CE9">
        <w:rPr>
          <w:rStyle w:val="pxcc"/>
          <w:sz w:val="20"/>
          <w:szCs w:val="20"/>
        </w:rPr>
        <w:t xml:space="preserve"> Seed Farms, 130 S. Ct. 2743, 177 L. Ed. 2d 461, 70 </w:t>
      </w:r>
      <w:proofErr w:type="spellStart"/>
      <w:r w:rsidRPr="00610CE9">
        <w:rPr>
          <w:rStyle w:val="pxcc"/>
          <w:sz w:val="20"/>
          <w:szCs w:val="20"/>
        </w:rPr>
        <w:t>Env't</w:t>
      </w:r>
      <w:proofErr w:type="spellEnd"/>
      <w:r w:rsidRPr="00610CE9">
        <w:rPr>
          <w:rStyle w:val="pxcc"/>
          <w:sz w:val="20"/>
          <w:szCs w:val="20"/>
        </w:rPr>
        <w:t xml:space="preserve">. Rep. </w:t>
      </w:r>
      <w:proofErr w:type="spellStart"/>
      <w:proofErr w:type="gramStart"/>
      <w:r w:rsidRPr="00610CE9">
        <w:rPr>
          <w:rStyle w:val="pxcc"/>
          <w:sz w:val="20"/>
          <w:szCs w:val="20"/>
        </w:rPr>
        <w:t>Cas</w:t>
      </w:r>
      <w:proofErr w:type="spellEnd"/>
      <w:proofErr w:type="gramEnd"/>
      <w:r w:rsidRPr="00610CE9">
        <w:rPr>
          <w:rStyle w:val="pxcc"/>
          <w:sz w:val="20"/>
          <w:szCs w:val="20"/>
        </w:rPr>
        <w:t>. (BNA) 1481 (2010)</w:t>
      </w:r>
      <w:r w:rsidRPr="00610CE9">
        <w:rPr>
          <w:sz w:val="20"/>
          <w:szCs w:val="20"/>
        </w:rPr>
        <w:t xml:space="preserve"> (</w:t>
      </w:r>
      <w:r w:rsidRPr="00610CE9">
        <w:rPr>
          <w:rStyle w:val="pxvis"/>
          <w:rFonts w:ascii="Times NewRoman" w:hAnsi="Times NewRoman" w:cstheme="minorBidi"/>
          <w:b w:val="0"/>
          <w:bCs w:val="0"/>
          <w:sz w:val="20"/>
          <w:szCs w:val="20"/>
        </w:rPr>
        <w:t>“</w:t>
      </w:r>
      <w:proofErr w:type="spellStart"/>
      <w:r w:rsidRPr="00610CE9">
        <w:rPr>
          <w:sz w:val="20"/>
          <w:szCs w:val="20"/>
        </w:rPr>
        <w:t>Geertson</w:t>
      </w:r>
      <w:proofErr w:type="spellEnd"/>
      <w:r w:rsidRPr="00610CE9">
        <w:rPr>
          <w:rStyle w:val="pxvis"/>
          <w:rFonts w:ascii="Times NewRoman" w:hAnsi="Times NewRoman" w:cstheme="minorBidi"/>
          <w:b w:val="0"/>
          <w:bCs w:val="0"/>
          <w:sz w:val="20"/>
          <w:szCs w:val="20"/>
        </w:rPr>
        <w:t>”</w:t>
      </w:r>
      <w:r w:rsidRPr="00610CE9">
        <w:rPr>
          <w:sz w:val="20"/>
          <w:szCs w:val="20"/>
        </w:rPr>
        <w:t>).</w:t>
      </w:r>
    </w:p>
  </w:footnote>
  <w:footnote w:id="8">
    <w:p w14:paraId="49EB4ACF" w14:textId="0710809C" w:rsidR="00FB37D9" w:rsidRPr="002D5ACB" w:rsidRDefault="00FB37D9" w:rsidP="00253D1C">
      <w:pPr>
        <w:pStyle w:val="pxp"/>
      </w:pPr>
      <w:r w:rsidRPr="002D5ACB">
        <w:rPr>
          <w:rStyle w:val="FootnoteReference"/>
          <w:sz w:val="20"/>
          <w:szCs w:val="20"/>
        </w:rPr>
        <w:footnoteRef/>
      </w:r>
      <w:r w:rsidRPr="002D5ACB">
        <w:rPr>
          <w:sz w:val="20"/>
          <w:szCs w:val="20"/>
        </w:rPr>
        <w:t xml:space="preserve"> </w:t>
      </w:r>
      <w:r w:rsidRPr="002D5ACB">
        <w:rPr>
          <w:rStyle w:val="pxcc"/>
          <w:sz w:val="20"/>
          <w:szCs w:val="20"/>
        </w:rPr>
        <w:fldChar w:fldCharType="begin"/>
      </w:r>
      <w:r w:rsidRPr="002D5ACB">
        <w:rPr>
          <w:rStyle w:val="pxcc"/>
          <w:sz w:val="20"/>
          <w:szCs w:val="20"/>
        </w:rPr>
        <w:instrText>cc.ref.id="I03ZLIS"</w:instrText>
      </w:r>
      <w:r w:rsidRPr="002D5ACB">
        <w:rPr>
          <w:rStyle w:val="pxcc"/>
          <w:sz w:val="20"/>
          <w:szCs w:val="20"/>
        </w:rPr>
        <w:fldChar w:fldCharType="end"/>
      </w:r>
      <w:r w:rsidRPr="002D5ACB">
        <w:rPr>
          <w:rStyle w:val="pxcc"/>
          <w:sz w:val="20"/>
          <w:szCs w:val="20"/>
        </w:rPr>
        <w:t>In re Genetically Modified Rice Litigation, 666 F. Supp. 2d 1004 (E.D. Mo. 2009), adhered to on reconsideration, 2011 WL 5024548 (E.D. Mo. 2011)</w:t>
      </w:r>
      <w:r w:rsidRPr="002D5ACB">
        <w:rPr>
          <w:sz w:val="20"/>
          <w:szCs w:val="20"/>
        </w:rPr>
        <w:t>.</w:t>
      </w:r>
    </w:p>
  </w:footnote>
  <w:footnote w:id="9">
    <w:p w14:paraId="751AEFE9" w14:textId="5E450C8C" w:rsidR="00FB37D9" w:rsidRDefault="00FB37D9" w:rsidP="00253D1C">
      <w:pPr>
        <w:pStyle w:val="pxp"/>
      </w:pPr>
      <w:r w:rsidRPr="002D5ACB">
        <w:rPr>
          <w:rStyle w:val="FootnoteReference"/>
          <w:sz w:val="20"/>
          <w:szCs w:val="20"/>
        </w:rPr>
        <w:footnoteRef/>
      </w:r>
      <w:r w:rsidRPr="002D5ACB">
        <w:rPr>
          <w:sz w:val="20"/>
          <w:szCs w:val="20"/>
        </w:rPr>
        <w:t xml:space="preserve"> </w:t>
      </w:r>
      <w:r w:rsidRPr="002D5ACB">
        <w:rPr>
          <w:rStyle w:val="pxcc"/>
          <w:sz w:val="20"/>
          <w:szCs w:val="20"/>
        </w:rPr>
        <w:fldChar w:fldCharType="begin"/>
      </w:r>
      <w:r w:rsidRPr="002D5ACB">
        <w:rPr>
          <w:rStyle w:val="pxcc"/>
          <w:sz w:val="20"/>
          <w:szCs w:val="20"/>
        </w:rPr>
        <w:instrText>cc.ref.id="I03ZLPS"</w:instrText>
      </w:r>
      <w:r w:rsidRPr="002D5ACB">
        <w:rPr>
          <w:rStyle w:val="pxcc"/>
          <w:sz w:val="20"/>
          <w:szCs w:val="20"/>
        </w:rPr>
        <w:fldChar w:fldCharType="end"/>
      </w:r>
      <w:r w:rsidRPr="002D5ACB">
        <w:rPr>
          <w:rStyle w:val="pxcc"/>
          <w:sz w:val="20"/>
          <w:szCs w:val="20"/>
        </w:rPr>
        <w:t xml:space="preserve">In re </w:t>
      </w:r>
      <w:proofErr w:type="spellStart"/>
      <w:r w:rsidRPr="002D5ACB">
        <w:rPr>
          <w:rStyle w:val="pxcc"/>
          <w:sz w:val="20"/>
          <w:szCs w:val="20"/>
        </w:rPr>
        <w:t>StarLink</w:t>
      </w:r>
      <w:proofErr w:type="spellEnd"/>
      <w:r w:rsidRPr="002D5ACB">
        <w:rPr>
          <w:rStyle w:val="pxcc"/>
          <w:sz w:val="20"/>
          <w:szCs w:val="20"/>
        </w:rPr>
        <w:t xml:space="preserve"> Corn Products Liability Litigation, 212 F. Supp. 2d 828 (N.D. Ill. 2002)</w:t>
      </w:r>
      <w:r w:rsidRPr="002D5ACB">
        <w:rPr>
          <w:sz w:val="20"/>
          <w:szCs w:val="20"/>
        </w:rPr>
        <w:t>.</w:t>
      </w:r>
    </w:p>
  </w:footnote>
  <w:footnote w:id="10">
    <w:p w14:paraId="2572B408" w14:textId="5A18469C" w:rsidR="00FB37D9" w:rsidRDefault="00FB37D9" w:rsidP="00610CE9">
      <w:pPr>
        <w:pStyle w:val="FootnoteText"/>
      </w:pPr>
      <w:r>
        <w:rPr>
          <w:rStyle w:val="FootnoteReference"/>
        </w:rPr>
        <w:footnoteRef/>
      </w:r>
      <w:r>
        <w:t xml:space="preserve"> </w:t>
      </w:r>
      <w:r w:rsidRPr="00AE66A7">
        <w:t>Cowan, Congressional Research Service, Agricultural Biotechnology: Background and Recent Issues 19</w:t>
      </w:r>
      <w:r w:rsidRPr="00AE66A7">
        <w:rPr>
          <w:vanish/>
        </w:rPr>
        <w:t>&amp;ndash;</w:t>
      </w:r>
      <w:r w:rsidRPr="00AE66A7">
        <w:rPr>
          <w:rStyle w:val="pxvis"/>
          <w:rFonts w:ascii="Times NewRoman" w:hAnsi="Times NewRoman" w:cstheme="minorBidi"/>
          <w:b w:val="0"/>
          <w:bCs w:val="0"/>
          <w:sz w:val="20"/>
          <w:szCs w:val="20"/>
        </w:rPr>
        <w:t>-</w:t>
      </w:r>
      <w:r w:rsidRPr="00AE66A7">
        <w:t>21 (July 5, 2011)</w:t>
      </w:r>
      <w:r>
        <w:t xml:space="preserve"> </w:t>
      </w:r>
      <w:r w:rsidRPr="00835EC1">
        <w:t xml:space="preserve">https://www.fas.org/sgp/crs/misc/RL32809.pdf </w:t>
      </w:r>
      <w:r>
        <w:t>(visited September 7, 2016).</w:t>
      </w:r>
    </w:p>
  </w:footnote>
  <w:footnote w:id="11">
    <w:p w14:paraId="66F3A193" w14:textId="460B4BD0" w:rsidR="00FB37D9" w:rsidRDefault="00FB37D9" w:rsidP="00835EC1">
      <w:pPr>
        <w:pStyle w:val="pxp"/>
      </w:pPr>
      <w:r>
        <w:rPr>
          <w:rStyle w:val="FootnoteReference"/>
        </w:rPr>
        <w:footnoteRef/>
      </w:r>
      <w:r>
        <w:t xml:space="preserve"> </w:t>
      </w:r>
      <w:proofErr w:type="spellStart"/>
      <w:r w:rsidRPr="002D5ACB">
        <w:rPr>
          <w:sz w:val="20"/>
          <w:szCs w:val="20"/>
        </w:rPr>
        <w:t>Endres</w:t>
      </w:r>
      <w:proofErr w:type="spellEnd"/>
      <w:r w:rsidRPr="002D5ACB">
        <w:rPr>
          <w:sz w:val="20"/>
          <w:szCs w:val="20"/>
        </w:rPr>
        <w:t xml:space="preserve"> and Johnson, </w:t>
      </w:r>
      <w:hyperlink r:id="rId1" w:history="1">
        <w:r w:rsidRPr="002D5ACB">
          <w:rPr>
            <w:rStyle w:val="Hyperlink"/>
            <w:sz w:val="20"/>
            <w:szCs w:val="20"/>
          </w:rPr>
          <w:t>supra</w:t>
        </w:r>
      </w:hyperlink>
      <w:r>
        <w:rPr>
          <w:rStyle w:val="pxvis"/>
          <w:rFonts w:ascii="Times NewRoman" w:hAnsi="Times NewRoman" w:cstheme="minorBidi"/>
          <w:b w:val="0"/>
          <w:bCs w:val="0"/>
          <w:sz w:val="20"/>
          <w:szCs w:val="20"/>
        </w:rPr>
        <w:t xml:space="preserve"> n. 6.</w:t>
      </w:r>
    </w:p>
  </w:footnote>
  <w:footnote w:id="12">
    <w:p w14:paraId="1E7C6CF3" w14:textId="77777777" w:rsidR="00FB37D9" w:rsidRDefault="00FB37D9" w:rsidP="00835EC1">
      <w:pPr>
        <w:pStyle w:val="pxp"/>
      </w:pPr>
      <w:r w:rsidRPr="00610CE9">
        <w:rPr>
          <w:rStyle w:val="FootnoteReference"/>
          <w:sz w:val="20"/>
          <w:szCs w:val="20"/>
        </w:rPr>
        <w:footnoteRef/>
      </w:r>
      <w:r w:rsidRPr="00610CE9">
        <w:rPr>
          <w:sz w:val="20"/>
          <w:szCs w:val="20"/>
        </w:rPr>
        <w:t xml:space="preserve"> </w:t>
      </w:r>
      <w:r w:rsidRPr="00610CE9">
        <w:rPr>
          <w:rStyle w:val="pxcc"/>
          <w:sz w:val="20"/>
          <w:szCs w:val="20"/>
        </w:rPr>
        <w:fldChar w:fldCharType="begin"/>
      </w:r>
      <w:r w:rsidRPr="00610CE9">
        <w:rPr>
          <w:rStyle w:val="pxcc"/>
          <w:sz w:val="20"/>
          <w:szCs w:val="20"/>
        </w:rPr>
        <w:instrText>cc.ref.id="I01ILQI"</w:instrText>
      </w:r>
      <w:r w:rsidRPr="00610CE9">
        <w:rPr>
          <w:rStyle w:val="pxcc"/>
          <w:sz w:val="20"/>
          <w:szCs w:val="20"/>
        </w:rPr>
        <w:fldChar w:fldCharType="end"/>
      </w:r>
      <w:r w:rsidRPr="00610CE9">
        <w:rPr>
          <w:rStyle w:val="pxcc"/>
          <w:sz w:val="20"/>
          <w:szCs w:val="20"/>
        </w:rPr>
        <w:t>In re Genetically Modified Rice Litigation, 666 F. Supp. 2d 1004 (E.D. Mo. 2009), adhered to on reconsideration, 2011 WL 5024548 (E.D. Mo. 2011)</w:t>
      </w:r>
      <w:r w:rsidRPr="00610CE9">
        <w:rPr>
          <w:sz w:val="20"/>
          <w:szCs w:val="20"/>
        </w:rPr>
        <w:t xml:space="preserve"> (</w:t>
      </w:r>
      <w:r w:rsidRPr="00610CE9">
        <w:rPr>
          <w:rStyle w:val="pxvis"/>
          <w:rFonts w:ascii="Times NewRoman" w:hAnsi="Times NewRoman" w:cstheme="minorBidi"/>
          <w:b w:val="0"/>
          <w:bCs w:val="0"/>
          <w:sz w:val="20"/>
          <w:szCs w:val="20"/>
        </w:rPr>
        <w:t>“</w:t>
      </w:r>
      <w:r w:rsidRPr="00610CE9">
        <w:rPr>
          <w:sz w:val="20"/>
          <w:szCs w:val="20"/>
        </w:rPr>
        <w:t>LL601 Rice</w:t>
      </w:r>
      <w:r w:rsidRPr="00610CE9">
        <w:rPr>
          <w:rStyle w:val="pxvis"/>
          <w:rFonts w:ascii="Times NewRoman" w:hAnsi="Times NewRoman" w:cstheme="minorBidi"/>
          <w:b w:val="0"/>
          <w:bCs w:val="0"/>
          <w:sz w:val="20"/>
          <w:szCs w:val="20"/>
        </w:rPr>
        <w:t>”</w:t>
      </w:r>
      <w:r w:rsidRPr="00610CE9">
        <w:rPr>
          <w:sz w:val="20"/>
          <w:szCs w:val="20"/>
        </w:rPr>
        <w:t>).</w:t>
      </w:r>
    </w:p>
  </w:footnote>
  <w:footnote w:id="13">
    <w:p w14:paraId="2B8A6E47" w14:textId="77777777" w:rsidR="00FB37D9" w:rsidRDefault="00FB37D9" w:rsidP="00610CE9">
      <w:pPr>
        <w:pStyle w:val="FootnoteText"/>
      </w:pPr>
      <w:r>
        <w:rPr>
          <w:rStyle w:val="FootnoteReference"/>
        </w:rPr>
        <w:footnoteRef/>
      </w:r>
      <w:r>
        <w:t xml:space="preserve"> Id.</w:t>
      </w:r>
    </w:p>
  </w:footnote>
  <w:footnote w:id="14">
    <w:p w14:paraId="7EA96C79" w14:textId="18EDB83B" w:rsidR="00FB37D9" w:rsidRDefault="00FB37D9" w:rsidP="00610CE9">
      <w:pPr>
        <w:pStyle w:val="FootnoteText"/>
      </w:pPr>
      <w:r>
        <w:rPr>
          <w:rStyle w:val="FootnoteReference"/>
        </w:rPr>
        <w:footnoteRef/>
      </w:r>
      <w:r>
        <w:t xml:space="preserve"> </w:t>
      </w:r>
      <w:r w:rsidRPr="002D5ACB">
        <w:rPr>
          <w:rStyle w:val="pxvis"/>
          <w:rFonts w:ascii="Times NewRoman" w:hAnsi="Times NewRoman" w:cstheme="minorBidi"/>
          <w:b w:val="0"/>
          <w:bCs w:val="0"/>
          <w:i/>
          <w:sz w:val="20"/>
          <w:szCs w:val="20"/>
        </w:rPr>
        <w:t>In Re Syngenta AG MIR 162 Corn Litigation</w:t>
      </w:r>
      <w:r w:rsidRPr="002D5ACB">
        <w:t xml:space="preserve"> MDL No. 2591, Case No. 14-md-2591-JWL (D. Kan. 2016)</w:t>
      </w:r>
      <w:r>
        <w:t>.</w:t>
      </w:r>
    </w:p>
  </w:footnote>
  <w:footnote w:id="15">
    <w:p w14:paraId="5E903194" w14:textId="340DB2D5" w:rsidR="00FB21E0" w:rsidRDefault="00FB21E0">
      <w:pPr>
        <w:pStyle w:val="FootnoteText"/>
      </w:pPr>
      <w:r>
        <w:rPr>
          <w:rStyle w:val="FootnoteReference"/>
        </w:rPr>
        <w:footnoteRef/>
      </w:r>
      <w:r>
        <w:t xml:space="preserve"> For a more detailed discussion of Syngenta’s perspective on the pending litigation, see Thomas Redick,</w:t>
      </w:r>
      <w:r w:rsidRPr="00FB21E0">
        <w:t xml:space="preserve"> </w:t>
      </w:r>
      <w:r>
        <w:t xml:space="preserve">Gene </w:t>
      </w:r>
      <w:proofErr w:type="spellStart"/>
      <w:r>
        <w:t>Summerlin</w:t>
      </w:r>
      <w:proofErr w:type="spellEnd"/>
      <w:r>
        <w:t xml:space="preserve"> and Megan Galey, The</w:t>
      </w:r>
      <w:r w:rsidRPr="00FB21E0">
        <w:t xml:space="preserve"> </w:t>
      </w:r>
      <w:r>
        <w:t>Twisting Path of Biotechnology Crop</w:t>
      </w:r>
      <w:r w:rsidRPr="00FB21E0">
        <w:t xml:space="preserve"> </w:t>
      </w:r>
      <w:r>
        <w:t>Liability</w:t>
      </w:r>
      <w:r w:rsidRPr="00FB21E0">
        <w:t xml:space="preserve">: </w:t>
      </w:r>
      <w:r>
        <w:t>Extending the Duty of Care for Trade Disruption Claims (Paper submitted for American Agricultural Law Association’s annual meeting in Oklahoma City OK on October 7, 2016).</w:t>
      </w:r>
    </w:p>
  </w:footnote>
  <w:footnote w:id="16">
    <w:p w14:paraId="07C9C577" w14:textId="40794396" w:rsidR="00FB37D9" w:rsidRDefault="00FB37D9" w:rsidP="00253D1C">
      <w:pPr>
        <w:pStyle w:val="pxp"/>
      </w:pPr>
      <w:r w:rsidRPr="00BA7D74">
        <w:rPr>
          <w:rStyle w:val="FootnoteReference"/>
          <w:sz w:val="20"/>
          <w:szCs w:val="20"/>
        </w:rPr>
        <w:footnoteRef/>
      </w:r>
      <w:r w:rsidRPr="00BA7D74">
        <w:rPr>
          <w:sz w:val="20"/>
          <w:szCs w:val="20"/>
        </w:rPr>
        <w:t xml:space="preserve"> </w:t>
      </w:r>
      <w:r w:rsidRPr="00BA7D74">
        <w:rPr>
          <w:rFonts w:ascii="Times New Roman" w:eastAsia="Times New Roman" w:hAnsi="Times New Roman" w:cs="Times New Roman"/>
          <w:i/>
          <w:color w:val="000000"/>
          <w:sz w:val="20"/>
          <w:szCs w:val="20"/>
        </w:rPr>
        <w:t>See, e.g.,</w:t>
      </w:r>
      <w:r w:rsidRPr="00BA7D74">
        <w:rPr>
          <w:rFonts w:ascii="Times New Roman" w:eastAsia="Times New Roman" w:hAnsi="Times New Roman" w:cs="Times New Roman"/>
          <w:color w:val="000000"/>
          <w:sz w:val="20"/>
          <w:szCs w:val="20"/>
        </w:rPr>
        <w:t xml:space="preserve"> </w:t>
      </w:r>
      <w:proofErr w:type="spellStart"/>
      <w:r w:rsidRPr="00BA7D74">
        <w:rPr>
          <w:rFonts w:ascii="Times New Roman" w:eastAsia="Times New Roman" w:hAnsi="Times New Roman" w:cs="Times New Roman"/>
          <w:i/>
          <w:sz w:val="20"/>
          <w:szCs w:val="20"/>
        </w:rPr>
        <w:t>Hadden</w:t>
      </w:r>
      <w:proofErr w:type="spellEnd"/>
      <w:r w:rsidRPr="00BA7D74">
        <w:rPr>
          <w:rFonts w:ascii="Times New Roman" w:eastAsia="Times New Roman" w:hAnsi="Times New Roman" w:cs="Times New Roman"/>
          <w:i/>
          <w:sz w:val="20"/>
          <w:szCs w:val="20"/>
        </w:rPr>
        <w:t xml:space="preserve"> Farms Inc. v. Syngenta Corp.</w:t>
      </w:r>
      <w:r w:rsidRPr="00BA7D74">
        <w:rPr>
          <w:rFonts w:ascii="Times New Roman" w:eastAsia="Times New Roman" w:hAnsi="Times New Roman" w:cs="Times New Roman"/>
          <w:sz w:val="20"/>
          <w:szCs w:val="20"/>
        </w:rPr>
        <w:t xml:space="preserve">, No. 3:14-cv-03302-SEM-TSH (C.D. Ill. filed Oct. 3, 2014) (class action complaint for damages and injunctive relief), </w:t>
      </w:r>
      <w:r w:rsidRPr="00BA7D74">
        <w:rPr>
          <w:rFonts w:ascii="Times New Roman" w:eastAsia="Times New Roman" w:hAnsi="Times New Roman" w:cs="Times New Roman"/>
          <w:i/>
          <w:sz w:val="20"/>
          <w:szCs w:val="20"/>
        </w:rPr>
        <w:t>available at</w:t>
      </w:r>
      <w:r w:rsidRPr="00BA7D74">
        <w:rPr>
          <w:rFonts w:ascii="Times New Roman" w:eastAsia="Times New Roman" w:hAnsi="Times New Roman" w:cs="Times New Roman"/>
          <w:sz w:val="20"/>
          <w:szCs w:val="20"/>
        </w:rPr>
        <w:t xml:space="preserve"> </w:t>
      </w:r>
      <w:hyperlink r:id="rId2">
        <w:r w:rsidRPr="00BA7D74">
          <w:rPr>
            <w:rFonts w:ascii="Times New Roman" w:eastAsia="Times New Roman" w:hAnsi="Times New Roman" w:cs="Times New Roman"/>
            <w:color w:val="0000FF"/>
            <w:sz w:val="20"/>
            <w:szCs w:val="20"/>
            <w:u w:val="single"/>
          </w:rPr>
          <w:t>http://www.fien.com/pdfs/IllinoisvSyngenta.pdf</w:t>
        </w:r>
      </w:hyperlink>
      <w:r w:rsidRPr="00BA7D74">
        <w:rPr>
          <w:rFonts w:ascii="Times New Roman" w:eastAsia="Times New Roman" w:hAnsi="Times New Roman" w:cs="Times New Roman"/>
          <w:sz w:val="20"/>
          <w:szCs w:val="20"/>
        </w:rPr>
        <w:t>.</w:t>
      </w:r>
      <w:r w:rsidRPr="00BA7D74">
        <w:rPr>
          <w:sz w:val="20"/>
          <w:szCs w:val="20"/>
        </w:rPr>
        <w:t xml:space="preserve"> </w:t>
      </w:r>
      <w:r w:rsidRPr="00835EC1">
        <w:rPr>
          <w:sz w:val="20"/>
          <w:szCs w:val="20"/>
        </w:rPr>
        <w:t>(</w:t>
      </w:r>
      <w:proofErr w:type="gramStart"/>
      <w:r w:rsidRPr="00835EC1">
        <w:rPr>
          <w:sz w:val="20"/>
          <w:szCs w:val="20"/>
        </w:rPr>
        <w:t>visited</w:t>
      </w:r>
      <w:proofErr w:type="gramEnd"/>
      <w:r w:rsidRPr="00835EC1">
        <w:rPr>
          <w:sz w:val="20"/>
          <w:szCs w:val="20"/>
        </w:rPr>
        <w:t xml:space="preserve"> September 7, 2016).</w:t>
      </w:r>
    </w:p>
  </w:footnote>
  <w:footnote w:id="17">
    <w:p w14:paraId="47DFC5B5" w14:textId="08FE28A5" w:rsidR="00FB37D9" w:rsidRPr="002D5ACB" w:rsidRDefault="00FB37D9">
      <w:pPr>
        <w:pStyle w:val="FootnoteText"/>
      </w:pPr>
      <w:r w:rsidRPr="002D5ACB">
        <w:rPr>
          <w:rStyle w:val="FootnoteReference"/>
        </w:rPr>
        <w:footnoteRef/>
      </w:r>
      <w:r w:rsidRPr="002D5ACB">
        <w:t xml:space="preserve"> Syngenta FAQ, http://www.syngentacornlitigation.com/syngenta-lawsuit-faq/</w:t>
      </w:r>
      <w:r>
        <w:t>.</w:t>
      </w:r>
    </w:p>
  </w:footnote>
  <w:footnote w:id="18">
    <w:p w14:paraId="07DFD8D6" w14:textId="042E2F8E" w:rsidR="00FB37D9" w:rsidRDefault="00FB37D9">
      <w:pPr>
        <w:pStyle w:val="FootnoteText"/>
      </w:pPr>
      <w:r>
        <w:rPr>
          <w:rStyle w:val="FootnoteReference"/>
        </w:rPr>
        <w:footnoteRef/>
      </w:r>
      <w:r>
        <w:t xml:space="preserve"> In re Syngenta AG MIR 162 Corn </w:t>
      </w:r>
      <w:proofErr w:type="spellStart"/>
      <w:proofErr w:type="gramStart"/>
      <w:r>
        <w:t>Litig</w:t>
      </w:r>
      <w:proofErr w:type="spellEnd"/>
      <w:r>
        <w:t>.,</w:t>
      </w:r>
      <w:proofErr w:type="gramEnd"/>
      <w:r>
        <w:t xml:space="preserve"> 131 F. Supp. 3d 1177, 1189 (D. Kan. 2015). T</w:t>
      </w:r>
    </w:p>
  </w:footnote>
  <w:footnote w:id="19">
    <w:p w14:paraId="7D71CA82" w14:textId="3561463E" w:rsidR="00FB37D9" w:rsidRDefault="00FB37D9">
      <w:pPr>
        <w:pStyle w:val="FootnoteText"/>
      </w:pPr>
      <w:r>
        <w:rPr>
          <w:rStyle w:val="FootnoteReference"/>
        </w:rPr>
        <w:footnoteRef/>
      </w:r>
      <w:r>
        <w:t xml:space="preserve"> See id. </w:t>
      </w:r>
      <w:proofErr w:type="gramStart"/>
      <w:r>
        <w:t>at</w:t>
      </w:r>
      <w:proofErr w:type="gramEnd"/>
      <w:r>
        <w:t xml:space="preserve"> 1195-96 (footnotes and citations omitted).</w:t>
      </w:r>
    </w:p>
  </w:footnote>
  <w:footnote w:id="20">
    <w:p w14:paraId="628B9C54" w14:textId="5D53503D" w:rsidR="00FB37D9" w:rsidRDefault="00FB37D9">
      <w:pPr>
        <w:pStyle w:val="FootnoteText"/>
      </w:pPr>
      <w:r>
        <w:rPr>
          <w:rStyle w:val="FootnoteReference"/>
        </w:rPr>
        <w:footnoteRef/>
      </w:r>
      <w:r>
        <w:t xml:space="preserve"> </w:t>
      </w:r>
      <w:r w:rsidRPr="00052D25">
        <w:t>7 U.S.C. §136 et seq. (1996)</w:t>
      </w:r>
      <w:r>
        <w:t>.</w:t>
      </w:r>
    </w:p>
  </w:footnote>
  <w:footnote w:id="21">
    <w:p w14:paraId="22202990" w14:textId="0E827452" w:rsidR="00FB37D9" w:rsidRDefault="00FB37D9">
      <w:pPr>
        <w:pStyle w:val="FootnoteText"/>
      </w:pPr>
      <w:r>
        <w:rPr>
          <w:rStyle w:val="FootnoteReference"/>
        </w:rPr>
        <w:footnoteRef/>
      </w:r>
      <w:r>
        <w:t xml:space="preserve"> </w:t>
      </w:r>
      <w:r w:rsidRPr="00052D25">
        <w:t xml:space="preserve">Bates v. Dow </w:t>
      </w:r>
      <w:proofErr w:type="spellStart"/>
      <w:r w:rsidRPr="00052D25">
        <w:t>Agrosc</w:t>
      </w:r>
      <w:r>
        <w:t>iences</w:t>
      </w:r>
      <w:proofErr w:type="spellEnd"/>
      <w:r>
        <w:t xml:space="preserve"> LLC, 544 U.S. 431 (2005).</w:t>
      </w:r>
    </w:p>
  </w:footnote>
  <w:footnote w:id="22">
    <w:p w14:paraId="43AECEA7" w14:textId="18D79EBD" w:rsidR="00FB37D9" w:rsidRDefault="00FB37D9" w:rsidP="00052D25">
      <w:pPr>
        <w:pStyle w:val="FootnoteText"/>
      </w:pPr>
      <w:r>
        <w:rPr>
          <w:rStyle w:val="FootnoteReference"/>
        </w:rPr>
        <w:footnoteRef/>
      </w:r>
      <w:r>
        <w:t xml:space="preserve"> 7 U.S.C. § </w:t>
      </w:r>
      <w:proofErr w:type="gramStart"/>
      <w:r>
        <w:t>136v(</w:t>
      </w:r>
      <w:proofErr w:type="gramEnd"/>
      <w:r>
        <w:t>b).</w:t>
      </w:r>
    </w:p>
  </w:footnote>
  <w:footnote w:id="23">
    <w:p w14:paraId="0878FC75" w14:textId="77777777" w:rsidR="00FB37D9" w:rsidRDefault="00FB37D9" w:rsidP="000D7D45">
      <w:pPr>
        <w:pStyle w:val="FootnoteText"/>
      </w:pPr>
      <w:r>
        <w:rPr>
          <w:rStyle w:val="FootnoteReference"/>
        </w:rPr>
        <w:footnoteRef/>
      </w:r>
      <w:r>
        <w:t xml:space="preserve"> </w:t>
      </w:r>
      <w:r w:rsidRPr="004C0F11">
        <w:rPr>
          <w:rFonts w:ascii="Times New Roman" w:hAnsi="Times New Roman" w:cs="Times New Roman"/>
        </w:rPr>
        <w:t>Id. at 15.</w:t>
      </w:r>
    </w:p>
  </w:footnote>
  <w:footnote w:id="24">
    <w:p w14:paraId="306FFD44" w14:textId="06F35539" w:rsidR="00FB37D9" w:rsidRPr="00C83AFB" w:rsidRDefault="00FB37D9" w:rsidP="00C83AFB">
      <w:pPr>
        <w:spacing w:after="240" w:line="276" w:lineRule="auto"/>
        <w:rPr>
          <w:rFonts w:ascii="Times New Roman" w:hAnsi="Times New Roman" w:cs="Times New Roman"/>
        </w:rPr>
      </w:pPr>
      <w:r>
        <w:rPr>
          <w:rStyle w:val="FootnoteReference"/>
        </w:rPr>
        <w:footnoteRef/>
      </w:r>
      <w:r>
        <w:t xml:space="preserve"> </w:t>
      </w:r>
      <w:r w:rsidR="00EF5EC1" w:rsidRPr="002D5ACB">
        <w:rPr>
          <w:rFonts w:ascii="Times New Roman" w:hAnsi="Times New Roman" w:cs="Times New Roman"/>
          <w:sz w:val="20"/>
          <w:szCs w:val="20"/>
        </w:rPr>
        <w:t xml:space="preserve">Max Fisher, “Lack of Chinese Approval for Import of U.S. Agricultural Products Containing </w:t>
      </w:r>
      <w:proofErr w:type="spellStart"/>
      <w:r w:rsidR="00EF5EC1" w:rsidRPr="002D5ACB">
        <w:rPr>
          <w:rFonts w:ascii="Times New Roman" w:hAnsi="Times New Roman" w:cs="Times New Roman"/>
          <w:sz w:val="20"/>
          <w:szCs w:val="20"/>
        </w:rPr>
        <w:t>Agrisure</w:t>
      </w:r>
      <w:proofErr w:type="spellEnd"/>
      <w:r w:rsidR="00EF5EC1" w:rsidRPr="002D5ACB">
        <w:rPr>
          <w:rFonts w:ascii="Times New Roman" w:hAnsi="Times New Roman" w:cs="Times New Roman"/>
          <w:sz w:val="20"/>
          <w:szCs w:val="20"/>
        </w:rPr>
        <w:t xml:space="preserve"> </w:t>
      </w:r>
      <w:proofErr w:type="spellStart"/>
      <w:r w:rsidR="00EF5EC1">
        <w:rPr>
          <w:rFonts w:ascii="Times New Roman" w:hAnsi="Times New Roman" w:cs="Times New Roman"/>
          <w:sz w:val="20"/>
          <w:szCs w:val="20"/>
        </w:rPr>
        <w:t>Viptera</w:t>
      </w:r>
      <w:proofErr w:type="spellEnd"/>
      <w:r w:rsidR="00EF5EC1" w:rsidRPr="002D5ACB">
        <w:rPr>
          <w:rFonts w:ascii="Times New Roman" w:hAnsi="Times New Roman" w:cs="Times New Roman"/>
          <w:sz w:val="20"/>
          <w:szCs w:val="20"/>
        </w:rPr>
        <w:t xml:space="preserve">™ MIR 162: A Case Study on Economic Impacts in Marketing Year 2013/14”, </w:t>
      </w:r>
      <w:r w:rsidR="00EF5EC1" w:rsidRPr="002D5ACB">
        <w:rPr>
          <w:rFonts w:ascii="Times New Roman" w:hAnsi="Times New Roman" w:cs="Times New Roman"/>
          <w:smallCaps/>
          <w:sz w:val="20"/>
          <w:szCs w:val="20"/>
        </w:rPr>
        <w:t xml:space="preserve">Nat’l Grain &amp; Feed </w:t>
      </w:r>
      <w:proofErr w:type="spellStart"/>
      <w:r w:rsidR="00EF5EC1" w:rsidRPr="002D5ACB">
        <w:rPr>
          <w:rFonts w:ascii="Times New Roman" w:hAnsi="Times New Roman" w:cs="Times New Roman"/>
          <w:smallCaps/>
          <w:sz w:val="20"/>
          <w:szCs w:val="20"/>
        </w:rPr>
        <w:t>Ass’n</w:t>
      </w:r>
      <w:proofErr w:type="spellEnd"/>
      <w:r w:rsidR="00EF5EC1" w:rsidRPr="002D5ACB">
        <w:rPr>
          <w:rFonts w:ascii="Times New Roman" w:hAnsi="Times New Roman" w:cs="Times New Roman"/>
          <w:smallCaps/>
          <w:sz w:val="20"/>
          <w:szCs w:val="20"/>
        </w:rPr>
        <w:t>,</w:t>
      </w:r>
      <w:r w:rsidR="00EF5EC1" w:rsidRPr="002D5ACB">
        <w:rPr>
          <w:rFonts w:ascii="Times New Roman" w:hAnsi="Times New Roman" w:cs="Times New Roman"/>
          <w:sz w:val="20"/>
          <w:szCs w:val="20"/>
        </w:rPr>
        <w:t xml:space="preserve"> April 16, 2014, </w:t>
      </w:r>
      <w:r w:rsidR="00EF5EC1" w:rsidRPr="002D5ACB">
        <w:rPr>
          <w:rStyle w:val="pxi"/>
          <w:i/>
          <w:iCs/>
          <w:sz w:val="20"/>
          <w:szCs w:val="20"/>
        </w:rPr>
        <w:t>available at</w:t>
      </w:r>
      <w:r w:rsidR="00EF5EC1" w:rsidRPr="002D5ACB">
        <w:rPr>
          <w:sz w:val="20"/>
          <w:szCs w:val="20"/>
        </w:rPr>
        <w:t xml:space="preserve"> </w:t>
      </w:r>
      <w:hyperlink r:id="rId3" w:history="1">
        <w:r w:rsidR="00EF5EC1" w:rsidRPr="002D5ACB">
          <w:rPr>
            <w:rStyle w:val="Hyperlink"/>
            <w:rFonts w:ascii="Times New Roman" w:hAnsi="Times New Roman" w:cs="Times New Roman"/>
            <w:sz w:val="20"/>
            <w:szCs w:val="20"/>
          </w:rPr>
          <w:t>http://ngfa.org/wp-content/uploads/Agrisure-Viptera-MIR-162-Case-Study-An-Economic-Impact-Analysis.pdf</w:t>
        </w:r>
      </w:hyperlink>
      <w:r w:rsidR="00EF5EC1" w:rsidRPr="002D5ACB">
        <w:rPr>
          <w:rFonts w:ascii="Times New Roman" w:hAnsi="Times New Roman" w:cs="Times New Roman"/>
          <w:sz w:val="20"/>
          <w:szCs w:val="20"/>
        </w:rPr>
        <w:t xml:space="preserve">. </w:t>
      </w:r>
      <w:r w:rsidR="00EF5EC1" w:rsidRPr="00FB37D9">
        <w:rPr>
          <w:sz w:val="20"/>
          <w:szCs w:val="20"/>
        </w:rPr>
        <w:t>(</w:t>
      </w:r>
      <w:proofErr w:type="gramStart"/>
      <w:r w:rsidR="00EF5EC1" w:rsidRPr="00FB37D9">
        <w:rPr>
          <w:sz w:val="20"/>
          <w:szCs w:val="20"/>
        </w:rPr>
        <w:t>visited</w:t>
      </w:r>
      <w:proofErr w:type="gramEnd"/>
      <w:r w:rsidR="00EF5EC1" w:rsidRPr="00FB37D9">
        <w:rPr>
          <w:sz w:val="20"/>
          <w:szCs w:val="20"/>
        </w:rPr>
        <w:t xml:space="preserve"> September 7, 2016).</w:t>
      </w:r>
    </w:p>
  </w:footnote>
  <w:footnote w:id="25">
    <w:p w14:paraId="76D2AC58" w14:textId="77777777" w:rsidR="00EF5EC1" w:rsidRDefault="00EF5EC1" w:rsidP="00EF5EC1">
      <w:pPr>
        <w:pStyle w:val="FootnoteText"/>
      </w:pPr>
      <w:r>
        <w:rPr>
          <w:rStyle w:val="FootnoteReference"/>
        </w:rPr>
        <w:footnoteRef/>
      </w:r>
      <w:r>
        <w:t xml:space="preserve"> In re Syngenta, 131 F. Supp. 3d at 1193-1207.</w:t>
      </w:r>
    </w:p>
  </w:footnote>
  <w:footnote w:id="26">
    <w:p w14:paraId="2464A068" w14:textId="2ADF57E0" w:rsidR="00FB37D9" w:rsidRDefault="00FB37D9">
      <w:pPr>
        <w:pStyle w:val="FootnoteText"/>
      </w:pPr>
      <w:r>
        <w:rPr>
          <w:rStyle w:val="FootnoteReference"/>
        </w:rPr>
        <w:footnoteRef/>
      </w:r>
      <w:r>
        <w:t xml:space="preserve"> </w:t>
      </w:r>
      <w:r w:rsidRPr="00602D6D">
        <w:t>Sample v. Monsanto Co., 283 Fed.Supp.2d 1088 (E.D. Mo. 2003</w:t>
      </w:r>
      <w:r>
        <w:t>) (summary judgment granted on economic loss defense).</w:t>
      </w:r>
    </w:p>
  </w:footnote>
  <w:footnote w:id="27">
    <w:p w14:paraId="7C1985FB" w14:textId="77777777" w:rsidR="00FB37D9" w:rsidRDefault="00FB37D9" w:rsidP="002E5A06">
      <w:pPr>
        <w:pStyle w:val="FootnoteText"/>
      </w:pPr>
      <w:r>
        <w:rPr>
          <w:rStyle w:val="FootnoteReference"/>
        </w:rPr>
        <w:footnoteRef/>
      </w:r>
      <w:r>
        <w:t xml:space="preserve"> </w:t>
      </w:r>
      <w:r>
        <w:rPr>
          <w:rStyle w:val="pxvis"/>
          <w:rFonts w:ascii="Times NewRoman" w:hAnsi="Times NewRoman" w:cstheme="minorBidi"/>
          <w:b w:val="0"/>
          <w:bCs w:val="0"/>
          <w:sz w:val="24"/>
          <w:szCs w:val="24"/>
        </w:rPr>
        <w:t>“</w:t>
      </w:r>
      <w:r w:rsidRPr="00AE66A7">
        <w:t>Washington Farmers Sue Monsanto over GMO Wheat,</w:t>
      </w:r>
      <w:r w:rsidRPr="00AE66A7">
        <w:rPr>
          <w:rStyle w:val="pxvis"/>
          <w:rFonts w:ascii="Times NewRoman" w:hAnsi="Times NewRoman" w:cstheme="minorBidi"/>
          <w:b w:val="0"/>
          <w:bCs w:val="0"/>
          <w:sz w:val="20"/>
          <w:szCs w:val="20"/>
        </w:rPr>
        <w:t>”</w:t>
      </w:r>
      <w:r w:rsidRPr="00AE66A7">
        <w:t xml:space="preserve"> Ins. Journal, June 10, 2013, </w:t>
      </w:r>
      <w:r w:rsidRPr="00AE66A7">
        <w:rPr>
          <w:rStyle w:val="pxurl"/>
          <w:sz w:val="20"/>
          <w:szCs w:val="20"/>
        </w:rPr>
        <w:fldChar w:fldCharType="begin"/>
      </w:r>
      <w:r w:rsidRPr="00AE66A7">
        <w:rPr>
          <w:rStyle w:val="pxurl"/>
          <w:sz w:val="20"/>
          <w:szCs w:val="20"/>
        </w:rPr>
        <w:instrText>url.ref.id="I00NTPC"</w:instrText>
      </w:r>
      <w:r w:rsidRPr="00AE66A7">
        <w:rPr>
          <w:rStyle w:val="pxurl"/>
          <w:sz w:val="20"/>
          <w:szCs w:val="20"/>
        </w:rPr>
        <w:fldChar w:fldCharType="end"/>
      </w:r>
      <w:r w:rsidRPr="00AE66A7">
        <w:rPr>
          <w:rStyle w:val="pxurl"/>
          <w:sz w:val="20"/>
          <w:szCs w:val="20"/>
        </w:rPr>
        <w:t>http://www.insurancejournal.com/news/west/2013/06/10/294881.htm</w:t>
      </w:r>
      <w:r w:rsidRPr="00AE66A7">
        <w:t>. (</w:t>
      </w:r>
      <w:proofErr w:type="gramStart"/>
      <w:r w:rsidRPr="00AE66A7">
        <w:t>last</w:t>
      </w:r>
      <w:proofErr w:type="gramEnd"/>
      <w:r w:rsidRPr="00AE66A7">
        <w:t xml:space="preserve"> visited June 10, 2015).</w:t>
      </w:r>
    </w:p>
  </w:footnote>
  <w:footnote w:id="28">
    <w:p w14:paraId="7A35DAC0" w14:textId="77777777" w:rsidR="00FB37D9" w:rsidRPr="00141F29" w:rsidRDefault="00FB37D9" w:rsidP="002E5A06">
      <w:pPr>
        <w:pStyle w:val="FootnoteText"/>
        <w:rPr>
          <w:sz w:val="24"/>
          <w:szCs w:val="24"/>
        </w:rPr>
      </w:pPr>
      <w:r w:rsidRPr="00141F29">
        <w:rPr>
          <w:rStyle w:val="FootnoteReference"/>
          <w:sz w:val="24"/>
          <w:szCs w:val="24"/>
        </w:rPr>
        <w:footnoteRef/>
      </w:r>
      <w:r w:rsidRPr="00141F29">
        <w:rPr>
          <w:sz w:val="24"/>
          <w:szCs w:val="24"/>
        </w:rPr>
        <w:t xml:space="preserve"> </w:t>
      </w:r>
      <w:r w:rsidRPr="00AE66A7">
        <w:t xml:space="preserve">Jan Omega, Monsanto Lose, </w:t>
      </w:r>
      <w:r w:rsidRPr="00AE66A7">
        <w:rPr>
          <w:i/>
        </w:rPr>
        <w:t>Will Pay $350,000 More to Settle More Wheat Lawsuits,</w:t>
      </w:r>
      <w:r w:rsidRPr="00AE66A7">
        <w:t xml:space="preserve"> Inquisitr (March 21, 2015) ohttp://ww</w:t>
      </w:r>
      <w:r>
        <w:t>--</w:t>
      </w:r>
      <w:r w:rsidRPr="00AE66A7">
        <w:t>w.inquisitr.com/1942875/monsanto-loses-will-pay-350k-to-settle-more-gm-wheat-lawsuits</w:t>
      </w:r>
      <w:r w:rsidRPr="00141F29">
        <w:rPr>
          <w:sz w:val="24"/>
          <w:szCs w:val="24"/>
        </w:rPr>
        <w:t>/</w:t>
      </w:r>
    </w:p>
  </w:footnote>
  <w:footnote w:id="29">
    <w:p w14:paraId="4EC4B190" w14:textId="40AC7398" w:rsidR="00FB37D9" w:rsidRDefault="00FB37D9">
      <w:pPr>
        <w:pStyle w:val="FootnoteText"/>
      </w:pPr>
      <w:r>
        <w:rPr>
          <w:rStyle w:val="FootnoteReference"/>
        </w:rPr>
        <w:footnoteRef/>
      </w:r>
      <w:r>
        <w:t xml:space="preserve"> Monsanto Statement </w:t>
      </w:r>
      <w:r w:rsidRPr="002E5A06">
        <w:t>o</w:t>
      </w:r>
      <w:r>
        <w:t xml:space="preserve">n Discovery of Glyphosate-tolerant Wheat Plants </w:t>
      </w:r>
      <w:r w:rsidRPr="002E5A06">
        <w:t>i</w:t>
      </w:r>
      <w:r>
        <w:t>n Washington S</w:t>
      </w:r>
      <w:r w:rsidRPr="002E5A06">
        <w:t>tate</w:t>
      </w:r>
      <w:r>
        <w:t>, Monsanto Blog, (August 5, 2016</w:t>
      </w:r>
      <w:r w:rsidR="003C34C0">
        <w:t xml:space="preserve">) </w:t>
      </w:r>
      <w:r w:rsidR="003C34C0" w:rsidRPr="002E5A06">
        <w:t>http://monsantoblog.com/2016/07/29/monsanto-statement-on-discovery-of-glyphosate-tolerant-wheat-plants-in-washington-state</w:t>
      </w:r>
      <w:proofErr w:type="gramStart"/>
      <w:r w:rsidR="003C34C0" w:rsidRPr="002E5A06">
        <w:t>/(</w:t>
      </w:r>
      <w:proofErr w:type="gramEnd"/>
      <w:r w:rsidR="003C34C0" w:rsidRPr="002E5A06">
        <w:t>last</w:t>
      </w:r>
      <w:r w:rsidRPr="00AE66A7">
        <w:t xml:space="preserve"> visited </w:t>
      </w:r>
      <w:r>
        <w:t>August 30, 2016).</w:t>
      </w:r>
    </w:p>
  </w:footnote>
  <w:footnote w:id="30">
    <w:p w14:paraId="548CA2A0" w14:textId="6B3AA444" w:rsidR="00FB37D9" w:rsidRPr="00792478" w:rsidRDefault="00FB37D9">
      <w:pPr>
        <w:pStyle w:val="FootnoteText"/>
      </w:pPr>
      <w:r w:rsidRPr="00792478">
        <w:rPr>
          <w:rStyle w:val="FootnoteReference"/>
        </w:rPr>
        <w:footnoteRef/>
      </w:r>
      <w:r w:rsidRPr="00792478">
        <w:t xml:space="preserve"> Id.</w:t>
      </w:r>
    </w:p>
  </w:footnote>
  <w:footnote w:id="31">
    <w:p w14:paraId="7C92169D" w14:textId="0A998B5E" w:rsidR="00FB37D9" w:rsidRDefault="00FB37D9">
      <w:pPr>
        <w:pStyle w:val="FootnoteText"/>
      </w:pPr>
      <w:r>
        <w:rPr>
          <w:rStyle w:val="FootnoteReference"/>
        </w:rPr>
        <w:footnoteRef/>
      </w:r>
      <w:r>
        <w:t xml:space="preserve"> </w:t>
      </w:r>
      <w:r w:rsidRPr="00D94620">
        <w:rPr>
          <w:rFonts w:ascii="Times New Roman" w:hAnsi="Times New Roman" w:cs="Times New Roman"/>
        </w:rPr>
        <w:t xml:space="preserve">Aziz </w:t>
      </w:r>
      <w:proofErr w:type="spellStart"/>
      <w:r w:rsidRPr="00D94620">
        <w:rPr>
          <w:rFonts w:ascii="Times New Roman" w:hAnsi="Times New Roman" w:cs="Times New Roman"/>
        </w:rPr>
        <w:t>Elbehri</w:t>
      </w:r>
      <w:proofErr w:type="spellEnd"/>
      <w:r w:rsidRPr="00D94620">
        <w:rPr>
          <w:rFonts w:ascii="Times New Roman" w:hAnsi="Times New Roman" w:cs="Times New Roman"/>
        </w:rPr>
        <w:t>, Biopharming</w:t>
      </w:r>
      <w:r w:rsidRPr="00D368EA">
        <w:rPr>
          <w:rFonts w:ascii="Times New Roman" w:hAnsi="Times New Roman" w:cs="Times New Roman"/>
        </w:rPr>
        <w:t xml:space="preserve"> and the food system: Examining the potential benefits and risks. </w:t>
      </w:r>
      <w:proofErr w:type="spellStart"/>
      <w:r w:rsidRPr="00D368EA">
        <w:rPr>
          <w:rFonts w:ascii="Times New Roman" w:hAnsi="Times New Roman" w:cs="Times New Roman"/>
        </w:rPr>
        <w:t>AgBioForum</w:t>
      </w:r>
      <w:proofErr w:type="spellEnd"/>
      <w:r w:rsidRPr="00D368EA">
        <w:rPr>
          <w:rFonts w:ascii="Times New Roman" w:hAnsi="Times New Roman" w:cs="Times New Roman"/>
        </w:rPr>
        <w:t>, 8(1), 18-25. (2005). Available on the World Wide Web: http://www.agbioforum.org.</w:t>
      </w:r>
      <w:r w:rsidRPr="00FB37D9">
        <w:t xml:space="preserve"> </w:t>
      </w:r>
      <w:r w:rsidRPr="002D5ACB">
        <w:t>(</w:t>
      </w:r>
      <w:proofErr w:type="gramStart"/>
      <w:r>
        <w:t>visited</w:t>
      </w:r>
      <w:proofErr w:type="gramEnd"/>
      <w:r>
        <w:t xml:space="preserve"> September 7, 2016).</w:t>
      </w:r>
    </w:p>
  </w:footnote>
  <w:footnote w:id="32">
    <w:p w14:paraId="447293D8" w14:textId="6A58C9BE" w:rsidR="00FB37D9" w:rsidRPr="000E650F" w:rsidRDefault="00FB37D9" w:rsidP="000E650F">
      <w:pPr>
        <w:widowControl/>
        <w:rPr>
          <w:sz w:val="20"/>
          <w:szCs w:val="20"/>
        </w:rPr>
      </w:pPr>
      <w:r w:rsidRPr="000E650F">
        <w:rPr>
          <w:rStyle w:val="FootnoteReference"/>
          <w:sz w:val="20"/>
          <w:szCs w:val="20"/>
        </w:rPr>
        <w:footnoteRef/>
      </w:r>
      <w:r w:rsidRPr="000E650F">
        <w:rPr>
          <w:sz w:val="20"/>
          <w:szCs w:val="20"/>
        </w:rPr>
        <w:t xml:space="preserve"> </w:t>
      </w:r>
      <w:r w:rsidRPr="000E650F">
        <w:rPr>
          <w:rFonts w:ascii="Times New Roman" w:hAnsi="Times New Roman" w:cs="Times New Roman"/>
          <w:i/>
          <w:iCs/>
          <w:sz w:val="20"/>
          <w:szCs w:val="20"/>
        </w:rPr>
        <w:t>Draft Guidance for APHIS Permits for Field Testing or Movement of Organisms with Pharmaceutical or Industrial Intent:</w:t>
      </w:r>
      <w:r w:rsidRPr="000E650F">
        <w:rPr>
          <w:sz w:val="20"/>
          <w:szCs w:val="20"/>
        </w:rPr>
        <w:t xml:space="preserve"> </w:t>
      </w:r>
      <w:r w:rsidRPr="000E650F">
        <w:rPr>
          <w:rFonts w:ascii="Times New Roman" w:hAnsi="Times New Roman" w:cs="Times New Roman"/>
          <w:i/>
          <w:iCs/>
          <w:sz w:val="20"/>
          <w:szCs w:val="20"/>
        </w:rPr>
        <w:t xml:space="preserve">Permit User’s Guide </w:t>
      </w:r>
      <w:proofErr w:type="gramStart"/>
      <w:r w:rsidRPr="000E650F">
        <w:rPr>
          <w:rFonts w:ascii="Times New Roman" w:hAnsi="Times New Roman" w:cs="Times New Roman"/>
          <w:i/>
          <w:iCs/>
          <w:sz w:val="20"/>
          <w:szCs w:val="20"/>
        </w:rPr>
        <w:t>With</w:t>
      </w:r>
      <w:proofErr w:type="gramEnd"/>
      <w:r w:rsidRPr="000E650F">
        <w:rPr>
          <w:rFonts w:ascii="Times New Roman" w:hAnsi="Times New Roman" w:cs="Times New Roman"/>
          <w:i/>
          <w:iCs/>
          <w:sz w:val="20"/>
          <w:szCs w:val="20"/>
        </w:rPr>
        <w:t xml:space="preserve"> Special Guidance for </w:t>
      </w:r>
      <w:proofErr w:type="spellStart"/>
      <w:r w:rsidRPr="000E650F">
        <w:rPr>
          <w:rFonts w:ascii="Times New Roman" w:hAnsi="Times New Roman" w:cs="Times New Roman"/>
          <w:i/>
          <w:iCs/>
          <w:sz w:val="20"/>
          <w:szCs w:val="20"/>
        </w:rPr>
        <w:t>ePermits</w:t>
      </w:r>
      <w:proofErr w:type="spellEnd"/>
      <w:r w:rsidRPr="000E650F">
        <w:rPr>
          <w:rFonts w:ascii="Times New Roman" w:hAnsi="Times New Roman" w:cs="Times New Roman"/>
          <w:i/>
          <w:iCs/>
          <w:sz w:val="20"/>
          <w:szCs w:val="20"/>
        </w:rPr>
        <w:t xml:space="preserve"> v. 3/7/2012</w:t>
      </w:r>
      <w:r w:rsidRPr="000E650F">
        <w:rPr>
          <w:rFonts w:ascii="Times New Roman" w:hAnsi="Times New Roman" w:cs="Times New Roman"/>
          <w:sz w:val="20"/>
          <w:szCs w:val="20"/>
        </w:rPr>
        <w:t>, (March 31, 2006) is available at http://www.aphis.usda.gov/brs/pdf/Pharma_Guidance.pdf.</w:t>
      </w:r>
      <w:r w:rsidRPr="00FB37D9">
        <w:t xml:space="preserve"> </w:t>
      </w:r>
      <w:r w:rsidRPr="00FB37D9">
        <w:rPr>
          <w:rFonts w:ascii="Times New Roman" w:hAnsi="Times New Roman" w:cs="Times New Roman"/>
          <w:sz w:val="20"/>
          <w:szCs w:val="20"/>
        </w:rPr>
        <w:t>(</w:t>
      </w:r>
      <w:proofErr w:type="gramStart"/>
      <w:r w:rsidRPr="00FB37D9">
        <w:rPr>
          <w:rFonts w:ascii="Times New Roman" w:hAnsi="Times New Roman" w:cs="Times New Roman"/>
          <w:sz w:val="20"/>
          <w:szCs w:val="20"/>
        </w:rPr>
        <w:t>visited</w:t>
      </w:r>
      <w:proofErr w:type="gramEnd"/>
      <w:r w:rsidRPr="00FB37D9">
        <w:rPr>
          <w:rFonts w:ascii="Times New Roman" w:hAnsi="Times New Roman" w:cs="Times New Roman"/>
          <w:sz w:val="20"/>
          <w:szCs w:val="20"/>
        </w:rPr>
        <w:t xml:space="preserve"> September 7, 2016).</w:t>
      </w:r>
    </w:p>
  </w:footnote>
  <w:footnote w:id="33">
    <w:p w14:paraId="76A912AA" w14:textId="3534E8A4" w:rsidR="00FB37D9" w:rsidRPr="00792478" w:rsidRDefault="00FB37D9" w:rsidP="003C5935">
      <w:pPr>
        <w:rPr>
          <w:sz w:val="20"/>
          <w:szCs w:val="20"/>
        </w:rPr>
      </w:pPr>
      <w:r w:rsidRPr="00792478">
        <w:rPr>
          <w:rStyle w:val="FootnoteReference"/>
          <w:sz w:val="20"/>
          <w:szCs w:val="20"/>
        </w:rPr>
        <w:footnoteRef/>
      </w:r>
      <w:r w:rsidRPr="00792478">
        <w:rPr>
          <w:sz w:val="20"/>
          <w:szCs w:val="20"/>
        </w:rPr>
        <w:t xml:space="preserve">  Nicholas </w:t>
      </w:r>
      <w:proofErr w:type="spellStart"/>
      <w:r w:rsidRPr="00792478">
        <w:rPr>
          <w:sz w:val="20"/>
          <w:szCs w:val="20"/>
        </w:rPr>
        <w:t>Kalaitzandonakes</w:t>
      </w:r>
      <w:proofErr w:type="spellEnd"/>
      <w:r w:rsidRPr="00792478">
        <w:rPr>
          <w:sz w:val="20"/>
          <w:szCs w:val="20"/>
        </w:rPr>
        <w:t xml:space="preserve">, The Economic Impacts of Asynchronous Authorizations and Low Level Presence: An </w:t>
      </w:r>
      <w:r w:rsidR="003C34C0" w:rsidRPr="00792478">
        <w:rPr>
          <w:sz w:val="20"/>
          <w:szCs w:val="20"/>
        </w:rPr>
        <w:t>Overview, International</w:t>
      </w:r>
      <w:r w:rsidRPr="00792478">
        <w:rPr>
          <w:sz w:val="20"/>
          <w:szCs w:val="20"/>
        </w:rPr>
        <w:t xml:space="preserve"> Food &amp; Agricultural Trade Policy Council (October, 2011) </w:t>
      </w:r>
      <w:hyperlink r:id="rId4" w:history="1">
        <w:r w:rsidRPr="00792478">
          <w:rPr>
            <w:rStyle w:val="Hyperlink"/>
            <w:sz w:val="20"/>
            <w:szCs w:val="20"/>
          </w:rPr>
          <w:t>http://www.agritrade.org/Publications/documents/LLPOverview.pdf</w:t>
        </w:r>
      </w:hyperlink>
      <w:r>
        <w:rPr>
          <w:rStyle w:val="Hyperlink"/>
          <w:sz w:val="20"/>
          <w:szCs w:val="20"/>
        </w:rPr>
        <w:t xml:space="preserve"> </w:t>
      </w:r>
    </w:p>
    <w:p w14:paraId="4F3DEBAF" w14:textId="4EB528DE" w:rsidR="00FB37D9" w:rsidRPr="00792478" w:rsidRDefault="00FB37D9" w:rsidP="003C5935">
      <w:pPr>
        <w:pStyle w:val="FootnoteText"/>
      </w:pPr>
      <w:r w:rsidRPr="002D5ACB">
        <w:t>(</w:t>
      </w:r>
      <w:proofErr w:type="gramStart"/>
      <w:r>
        <w:t>visited</w:t>
      </w:r>
      <w:proofErr w:type="gramEnd"/>
      <w:r>
        <w:t xml:space="preserve"> September 7, 2016).</w:t>
      </w:r>
    </w:p>
  </w:footnote>
  <w:footnote w:id="34">
    <w:p w14:paraId="6061634C" w14:textId="6B66499E" w:rsidR="00FB37D9" w:rsidRPr="002D5ACB" w:rsidRDefault="00FB37D9">
      <w:pPr>
        <w:pStyle w:val="FootnoteText"/>
      </w:pPr>
      <w:r w:rsidRPr="002D5ACB">
        <w:rPr>
          <w:rStyle w:val="FootnoteReference"/>
        </w:rPr>
        <w:footnoteRef/>
      </w:r>
      <w:r w:rsidRPr="002D5ACB">
        <w:t xml:space="preserve"> </w:t>
      </w:r>
      <w:r w:rsidRPr="002D5ACB">
        <w:rPr>
          <w:rStyle w:val="pxcc"/>
          <w:sz w:val="20"/>
          <w:szCs w:val="20"/>
        </w:rPr>
        <w:t xml:space="preserve">Monsanto Co. v. </w:t>
      </w:r>
      <w:proofErr w:type="spellStart"/>
      <w:r w:rsidRPr="002D5ACB">
        <w:rPr>
          <w:rStyle w:val="pxcc"/>
          <w:sz w:val="20"/>
          <w:szCs w:val="20"/>
        </w:rPr>
        <w:t>Geertson</w:t>
      </w:r>
      <w:proofErr w:type="spellEnd"/>
      <w:r w:rsidRPr="002D5ACB">
        <w:rPr>
          <w:rStyle w:val="pxcc"/>
          <w:sz w:val="20"/>
          <w:szCs w:val="20"/>
        </w:rPr>
        <w:t xml:space="preserve"> Seed Farms, 130 S. Ct. 2743, 177 L. Ed. 2d 461, 70 </w:t>
      </w:r>
      <w:proofErr w:type="spellStart"/>
      <w:r w:rsidRPr="002D5ACB">
        <w:rPr>
          <w:rStyle w:val="pxcc"/>
          <w:sz w:val="20"/>
          <w:szCs w:val="20"/>
        </w:rPr>
        <w:t>Env't</w:t>
      </w:r>
      <w:proofErr w:type="spellEnd"/>
      <w:r w:rsidRPr="002D5ACB">
        <w:rPr>
          <w:rStyle w:val="pxcc"/>
          <w:sz w:val="20"/>
          <w:szCs w:val="20"/>
        </w:rPr>
        <w:t xml:space="preserve">. Rep. </w:t>
      </w:r>
      <w:proofErr w:type="spellStart"/>
      <w:proofErr w:type="gramStart"/>
      <w:r w:rsidRPr="002D5ACB">
        <w:rPr>
          <w:rStyle w:val="pxcc"/>
          <w:sz w:val="20"/>
          <w:szCs w:val="20"/>
        </w:rPr>
        <w:t>Cas</w:t>
      </w:r>
      <w:proofErr w:type="spellEnd"/>
      <w:proofErr w:type="gramEnd"/>
      <w:r w:rsidRPr="002D5ACB">
        <w:rPr>
          <w:rStyle w:val="pxcc"/>
          <w:sz w:val="20"/>
          <w:szCs w:val="20"/>
        </w:rPr>
        <w:t>. (BNA) 1481 (2010)</w:t>
      </w:r>
      <w:r w:rsidRPr="002D5ACB">
        <w:t xml:space="preserve">. </w:t>
      </w:r>
      <w:r w:rsidRPr="002D5ACB">
        <w:rPr>
          <w:rStyle w:val="pxi"/>
          <w:i/>
          <w:iCs/>
          <w:sz w:val="20"/>
          <w:szCs w:val="20"/>
        </w:rPr>
        <w:t>See also,</w:t>
      </w:r>
      <w:r w:rsidRPr="002D5ACB">
        <w:t xml:space="preserve"> </w:t>
      </w:r>
      <w:r w:rsidRPr="002D5ACB">
        <w:rPr>
          <w:rStyle w:val="pxcc"/>
          <w:sz w:val="20"/>
          <w:szCs w:val="20"/>
        </w:rPr>
        <w:fldChar w:fldCharType="begin"/>
      </w:r>
      <w:r w:rsidRPr="002D5ACB">
        <w:rPr>
          <w:rStyle w:val="pxcc"/>
          <w:sz w:val="20"/>
          <w:szCs w:val="20"/>
        </w:rPr>
        <w:instrText>cc.ref.id="I03ZLWX"</w:instrText>
      </w:r>
      <w:r w:rsidRPr="002D5ACB">
        <w:rPr>
          <w:rStyle w:val="pxcc"/>
          <w:sz w:val="20"/>
          <w:szCs w:val="20"/>
        </w:rPr>
        <w:fldChar w:fldCharType="end"/>
      </w:r>
      <w:r w:rsidRPr="002D5ACB">
        <w:rPr>
          <w:rStyle w:val="pxcc"/>
          <w:sz w:val="20"/>
          <w:szCs w:val="20"/>
        </w:rPr>
        <w:t>Center for Food Safety v. Vilsack, 2009 WL 3047227 (N.D. Cal. 2009)</w:t>
      </w:r>
    </w:p>
  </w:footnote>
  <w:footnote w:id="35">
    <w:p w14:paraId="4A87682F" w14:textId="7E7AB9D1" w:rsidR="00FB37D9" w:rsidRPr="00F9274A" w:rsidRDefault="00FB37D9" w:rsidP="00742281">
      <w:pPr>
        <w:rPr>
          <w:vertAlign w:val="superscript"/>
        </w:rPr>
      </w:pPr>
      <w:r>
        <w:rPr>
          <w:rStyle w:val="FootnoteReference"/>
        </w:rPr>
        <w:footnoteRef/>
      </w:r>
      <w:r>
        <w:t xml:space="preserve"> </w:t>
      </w:r>
      <w:r w:rsidRPr="00AE66A7">
        <w:rPr>
          <w:sz w:val="20"/>
          <w:szCs w:val="20"/>
        </w:rPr>
        <w:t xml:space="preserve">USDA approved the Monsanto sugar beet without any restrictions on planting. </w:t>
      </w:r>
      <w:r w:rsidRPr="00AE66A7">
        <w:rPr>
          <w:rStyle w:val="pxi"/>
          <w:i/>
          <w:iCs/>
          <w:sz w:val="20"/>
          <w:szCs w:val="20"/>
        </w:rPr>
        <w:t>See</w:t>
      </w:r>
      <w:r w:rsidRPr="00AE66A7">
        <w:rPr>
          <w:sz w:val="20"/>
          <w:szCs w:val="20"/>
        </w:rPr>
        <w:t xml:space="preserve"> Animal and Plant Health Inspection Serv., U.S. Dep't of Agric., Glyphosate-Tolerant H7-1 Sugar Beet: Request for Nonregulated Status: Final Environmental Impact Statement (May 2012), </w:t>
      </w:r>
      <w:r w:rsidRPr="00AE66A7">
        <w:rPr>
          <w:rStyle w:val="pxi"/>
          <w:i/>
          <w:iCs/>
          <w:sz w:val="20"/>
          <w:szCs w:val="20"/>
        </w:rPr>
        <w:t>available at</w:t>
      </w:r>
      <w:r w:rsidRPr="00AE66A7">
        <w:rPr>
          <w:sz w:val="20"/>
          <w:szCs w:val="20"/>
        </w:rPr>
        <w:t xml:space="preserve"> </w:t>
      </w:r>
      <w:r w:rsidRPr="00AE66A7">
        <w:rPr>
          <w:rStyle w:val="pxurl"/>
          <w:sz w:val="20"/>
          <w:szCs w:val="20"/>
        </w:rPr>
        <w:fldChar w:fldCharType="begin"/>
      </w:r>
      <w:r w:rsidRPr="00AE66A7">
        <w:rPr>
          <w:rStyle w:val="pxurl"/>
          <w:sz w:val="20"/>
          <w:szCs w:val="20"/>
        </w:rPr>
        <w:instrText>url.ref.id="I00PIZ6"</w:instrText>
      </w:r>
      <w:r w:rsidRPr="00AE66A7">
        <w:rPr>
          <w:rStyle w:val="pxurl"/>
          <w:sz w:val="20"/>
          <w:szCs w:val="20"/>
        </w:rPr>
        <w:fldChar w:fldCharType="end"/>
      </w:r>
      <w:r w:rsidRPr="00AE66A7">
        <w:rPr>
          <w:rStyle w:val="pxurl"/>
          <w:sz w:val="20"/>
          <w:szCs w:val="20"/>
        </w:rPr>
        <w:t>http://www.aphis.usda.gov/brs/aphisdocs/03_32301p_feis_std.pdf</w:t>
      </w:r>
      <w:r w:rsidRPr="00AE66A7">
        <w:rPr>
          <w:sz w:val="20"/>
          <w:szCs w:val="20"/>
        </w:rPr>
        <w:t xml:space="preserve">. </w:t>
      </w:r>
      <w:r w:rsidRPr="00FB37D9">
        <w:rPr>
          <w:sz w:val="20"/>
          <w:szCs w:val="20"/>
        </w:rPr>
        <w:t>(</w:t>
      </w:r>
      <w:proofErr w:type="gramStart"/>
      <w:r w:rsidRPr="00FB37D9">
        <w:rPr>
          <w:sz w:val="20"/>
          <w:szCs w:val="20"/>
        </w:rPr>
        <w:t>visited</w:t>
      </w:r>
      <w:proofErr w:type="gramEnd"/>
      <w:r w:rsidRPr="00FB37D9">
        <w:rPr>
          <w:sz w:val="20"/>
          <w:szCs w:val="20"/>
        </w:rPr>
        <w:t xml:space="preserve"> September 7, 2016).</w:t>
      </w:r>
    </w:p>
    <w:p w14:paraId="47B4ABCA" w14:textId="77777777" w:rsidR="00FB37D9" w:rsidRDefault="00FB37D9" w:rsidP="00742281">
      <w:pPr>
        <w:pStyle w:val="FootnoteText"/>
      </w:pPr>
    </w:p>
  </w:footnote>
  <w:footnote w:id="36">
    <w:p w14:paraId="02C589D6" w14:textId="265976A7" w:rsidR="00FB37D9" w:rsidRPr="00EA664C" w:rsidRDefault="00FB37D9" w:rsidP="00BA7D74">
      <w:pPr>
        <w:pStyle w:val="FootnoteText"/>
        <w:rPr>
          <w:rFonts w:ascii="Times New Roman" w:hAnsi="Times New Roman"/>
        </w:rPr>
      </w:pPr>
      <w:r w:rsidRPr="00EA664C">
        <w:rPr>
          <w:rStyle w:val="FootnoteReference"/>
          <w:rFonts w:ascii="Times New Roman" w:hAnsi="Times New Roman"/>
        </w:rPr>
        <w:footnoteRef/>
      </w:r>
      <w:r w:rsidRPr="00EA664C">
        <w:rPr>
          <w:rFonts w:ascii="Times New Roman" w:hAnsi="Times New Roman"/>
        </w:rPr>
        <w:t xml:space="preserve"> Allison Peck, </w:t>
      </w:r>
      <w:r w:rsidRPr="00EA664C">
        <w:rPr>
          <w:rFonts w:ascii="Times New Roman" w:hAnsi="Times New Roman"/>
          <w:i/>
        </w:rPr>
        <w:t xml:space="preserve">Plant Biotechnology Law </w:t>
      </w:r>
      <w:proofErr w:type="gramStart"/>
      <w:r w:rsidRPr="00EA664C">
        <w:rPr>
          <w:rFonts w:ascii="Times New Roman" w:hAnsi="Times New Roman"/>
          <w:i/>
        </w:rPr>
        <w:t>After</w:t>
      </w:r>
      <w:proofErr w:type="gramEnd"/>
      <w:r w:rsidRPr="00EA664C">
        <w:rPr>
          <w:rFonts w:ascii="Times New Roman" w:hAnsi="Times New Roman"/>
          <w:i/>
        </w:rPr>
        <w:t xml:space="preserve"> </w:t>
      </w:r>
      <w:proofErr w:type="spellStart"/>
      <w:r w:rsidRPr="00EA664C">
        <w:rPr>
          <w:rFonts w:ascii="Times New Roman" w:hAnsi="Times New Roman"/>
        </w:rPr>
        <w:t>Geertson</w:t>
      </w:r>
      <w:proofErr w:type="spellEnd"/>
      <w:r w:rsidRPr="00EA664C">
        <w:rPr>
          <w:rFonts w:ascii="Times New Roman" w:hAnsi="Times New Roman"/>
        </w:rPr>
        <w:t xml:space="preserve"> Seed Farms</w:t>
      </w:r>
      <w:r w:rsidRPr="00EA664C">
        <w:rPr>
          <w:rFonts w:ascii="Times New Roman" w:hAnsi="Times New Roman"/>
          <w:i/>
        </w:rPr>
        <w:t>: Potential Impacts on Regulation, Liability, and Coexistence Measures</w:t>
      </w:r>
      <w:r w:rsidRPr="00EA664C">
        <w:rPr>
          <w:rFonts w:ascii="Times New Roman" w:hAnsi="Times New Roman"/>
        </w:rPr>
        <w:t>, N</w:t>
      </w:r>
      <w:r w:rsidRPr="00EA664C">
        <w:rPr>
          <w:rFonts w:ascii="Times New Roman" w:hAnsi="Times New Roman"/>
          <w:smallCaps/>
        </w:rPr>
        <w:t>at’l</w:t>
      </w:r>
      <w:r w:rsidRPr="00EA664C">
        <w:rPr>
          <w:rFonts w:ascii="Times New Roman" w:hAnsi="Times New Roman"/>
        </w:rPr>
        <w:t xml:space="preserve"> </w:t>
      </w:r>
      <w:proofErr w:type="spellStart"/>
      <w:r w:rsidRPr="00EA664C">
        <w:rPr>
          <w:rFonts w:ascii="Times New Roman" w:hAnsi="Times New Roman"/>
        </w:rPr>
        <w:t>A</w:t>
      </w:r>
      <w:r w:rsidRPr="00EA664C">
        <w:rPr>
          <w:rFonts w:ascii="Times New Roman" w:hAnsi="Times New Roman"/>
          <w:smallCaps/>
        </w:rPr>
        <w:t>g</w:t>
      </w:r>
      <w:r w:rsidRPr="00EA664C">
        <w:rPr>
          <w:rFonts w:ascii="Times New Roman" w:hAnsi="Times New Roman"/>
        </w:rPr>
        <w:t>L</w:t>
      </w:r>
      <w:r w:rsidRPr="00EA664C">
        <w:rPr>
          <w:rFonts w:ascii="Times New Roman" w:hAnsi="Times New Roman"/>
          <w:smallCaps/>
        </w:rPr>
        <w:t>aw</w:t>
      </w:r>
      <w:proofErr w:type="spellEnd"/>
      <w:r w:rsidRPr="00EA664C">
        <w:rPr>
          <w:rFonts w:ascii="Times New Roman" w:hAnsi="Times New Roman"/>
        </w:rPr>
        <w:t xml:space="preserve"> C</w:t>
      </w:r>
      <w:r w:rsidRPr="00EA664C">
        <w:rPr>
          <w:rFonts w:ascii="Times New Roman" w:hAnsi="Times New Roman"/>
          <w:smallCaps/>
        </w:rPr>
        <w:t>tr. 1</w:t>
      </w:r>
      <w:r w:rsidRPr="00EA664C">
        <w:rPr>
          <w:rFonts w:ascii="Times New Roman" w:hAnsi="Times New Roman"/>
        </w:rPr>
        <w:t xml:space="preserve">1 (2008), </w:t>
      </w:r>
      <w:r w:rsidRPr="00EA664C">
        <w:rPr>
          <w:rFonts w:ascii="Times New Roman" w:hAnsi="Times New Roman"/>
          <w:i/>
        </w:rPr>
        <w:t xml:space="preserve">available at </w:t>
      </w:r>
      <w:hyperlink r:id="rId5" w:history="1">
        <w:r w:rsidRPr="0002187F">
          <w:rPr>
            <w:rStyle w:val="Hyperlink"/>
            <w:rFonts w:ascii="Times New Roman" w:hAnsi="Times New Roman"/>
          </w:rPr>
          <w:t>http://nationalaglawcenter.org/wp-content/uploads/assets/articles/peck_aftergeertson.pdf</w:t>
        </w:r>
      </w:hyperlink>
      <w:r w:rsidRPr="00EA664C">
        <w:rPr>
          <w:rFonts w:ascii="Times New Roman" w:hAnsi="Times New Roman"/>
        </w:rPr>
        <w:t>.</w:t>
      </w:r>
      <w:r>
        <w:rPr>
          <w:rFonts w:ascii="Times New Roman" w:hAnsi="Times New Roman"/>
        </w:rPr>
        <w:t xml:space="preserve"> </w:t>
      </w:r>
      <w:r w:rsidRPr="002D5ACB">
        <w:t>(</w:t>
      </w:r>
      <w:proofErr w:type="gramStart"/>
      <w:r>
        <w:t>visited</w:t>
      </w:r>
      <w:proofErr w:type="gramEnd"/>
      <w:r>
        <w:t xml:space="preserve"> September 7, 2016).</w:t>
      </w:r>
    </w:p>
  </w:footnote>
  <w:footnote w:id="37">
    <w:p w14:paraId="7C4CA1BE" w14:textId="7AAA1D85" w:rsidR="00FB37D9" w:rsidRPr="00B728AB" w:rsidRDefault="00FB37D9" w:rsidP="00742281">
      <w:pPr>
        <w:pStyle w:val="FootnoteText"/>
        <w:rPr>
          <w:rFonts w:ascii="Times New Roman" w:hAnsi="Times New Roman"/>
          <w:sz w:val="24"/>
          <w:szCs w:val="24"/>
        </w:rPr>
      </w:pPr>
      <w:r w:rsidRPr="00B728AB">
        <w:rPr>
          <w:rStyle w:val="FootnoteReference"/>
          <w:rFonts w:ascii="Times New Roman" w:hAnsi="Times New Roman"/>
          <w:sz w:val="24"/>
          <w:szCs w:val="24"/>
        </w:rPr>
        <w:footnoteRef/>
      </w:r>
      <w:r w:rsidRPr="00B728AB">
        <w:rPr>
          <w:rFonts w:ascii="Times New Roman" w:hAnsi="Times New Roman"/>
          <w:sz w:val="24"/>
          <w:szCs w:val="24"/>
        </w:rPr>
        <w:t xml:space="preserve"> </w:t>
      </w:r>
      <w:r w:rsidRPr="00FB37D9">
        <w:rPr>
          <w:rFonts w:ascii="Times New Roman" w:hAnsi="Times New Roman"/>
          <w:smallCaps/>
        </w:rPr>
        <w:t>P</w:t>
      </w:r>
      <w:r w:rsidRPr="00FB37D9">
        <w:rPr>
          <w:rFonts w:ascii="Times New Roman" w:hAnsi="Times New Roman"/>
        </w:rPr>
        <w:t>eck</w:t>
      </w:r>
      <w:r w:rsidRPr="00FB37D9">
        <w:rPr>
          <w:rFonts w:ascii="Times New Roman" w:hAnsi="Times New Roman"/>
          <w:smallCaps/>
        </w:rPr>
        <w:t xml:space="preserve">, </w:t>
      </w:r>
      <w:r w:rsidRPr="00FB37D9">
        <w:rPr>
          <w:rFonts w:ascii="Times New Roman" w:hAnsi="Times New Roman"/>
          <w:i/>
        </w:rPr>
        <w:t>supra</w:t>
      </w:r>
      <w:r w:rsidRPr="00FB37D9">
        <w:rPr>
          <w:rFonts w:ascii="Times New Roman" w:hAnsi="Times New Roman"/>
        </w:rPr>
        <w:t xml:space="preserve"> note 36, at</w:t>
      </w:r>
      <w:r w:rsidRPr="00FB37D9">
        <w:rPr>
          <w:rFonts w:ascii="Times New Roman" w:hAnsi="Times New Roman"/>
          <w:smallCaps/>
        </w:rPr>
        <w:t xml:space="preserve"> 9, 12</w:t>
      </w:r>
      <w:r w:rsidRPr="00FB37D9">
        <w:rPr>
          <w:rFonts w:ascii="Times New Roman" w:hAnsi="Times New Roman"/>
        </w:rPr>
        <w:t>.</w:t>
      </w:r>
      <w:r w:rsidRPr="00B728AB">
        <w:rPr>
          <w:rFonts w:ascii="Times New Roman" w:hAnsi="Times New Roman"/>
          <w:sz w:val="24"/>
          <w:szCs w:val="24"/>
        </w:rPr>
        <w:t xml:space="preserve"> </w:t>
      </w:r>
    </w:p>
  </w:footnote>
  <w:footnote w:id="38">
    <w:p w14:paraId="1F47620E" w14:textId="77777777" w:rsidR="00FB37D9" w:rsidRPr="00FB37D9" w:rsidRDefault="00FB37D9" w:rsidP="00742281">
      <w:pPr>
        <w:pStyle w:val="FootnoteText"/>
        <w:rPr>
          <w:rFonts w:ascii="Times New Roman" w:hAnsi="Times New Roman"/>
        </w:rPr>
      </w:pPr>
      <w:r w:rsidRPr="00FB37D9">
        <w:rPr>
          <w:rStyle w:val="FootnoteReference"/>
          <w:rFonts w:ascii="Times New Roman" w:hAnsi="Times New Roman"/>
        </w:rPr>
        <w:footnoteRef/>
      </w:r>
      <w:r w:rsidRPr="00FB37D9">
        <w:rPr>
          <w:rFonts w:ascii="Times New Roman" w:hAnsi="Times New Roman"/>
        </w:rPr>
        <w:t xml:space="preserve"> </w:t>
      </w:r>
      <w:r w:rsidRPr="00FB37D9">
        <w:rPr>
          <w:rFonts w:ascii="Times New Roman" w:hAnsi="Times New Roman"/>
          <w:i/>
        </w:rPr>
        <w:t xml:space="preserve">Id. </w:t>
      </w:r>
      <w:r w:rsidRPr="00FB37D9">
        <w:rPr>
          <w:rFonts w:ascii="Times New Roman" w:hAnsi="Times New Roman"/>
        </w:rPr>
        <w:t>at</w:t>
      </w:r>
      <w:r w:rsidRPr="00FB37D9">
        <w:rPr>
          <w:rFonts w:ascii="Times New Roman" w:hAnsi="Times New Roman"/>
          <w:smallCaps/>
        </w:rPr>
        <w:t xml:space="preserve"> 12</w:t>
      </w:r>
    </w:p>
  </w:footnote>
  <w:footnote w:id="39">
    <w:p w14:paraId="6AAB263F" w14:textId="3CD43089" w:rsidR="00FB37D9" w:rsidRPr="00B728AB" w:rsidRDefault="00FB37D9" w:rsidP="00742281">
      <w:pPr>
        <w:pStyle w:val="FootnoteText"/>
        <w:rPr>
          <w:rFonts w:ascii="Times New Roman" w:hAnsi="Times New Roman"/>
          <w:sz w:val="24"/>
          <w:szCs w:val="24"/>
        </w:rPr>
      </w:pPr>
      <w:r w:rsidRPr="00FB37D9">
        <w:rPr>
          <w:rStyle w:val="FootnoteReference"/>
          <w:rFonts w:ascii="Times New Roman" w:hAnsi="Times New Roman"/>
        </w:rPr>
        <w:footnoteRef/>
      </w:r>
      <w:r w:rsidRPr="00FB37D9">
        <w:rPr>
          <w:rFonts w:ascii="Times New Roman" w:hAnsi="Times New Roman"/>
        </w:rPr>
        <w:t xml:space="preserve"> </w:t>
      </w:r>
      <w:r w:rsidRPr="00FB37D9">
        <w:rPr>
          <w:rFonts w:ascii="Times New Roman" w:hAnsi="Times New Roman"/>
          <w:i/>
        </w:rPr>
        <w:t xml:space="preserve">Id. </w:t>
      </w:r>
      <w:r w:rsidRPr="00FB37D9">
        <w:rPr>
          <w:rFonts w:ascii="Times New Roman" w:hAnsi="Times New Roman"/>
        </w:rPr>
        <w:t>at 9.</w:t>
      </w:r>
      <w:r>
        <w:rPr>
          <w:rFonts w:ascii="Times New Roman" w:hAnsi="Times New Roman"/>
          <w:sz w:val="24"/>
          <w:szCs w:val="24"/>
        </w:rPr>
        <w:t xml:space="preserve"> </w:t>
      </w:r>
    </w:p>
  </w:footnote>
  <w:footnote w:id="40">
    <w:p w14:paraId="7D267481" w14:textId="6798E3C6" w:rsidR="00FB37D9" w:rsidRDefault="00FB37D9">
      <w:pPr>
        <w:pStyle w:val="FootnoteText"/>
      </w:pPr>
      <w:r w:rsidRPr="00EA664C">
        <w:rPr>
          <w:rStyle w:val="FootnoteReference"/>
        </w:rPr>
        <w:footnoteRef/>
      </w:r>
      <w:r w:rsidRPr="00EA664C">
        <w:t xml:space="preserve"> </w:t>
      </w:r>
      <w:r w:rsidRPr="00E57B95">
        <w:t>Marsh v. Baxter</w:t>
      </w:r>
      <w:r>
        <w:t xml:space="preserve">, </w:t>
      </w:r>
      <w:r w:rsidRPr="00AD4B0F">
        <w:t>WASC 187 (CIV 1561 of 2012)</w:t>
      </w:r>
      <w:r>
        <w:t xml:space="preserve">(2014); See also </w:t>
      </w:r>
      <w:r w:rsidRPr="00AD4B0F">
        <w:t>Rachae</w:t>
      </w:r>
      <w:r>
        <w:t xml:space="preserve">l </w:t>
      </w:r>
      <w:proofErr w:type="spellStart"/>
      <w:r>
        <w:t>Oxborrow</w:t>
      </w:r>
      <w:proofErr w:type="spellEnd"/>
      <w:r>
        <w:t xml:space="preserve">, </w:t>
      </w:r>
      <w:r w:rsidRPr="00AD4B0F">
        <w:t>Marsh v Baxter: Organic farmer loses appeal, ordered to pay $800,000 as pleas grow for farm ‘co-existence</w:t>
      </w:r>
      <w:r>
        <w:t xml:space="preserve">, </w:t>
      </w:r>
      <w:r w:rsidRPr="00AD4B0F">
        <w:t>Farm Weekly</w:t>
      </w:r>
      <w:r>
        <w:t xml:space="preserve">, (September 3, 2015)  </w:t>
      </w:r>
      <w:hyperlink r:id="rId6" w:history="1">
        <w:r w:rsidRPr="0002187F">
          <w:rPr>
            <w:rStyle w:val="Hyperlink"/>
          </w:rPr>
          <w:t>https://www.geneticliteracyproject.org/2015/09/03/marsh-v-baxter-organic-farmer-loses-appeal-ordered-pay-800000-pleas-grow-farm-co-existence/</w:t>
        </w:r>
      </w:hyperlink>
      <w:r>
        <w:t xml:space="preserve"> (visited September 7, 2016).</w:t>
      </w:r>
    </w:p>
  </w:footnote>
  <w:footnote w:id="41">
    <w:p w14:paraId="6D468CE8" w14:textId="48934DAB" w:rsidR="00FB37D9" w:rsidRPr="00742281" w:rsidRDefault="00FB37D9" w:rsidP="00742281">
      <w:pPr>
        <w:pStyle w:val="FootnoteText"/>
        <w:rPr>
          <w:rFonts w:ascii="Times New Roman" w:hAnsi="Times New Roman"/>
        </w:rPr>
      </w:pPr>
      <w:r w:rsidRPr="00742281">
        <w:rPr>
          <w:rStyle w:val="FootnoteReference"/>
          <w:rFonts w:ascii="Times New Roman" w:hAnsi="Times New Roman"/>
        </w:rPr>
        <w:footnoteRef/>
      </w:r>
      <w:r w:rsidRPr="00742281">
        <w:rPr>
          <w:rFonts w:ascii="Times New Roman" w:hAnsi="Times New Roman"/>
        </w:rPr>
        <w:t xml:space="preserve"> USDA, </w:t>
      </w:r>
      <w:r w:rsidRPr="00742281">
        <w:rPr>
          <w:rFonts w:ascii="Times New Roman" w:hAnsi="Times New Roman"/>
          <w:smallCaps/>
        </w:rPr>
        <w:t>Advisory Committee on Biotechnology &amp; 21</w:t>
      </w:r>
      <w:r w:rsidRPr="00742281">
        <w:rPr>
          <w:rFonts w:ascii="Times New Roman" w:hAnsi="Times New Roman"/>
          <w:smallCaps/>
          <w:vertAlign w:val="superscript"/>
        </w:rPr>
        <w:t>st</w:t>
      </w:r>
      <w:r w:rsidRPr="00742281">
        <w:rPr>
          <w:rFonts w:ascii="Times New Roman" w:hAnsi="Times New Roman"/>
          <w:smallCaps/>
        </w:rPr>
        <w:t xml:space="preserve"> Century Agriculture</w:t>
      </w:r>
      <w:r w:rsidRPr="00742281">
        <w:rPr>
          <w:rFonts w:ascii="Times New Roman" w:hAnsi="Times New Roman"/>
          <w:i/>
          <w:smallCaps/>
        </w:rPr>
        <w:t xml:space="preserve"> </w:t>
      </w:r>
      <w:r w:rsidRPr="00742281">
        <w:rPr>
          <w:rFonts w:ascii="Times New Roman" w:hAnsi="Times New Roman"/>
          <w:smallCaps/>
        </w:rPr>
        <w:t>(AC21)</w:t>
      </w:r>
      <w:r w:rsidRPr="00742281">
        <w:rPr>
          <w:rFonts w:ascii="Times New Roman" w:hAnsi="Times New Roman"/>
        </w:rPr>
        <w:t>, P</w:t>
      </w:r>
      <w:r w:rsidRPr="00742281">
        <w:rPr>
          <w:rFonts w:ascii="Times New Roman" w:hAnsi="Times New Roman"/>
          <w:smallCaps/>
        </w:rPr>
        <w:t>lenary Meeting, Draft Meeting Summary-Version 1, 1 (S</w:t>
      </w:r>
      <w:r w:rsidRPr="00742281">
        <w:rPr>
          <w:rFonts w:ascii="Times New Roman" w:hAnsi="Times New Roman"/>
        </w:rPr>
        <w:t xml:space="preserve">ept. 9, 2011), </w:t>
      </w:r>
      <w:r w:rsidRPr="00742281">
        <w:rPr>
          <w:rFonts w:ascii="Times New Roman" w:hAnsi="Times New Roman"/>
          <w:i/>
        </w:rPr>
        <w:t>available at</w:t>
      </w:r>
      <w:r w:rsidRPr="00742281">
        <w:rPr>
          <w:rFonts w:ascii="Times New Roman" w:hAnsi="Times New Roman"/>
        </w:rPr>
        <w:t xml:space="preserve">  </w:t>
      </w:r>
      <w:hyperlink r:id="rId7" w:history="1">
        <w:r w:rsidRPr="00742281">
          <w:rPr>
            <w:rStyle w:val="Hyperlink"/>
            <w:rFonts w:ascii="Times New Roman" w:hAnsi="Times New Roman"/>
          </w:rPr>
          <w:t>http://www.usda.gov/wps/portal/usda/usdahome?navid=BIOTECH_AC21&amp;navtype=RT&amp;parentnav=BIOTECH</w:t>
        </w:r>
      </w:hyperlink>
      <w:r w:rsidRPr="004659BF">
        <w:t xml:space="preserve"> </w:t>
      </w:r>
      <w:r w:rsidRPr="002D5ACB">
        <w:t>(</w:t>
      </w:r>
      <w:r>
        <w:t>visited September 7, 2016).</w:t>
      </w:r>
    </w:p>
  </w:footnote>
  <w:footnote w:id="42">
    <w:p w14:paraId="4698812A" w14:textId="77777777" w:rsidR="00FB37D9" w:rsidRPr="00742281" w:rsidRDefault="00FB37D9" w:rsidP="00742281">
      <w:pPr>
        <w:pStyle w:val="FootnoteText"/>
        <w:rPr>
          <w:rFonts w:ascii="Times New Roman" w:hAnsi="Times New Roman"/>
        </w:rPr>
      </w:pPr>
      <w:r w:rsidRPr="00742281">
        <w:rPr>
          <w:rStyle w:val="FootnoteReference"/>
          <w:rFonts w:ascii="Times New Roman" w:hAnsi="Times New Roman"/>
        </w:rPr>
        <w:footnoteRef/>
      </w:r>
      <w:r w:rsidRPr="00742281">
        <w:rPr>
          <w:rFonts w:ascii="Times New Roman" w:hAnsi="Times New Roman"/>
        </w:rPr>
        <w:t xml:space="preserve"> </w:t>
      </w:r>
      <w:r w:rsidRPr="00742281">
        <w:rPr>
          <w:rFonts w:ascii="Times New Roman" w:hAnsi="Times New Roman"/>
          <w:i/>
        </w:rPr>
        <w:t>Id.</w:t>
      </w:r>
      <w:r w:rsidRPr="00742281">
        <w:rPr>
          <w:rFonts w:ascii="Times New Roman" w:hAnsi="Times New Roman"/>
        </w:rPr>
        <w:t xml:space="preserve"> at 2.</w:t>
      </w:r>
    </w:p>
  </w:footnote>
  <w:footnote w:id="43">
    <w:p w14:paraId="639FFCDA" w14:textId="5ED5953E" w:rsidR="00FB37D9" w:rsidRPr="00742281" w:rsidRDefault="00FB37D9" w:rsidP="00742281">
      <w:pPr>
        <w:pStyle w:val="FootnoteText"/>
        <w:rPr>
          <w:rFonts w:ascii="Times New Roman" w:hAnsi="Times New Roman"/>
        </w:rPr>
      </w:pPr>
      <w:r w:rsidRPr="00742281">
        <w:rPr>
          <w:rStyle w:val="FootnoteReference"/>
          <w:rFonts w:ascii="Times New Roman" w:hAnsi="Times New Roman"/>
        </w:rPr>
        <w:footnoteRef/>
      </w:r>
      <w:r w:rsidRPr="00742281">
        <w:rPr>
          <w:rFonts w:ascii="Times New Roman" w:hAnsi="Times New Roman"/>
          <w:i/>
        </w:rPr>
        <w:t xml:space="preserve"> See </w:t>
      </w:r>
      <w:r w:rsidRPr="00742281">
        <w:rPr>
          <w:rFonts w:ascii="Times New Roman" w:hAnsi="Times New Roman"/>
        </w:rPr>
        <w:t xml:space="preserve"> </w:t>
      </w:r>
      <w:r w:rsidRPr="00742281">
        <w:rPr>
          <w:rFonts w:ascii="Times New Roman" w:hAnsi="Times New Roman"/>
          <w:smallCaps/>
        </w:rPr>
        <w:t>Enhancing Coexistence: A Report of the AC21 to the Secretary of Agriculture</w:t>
      </w:r>
      <w:r w:rsidRPr="00742281">
        <w:rPr>
          <w:rFonts w:ascii="Times New Roman" w:hAnsi="Times New Roman"/>
        </w:rPr>
        <w:t xml:space="preserve">, </w:t>
      </w:r>
      <w:r w:rsidRPr="00742281">
        <w:rPr>
          <w:rFonts w:ascii="Times New Roman" w:hAnsi="Times New Roman"/>
          <w:i/>
        </w:rPr>
        <w:t xml:space="preserve">supra </w:t>
      </w:r>
      <w:r w:rsidRPr="00742281">
        <w:rPr>
          <w:rFonts w:ascii="Times New Roman" w:hAnsi="Times New Roman"/>
        </w:rPr>
        <w:t xml:space="preserve">note 38; </w:t>
      </w:r>
      <w:r w:rsidRPr="00742281">
        <w:rPr>
          <w:rFonts w:ascii="Times New Roman" w:hAnsi="Times New Roman"/>
          <w:i/>
        </w:rPr>
        <w:t>see also</w:t>
      </w:r>
      <w:r w:rsidRPr="00742281">
        <w:rPr>
          <w:rFonts w:ascii="Times New Roman" w:hAnsi="Times New Roman"/>
        </w:rPr>
        <w:t xml:space="preserve">, Johnathan </w:t>
      </w:r>
      <w:proofErr w:type="spellStart"/>
      <w:r w:rsidRPr="00742281">
        <w:rPr>
          <w:rFonts w:ascii="Times New Roman" w:hAnsi="Times New Roman"/>
        </w:rPr>
        <w:t>Hladik</w:t>
      </w:r>
      <w:proofErr w:type="spellEnd"/>
      <w:r w:rsidRPr="00742281">
        <w:rPr>
          <w:rFonts w:ascii="Times New Roman" w:hAnsi="Times New Roman"/>
        </w:rPr>
        <w:t xml:space="preserve">, Ctr. for Rural Affairs, Connect the Dots:  Transmission and Rural Communities 18 (2011), </w:t>
      </w:r>
      <w:r w:rsidRPr="00742281">
        <w:rPr>
          <w:rFonts w:ascii="Times New Roman" w:hAnsi="Times New Roman"/>
          <w:i/>
        </w:rPr>
        <w:t xml:space="preserve">available at </w:t>
      </w:r>
      <w:r w:rsidRPr="00742281">
        <w:rPr>
          <w:rFonts w:ascii="Times New Roman" w:hAnsi="Times New Roman"/>
        </w:rPr>
        <w:t xml:space="preserve">http://www.cfra.org/files/Connect-the-Dots.pdf; </w:t>
      </w:r>
      <w:r w:rsidRPr="00742281">
        <w:rPr>
          <w:rFonts w:ascii="Times New Roman" w:hAnsi="Times New Roman"/>
          <w:i/>
        </w:rPr>
        <w:t>see also</w:t>
      </w:r>
      <w:r w:rsidRPr="00742281">
        <w:rPr>
          <w:rFonts w:ascii="Times New Roman" w:hAnsi="Times New Roman"/>
        </w:rPr>
        <w:t xml:space="preserve">, </w:t>
      </w:r>
      <w:r w:rsidRPr="00742281">
        <w:rPr>
          <w:rFonts w:ascii="Times New Roman" w:hAnsi="Times New Roman"/>
          <w:smallCaps/>
        </w:rPr>
        <w:t xml:space="preserve">A. Bryan </w:t>
      </w:r>
      <w:proofErr w:type="spellStart"/>
      <w:r w:rsidRPr="00742281">
        <w:rPr>
          <w:rFonts w:ascii="Times New Roman" w:hAnsi="Times New Roman"/>
          <w:smallCaps/>
        </w:rPr>
        <w:t>Endres</w:t>
      </w:r>
      <w:proofErr w:type="spellEnd"/>
      <w:r w:rsidRPr="00742281">
        <w:rPr>
          <w:rFonts w:ascii="Times New Roman" w:hAnsi="Times New Roman"/>
          <w:smallCaps/>
        </w:rPr>
        <w:t xml:space="preserve"> &amp; Rachel H. Armstrong, Iowa Direct Farm Business:  A Legal Guide to Market Access</w:t>
      </w:r>
      <w:r w:rsidRPr="00742281">
        <w:rPr>
          <w:rFonts w:ascii="Times New Roman" w:hAnsi="Times New Roman"/>
          <w:i/>
        </w:rPr>
        <w:t xml:space="preserve"> </w:t>
      </w:r>
      <w:r w:rsidRPr="00742281">
        <w:rPr>
          <w:rFonts w:ascii="Times New Roman" w:hAnsi="Times New Roman"/>
        </w:rPr>
        <w:t xml:space="preserve">31–33 (2013), </w:t>
      </w:r>
      <w:r w:rsidRPr="00742281">
        <w:rPr>
          <w:rFonts w:ascii="Times New Roman" w:hAnsi="Times New Roman"/>
          <w:i/>
        </w:rPr>
        <w:t>available at</w:t>
      </w:r>
      <w:r w:rsidRPr="00742281">
        <w:rPr>
          <w:rFonts w:ascii="Times New Roman" w:hAnsi="Times New Roman"/>
        </w:rPr>
        <w:t xml:space="preserve"> </w:t>
      </w:r>
      <w:hyperlink r:id="rId8" w:history="1">
        <w:r w:rsidRPr="00742281">
          <w:rPr>
            <w:rStyle w:val="Hyperlink"/>
            <w:rFonts w:ascii="Times New Roman" w:hAnsi="Times New Roman"/>
          </w:rPr>
          <w:t>http://new.nationalaglawcenter.org/wp-content/uploads/assets/articles/IAdirectfarm.pdf</w:t>
        </w:r>
      </w:hyperlink>
      <w:r w:rsidRPr="00742281">
        <w:rPr>
          <w:rFonts w:ascii="Times New Roman" w:hAnsi="Times New Roman"/>
        </w:rPr>
        <w:t xml:space="preserve"> (referencing Iowa laws that will govern the issue). (</w:t>
      </w:r>
      <w:proofErr w:type="gramStart"/>
      <w:r>
        <w:rPr>
          <w:rFonts w:ascii="Times New Roman" w:hAnsi="Times New Roman"/>
        </w:rPr>
        <w:t>visited</w:t>
      </w:r>
      <w:proofErr w:type="gramEnd"/>
      <w:r>
        <w:rPr>
          <w:rFonts w:ascii="Times New Roman" w:hAnsi="Times New Roman"/>
        </w:rPr>
        <w:t xml:space="preserve"> Sept. 7. 2016</w:t>
      </w:r>
      <w:r w:rsidRPr="00742281">
        <w:rPr>
          <w:rFonts w:ascii="Times New Roman" w:hAnsi="Times New Roman"/>
        </w:rPr>
        <w:t>).</w:t>
      </w:r>
    </w:p>
  </w:footnote>
  <w:footnote w:id="44">
    <w:p w14:paraId="0BB413CF" w14:textId="11404030" w:rsidR="00FB37D9" w:rsidRPr="00742281" w:rsidRDefault="00FB37D9" w:rsidP="00742281">
      <w:pPr>
        <w:pStyle w:val="FootnoteText"/>
        <w:rPr>
          <w:rFonts w:ascii="Times New Roman" w:hAnsi="Times New Roman"/>
        </w:rPr>
      </w:pPr>
      <w:r w:rsidRPr="00742281">
        <w:rPr>
          <w:rStyle w:val="FootnoteReference"/>
          <w:rFonts w:ascii="Times New Roman" w:hAnsi="Times New Roman"/>
        </w:rPr>
        <w:footnoteRef/>
      </w:r>
      <w:r w:rsidRPr="00742281">
        <w:rPr>
          <w:rFonts w:ascii="Times New Roman" w:hAnsi="Times New Roman"/>
        </w:rPr>
        <w:t xml:space="preserve"> </w:t>
      </w:r>
      <w:r w:rsidRPr="00742281">
        <w:rPr>
          <w:rFonts w:ascii="Times New Roman" w:hAnsi="Times New Roman"/>
          <w:i/>
        </w:rPr>
        <w:t>See e.g.</w:t>
      </w:r>
      <w:r w:rsidRPr="00742281">
        <w:rPr>
          <w:rFonts w:ascii="Times New Roman" w:hAnsi="Times New Roman"/>
        </w:rPr>
        <w:t xml:space="preserve">, </w:t>
      </w:r>
      <w:r w:rsidRPr="00742281">
        <w:rPr>
          <w:rFonts w:ascii="Times New Roman" w:hAnsi="Times New Roman"/>
          <w:i/>
        </w:rPr>
        <w:t>Pesticide Spray and Dust Drift</w:t>
      </w:r>
      <w:r w:rsidRPr="00742281">
        <w:rPr>
          <w:rFonts w:ascii="Times New Roman" w:hAnsi="Times New Roman"/>
        </w:rPr>
        <w:t xml:space="preserve">, </w:t>
      </w:r>
      <w:r w:rsidRPr="00742281">
        <w:rPr>
          <w:rFonts w:ascii="Times New Roman" w:hAnsi="Times New Roman"/>
          <w:smallCaps/>
        </w:rPr>
        <w:t>EPA,</w:t>
      </w:r>
      <w:r w:rsidRPr="00742281">
        <w:rPr>
          <w:rFonts w:ascii="Times New Roman" w:hAnsi="Times New Roman"/>
        </w:rPr>
        <w:t xml:space="preserve"> http://www.epa.gov/pesticides/factsheets/spraydrift.htm (</w:t>
      </w:r>
      <w:r>
        <w:rPr>
          <w:rFonts w:ascii="Times New Roman" w:hAnsi="Times New Roman"/>
        </w:rPr>
        <w:t>visited Sept. 7. 2016</w:t>
      </w:r>
      <w:r w:rsidRPr="00742281">
        <w:rPr>
          <w:rFonts w:ascii="Times New Roman" w:hAnsi="Times New Roman"/>
        </w:rPr>
        <w:t>).</w:t>
      </w:r>
    </w:p>
  </w:footnote>
  <w:footnote w:id="45">
    <w:p w14:paraId="2553DF24" w14:textId="77777777" w:rsidR="00FB37D9" w:rsidRPr="00742281" w:rsidRDefault="00FB37D9" w:rsidP="00EA664C">
      <w:pPr>
        <w:pStyle w:val="FootnoteText"/>
        <w:rPr>
          <w:rFonts w:ascii="Times New Roman" w:hAnsi="Times New Roman"/>
        </w:rPr>
      </w:pPr>
      <w:r w:rsidRPr="00742281">
        <w:rPr>
          <w:rStyle w:val="FootnoteReference"/>
          <w:rFonts w:ascii="Times New Roman" w:hAnsi="Times New Roman"/>
        </w:rPr>
        <w:footnoteRef/>
      </w:r>
      <w:r w:rsidRPr="00742281">
        <w:rPr>
          <w:rFonts w:ascii="Times New Roman" w:hAnsi="Times New Roman"/>
        </w:rPr>
        <w:t xml:space="preserve"> </w:t>
      </w:r>
      <w:r w:rsidRPr="00742281">
        <w:rPr>
          <w:rFonts w:ascii="Times New Roman" w:hAnsi="Times New Roman"/>
          <w:i/>
        </w:rPr>
        <w:t>Roundup Ready Alfalfa History</w:t>
      </w:r>
      <w:r w:rsidRPr="00742281">
        <w:rPr>
          <w:rFonts w:ascii="Times New Roman" w:hAnsi="Times New Roman"/>
        </w:rPr>
        <w:t xml:space="preserve">, </w:t>
      </w:r>
      <w:r w:rsidRPr="00742281">
        <w:rPr>
          <w:rFonts w:ascii="Times New Roman" w:hAnsi="Times New Roman"/>
          <w:i/>
        </w:rPr>
        <w:t xml:space="preserve">supra </w:t>
      </w:r>
      <w:r w:rsidRPr="00742281">
        <w:rPr>
          <w:rFonts w:ascii="Times New Roman" w:hAnsi="Times New Roman"/>
        </w:rPr>
        <w:t>note 2.</w:t>
      </w:r>
    </w:p>
  </w:footnote>
  <w:footnote w:id="46">
    <w:p w14:paraId="51383980" w14:textId="77777777" w:rsidR="00FB37D9" w:rsidRPr="00742281" w:rsidRDefault="00FB37D9" w:rsidP="004659BF">
      <w:pPr>
        <w:pStyle w:val="FootnoteText"/>
      </w:pPr>
      <w:r w:rsidRPr="00742281">
        <w:rPr>
          <w:rStyle w:val="FootnoteReference"/>
        </w:rPr>
        <w:footnoteRef/>
      </w:r>
      <w:r w:rsidRPr="00742281">
        <w:t xml:space="preserve"> Cowan, supra n.10</w:t>
      </w:r>
    </w:p>
  </w:footnote>
  <w:footnote w:id="47">
    <w:p w14:paraId="19846D58" w14:textId="434580A4" w:rsidR="00FB37D9" w:rsidRDefault="00FB37D9" w:rsidP="00D47024">
      <w:pPr>
        <w:pStyle w:val="FootnoteText"/>
      </w:pPr>
      <w:r w:rsidRPr="002C7B06">
        <w:rPr>
          <w:rStyle w:val="FootnoteReference"/>
        </w:rPr>
        <w:footnoteRef/>
      </w:r>
      <w:r>
        <w:t xml:space="preserve"> Cowan, </w:t>
      </w:r>
      <w:r w:rsidRPr="00D47024">
        <w:rPr>
          <w:i/>
        </w:rPr>
        <w:t>supra</w:t>
      </w:r>
      <w:r>
        <w:rPr>
          <w:i/>
        </w:rPr>
        <w:t xml:space="preserve"> </w:t>
      </w:r>
      <w:r w:rsidRPr="00D47024">
        <w:t>n 10.</w:t>
      </w:r>
    </w:p>
  </w:footnote>
  <w:footnote w:id="48">
    <w:p w14:paraId="5B6083C2" w14:textId="6359245E" w:rsidR="00FB37D9" w:rsidRDefault="00FB37D9" w:rsidP="00325947">
      <w:pPr>
        <w:pStyle w:val="FootnoteText"/>
      </w:pPr>
      <w:r>
        <w:rPr>
          <w:rStyle w:val="FootnoteReference"/>
        </w:rPr>
        <w:footnoteRef/>
      </w:r>
      <w:r>
        <w:t xml:space="preserve"> </w:t>
      </w:r>
      <w:r w:rsidRPr="00AE66A7">
        <w:t xml:space="preserve">The AOSCA's Web site can found at </w:t>
      </w:r>
      <w:r w:rsidRPr="00AE66A7">
        <w:rPr>
          <w:rStyle w:val="pxurl"/>
          <w:sz w:val="20"/>
          <w:szCs w:val="20"/>
        </w:rPr>
        <w:fldChar w:fldCharType="begin"/>
      </w:r>
      <w:r w:rsidRPr="00AE66A7">
        <w:rPr>
          <w:rStyle w:val="pxurl"/>
          <w:sz w:val="20"/>
          <w:szCs w:val="20"/>
        </w:rPr>
        <w:instrText>url.ref.id="I01K14Q"</w:instrText>
      </w:r>
      <w:r w:rsidRPr="00AE66A7">
        <w:rPr>
          <w:rStyle w:val="pxurl"/>
          <w:sz w:val="20"/>
          <w:szCs w:val="20"/>
        </w:rPr>
        <w:fldChar w:fldCharType="end"/>
      </w:r>
      <w:r w:rsidRPr="00AE66A7">
        <w:rPr>
          <w:rStyle w:val="pxurl"/>
          <w:sz w:val="20"/>
          <w:szCs w:val="20"/>
        </w:rPr>
        <w:t>http://aosca.org</w:t>
      </w:r>
      <w:r w:rsidRPr="00AE66A7">
        <w:t xml:space="preserve"> </w:t>
      </w:r>
      <w:r w:rsidRPr="00742281">
        <w:rPr>
          <w:rFonts w:ascii="Times New Roman" w:hAnsi="Times New Roman"/>
        </w:rPr>
        <w:t>(</w:t>
      </w:r>
      <w:r>
        <w:rPr>
          <w:rFonts w:ascii="Times New Roman" w:hAnsi="Times New Roman"/>
        </w:rPr>
        <w:t>visited Sept. 7. 2016</w:t>
      </w:r>
      <w:r w:rsidRPr="00742281">
        <w:rPr>
          <w:rFonts w:ascii="Times New Roman" w:hAnsi="Times New Roman"/>
        </w:rPr>
        <w:t>).</w:t>
      </w:r>
      <w:r w:rsidRPr="00AE66A7">
        <w:t xml:space="preserve"> AOSCA sets minimum standards for genetic purity and identity and recommends minimum standards for seed quality for the classes of certified seed, working through 42 affiliated entities in the various states of the United States</w:t>
      </w:r>
      <w:r>
        <w:t>.</w:t>
      </w:r>
    </w:p>
  </w:footnote>
  <w:footnote w:id="49">
    <w:p w14:paraId="20AB85A4" w14:textId="77777777" w:rsidR="00FB37D9" w:rsidRDefault="00FB37D9" w:rsidP="00325947">
      <w:pPr>
        <w:pStyle w:val="FootnoteText"/>
      </w:pPr>
      <w:r>
        <w:rPr>
          <w:rStyle w:val="FootnoteReference"/>
        </w:rPr>
        <w:footnoteRef/>
      </w:r>
      <w:r>
        <w:t xml:space="preserve"> </w:t>
      </w:r>
      <w:r w:rsidRPr="00AE66A7">
        <w:t>For example, isolation distances from fields of the same crop and the use of buffer rows.</w:t>
      </w:r>
    </w:p>
  </w:footnote>
  <w:footnote w:id="50">
    <w:p w14:paraId="4BEBAF95" w14:textId="4F7EB32B" w:rsidR="00FB37D9" w:rsidRDefault="00FB37D9">
      <w:pPr>
        <w:pStyle w:val="FootnoteText"/>
      </w:pPr>
      <w:r>
        <w:rPr>
          <w:rStyle w:val="FootnoteReference"/>
        </w:rPr>
        <w:footnoteRef/>
      </w:r>
      <w:r>
        <w:t xml:space="preserve"> International Service for the Acquisition of </w:t>
      </w:r>
      <w:proofErr w:type="spellStart"/>
      <w:r>
        <w:t>Agrobiotech</w:t>
      </w:r>
      <w:proofErr w:type="spellEnd"/>
      <w:r>
        <w:t xml:space="preserve"> Applications, MON-87701 Authorizations </w:t>
      </w:r>
      <w:hyperlink r:id="rId9" w:history="1">
        <w:r w:rsidRPr="0002187F">
          <w:rPr>
            <w:rStyle w:val="Hyperlink"/>
          </w:rPr>
          <w:t>http://www.isaaa.org/gmapprovaldatabase/event/default.asp?EventID=175</w:t>
        </w:r>
      </w:hyperlink>
      <w:r>
        <w:t xml:space="preserve"> </w:t>
      </w:r>
      <w:r w:rsidRPr="00742281">
        <w:rPr>
          <w:rFonts w:ascii="Times New Roman" w:hAnsi="Times New Roman"/>
        </w:rPr>
        <w:t>(</w:t>
      </w:r>
      <w:r>
        <w:rPr>
          <w:rFonts w:ascii="Times New Roman" w:hAnsi="Times New Roman"/>
        </w:rPr>
        <w:t>visited Sept. 7. 2016</w:t>
      </w:r>
      <w:r w:rsidRPr="00742281">
        <w:rPr>
          <w:rFonts w:ascii="Times New Roman" w:hAnsi="Times New Roman"/>
        </w:rPr>
        <w:t>).</w:t>
      </w:r>
    </w:p>
  </w:footnote>
  <w:footnote w:id="51">
    <w:p w14:paraId="169F8F85" w14:textId="2EB5C76D" w:rsidR="00FB37D9" w:rsidRDefault="00FB37D9">
      <w:pPr>
        <w:pStyle w:val="FootnoteText"/>
      </w:pPr>
      <w:r>
        <w:rPr>
          <w:rStyle w:val="FootnoteReference"/>
        </w:rPr>
        <w:footnoteRef/>
      </w:r>
      <w:r>
        <w:t xml:space="preserve"> </w:t>
      </w:r>
      <w:r w:rsidRPr="00173352">
        <w:t xml:space="preserve"> Mark A. Pollack, Gregory C. Shaffer</w:t>
      </w:r>
      <w:r>
        <w:t xml:space="preserve">, WHEN COOPERATION FAILS: THE INTERNATIONAL LAW AND POLITICS OF GENETICALLY MODIFIED FOODS at 296 (Oxford 2009) (Citing the </w:t>
      </w:r>
      <w:r w:rsidRPr="00173352">
        <w:t>“mirror policy” in which Argentina would not approve a GM variety until it was approved in Argentina's major export markets—mainly the EU</w:t>
      </w:r>
      <w:r>
        <w:t>.”)</w:t>
      </w:r>
    </w:p>
  </w:footnote>
  <w:footnote w:id="52">
    <w:p w14:paraId="637126A6" w14:textId="77777777" w:rsidR="00FB37D9" w:rsidRDefault="00FB37D9" w:rsidP="000E3130">
      <w:pPr>
        <w:pStyle w:val="FootnoteText"/>
      </w:pPr>
      <w:r>
        <w:rPr>
          <w:rStyle w:val="FootnoteReference"/>
        </w:rPr>
        <w:footnoteRef/>
      </w:r>
      <w:r>
        <w:t xml:space="preserve"> Grossman, “</w:t>
      </w:r>
      <w:r w:rsidRPr="00B43A05">
        <w:t>Anticipatory nuisance and the prevention of environmental harm and economic loss from GMOs in the United States</w:t>
      </w:r>
      <w:r>
        <w:t xml:space="preserve">” </w:t>
      </w:r>
      <w:r w:rsidRPr="00B43A05">
        <w:t>Journal of Environmental Law and Practice 2 (2008)</w:t>
      </w:r>
    </w:p>
  </w:footnote>
  <w:footnote w:id="53">
    <w:p w14:paraId="2E7BBE96" w14:textId="08180E39" w:rsidR="00FB37D9" w:rsidRDefault="00FB37D9">
      <w:pPr>
        <w:pStyle w:val="FootnoteText"/>
      </w:pPr>
      <w:r>
        <w:rPr>
          <w:rStyle w:val="FootnoteReference"/>
        </w:rPr>
        <w:footnoteRef/>
      </w:r>
      <w:r>
        <w:t xml:space="preserve"> </w:t>
      </w:r>
      <w:r w:rsidRPr="00DD4511">
        <w:rPr>
          <w:i/>
        </w:rPr>
        <w:t>Hoffman &amp; Beaudoin v. Monsanto Canada</w:t>
      </w:r>
      <w:r>
        <w:t xml:space="preserve">, 2005 SKQB 225, </w:t>
      </w:r>
      <w:proofErr w:type="gramStart"/>
      <w:r w:rsidRPr="005D21A1">
        <w:t>appeal</w:t>
      </w:r>
      <w:proofErr w:type="gramEnd"/>
      <w:r w:rsidRPr="00443D8C">
        <w:t xml:space="preserve"> </w:t>
      </w:r>
      <w:r>
        <w:t xml:space="preserve">dismissed, 2007 SKCA 47.  </w:t>
      </w:r>
    </w:p>
  </w:footnote>
  <w:footnote w:id="54">
    <w:p w14:paraId="3F63B9F7" w14:textId="77777777" w:rsidR="005F178E" w:rsidRPr="00742281" w:rsidRDefault="005F178E" w:rsidP="005F178E">
      <w:pPr>
        <w:pStyle w:val="FootnoteText"/>
        <w:rPr>
          <w:rFonts w:ascii="Times New Roman" w:hAnsi="Times New Roman"/>
        </w:rPr>
      </w:pPr>
      <w:r w:rsidRPr="00B728AB">
        <w:rPr>
          <w:rStyle w:val="FootnoteReference"/>
          <w:rFonts w:ascii="Times New Roman" w:hAnsi="Times New Roman"/>
          <w:sz w:val="24"/>
          <w:szCs w:val="24"/>
        </w:rPr>
        <w:footnoteRef/>
      </w:r>
      <w:r w:rsidRPr="00B728AB">
        <w:rPr>
          <w:rFonts w:ascii="Times New Roman" w:hAnsi="Times New Roman"/>
          <w:sz w:val="24"/>
          <w:szCs w:val="24"/>
        </w:rPr>
        <w:t xml:space="preserve"> </w:t>
      </w:r>
      <w:r w:rsidRPr="00742281">
        <w:rPr>
          <w:rFonts w:ascii="Times New Roman" w:hAnsi="Times New Roman"/>
          <w:i/>
        </w:rPr>
        <w:t xml:space="preserve">Id. </w:t>
      </w:r>
      <w:r>
        <w:rPr>
          <w:rFonts w:ascii="Times New Roman" w:hAnsi="Times New Roman"/>
        </w:rPr>
        <w:t xml:space="preserve">at 110 (citing Drew L. </w:t>
      </w:r>
      <w:proofErr w:type="spellStart"/>
      <w:r>
        <w:rPr>
          <w:rFonts w:ascii="Times New Roman" w:hAnsi="Times New Roman"/>
        </w:rPr>
        <w:t>Kershen</w:t>
      </w:r>
      <w:proofErr w:type="spellEnd"/>
      <w:r>
        <w:rPr>
          <w:rFonts w:ascii="Times New Roman" w:hAnsi="Times New Roman"/>
        </w:rPr>
        <w:t>,</w:t>
      </w:r>
      <w:r w:rsidRPr="00742281">
        <w:rPr>
          <w:rFonts w:ascii="Times New Roman" w:hAnsi="Times New Roman"/>
          <w:smallCaps/>
        </w:rPr>
        <w:t xml:space="preserve"> Legal Liability Issues in Agricultural Biotechnology,</w:t>
      </w:r>
      <w:r w:rsidRPr="00742281">
        <w:rPr>
          <w:rFonts w:ascii="Times New Roman" w:hAnsi="Times New Roman"/>
        </w:rPr>
        <w:t xml:space="preserve"> </w:t>
      </w:r>
      <w:r w:rsidRPr="00742281">
        <w:rPr>
          <w:rFonts w:ascii="Times New Roman" w:hAnsi="Times New Roman"/>
          <w:smallCaps/>
        </w:rPr>
        <w:t xml:space="preserve">Nat’l Agric. Law Ctr. </w:t>
      </w:r>
      <w:r w:rsidRPr="00742281">
        <w:rPr>
          <w:rFonts w:ascii="Times New Roman" w:hAnsi="Times New Roman"/>
        </w:rPr>
        <w:t xml:space="preserve">1, 10–12 (2002), </w:t>
      </w:r>
      <w:r w:rsidRPr="00742281">
        <w:rPr>
          <w:rFonts w:ascii="Times New Roman" w:hAnsi="Times New Roman"/>
          <w:i/>
        </w:rPr>
        <w:t>available at</w:t>
      </w:r>
      <w:r w:rsidRPr="00742281">
        <w:rPr>
          <w:rFonts w:ascii="Times New Roman" w:hAnsi="Times New Roman"/>
        </w:rPr>
        <w:t xml:space="preserve"> http://nationalaglawcenter.org/wp-content/uploads/assets/articles/kershen_biotech.pdf).</w:t>
      </w:r>
    </w:p>
  </w:footnote>
  <w:footnote w:id="55">
    <w:p w14:paraId="496B9999" w14:textId="1A9075DF" w:rsidR="00FE2605" w:rsidRDefault="00FE2605">
      <w:pPr>
        <w:pStyle w:val="FootnoteText"/>
      </w:pPr>
      <w:r>
        <w:rPr>
          <w:rStyle w:val="FootnoteReference"/>
        </w:rPr>
        <w:footnoteRef/>
      </w:r>
      <w:r>
        <w:t xml:space="preserve"> </w:t>
      </w:r>
      <w:r w:rsidRPr="00FE2605">
        <w:t xml:space="preserve">Monsanto’s four listed events and stacks in the </w:t>
      </w:r>
      <w:proofErr w:type="spellStart"/>
      <w:r w:rsidRPr="00FE2605">
        <w:t>Croplife</w:t>
      </w:r>
      <w:proofErr w:type="spellEnd"/>
      <w:r w:rsidRPr="00FE2605">
        <w:t xml:space="preserve"> database are: (1) Roundup Ready Soybeans (40-3-2), (2) </w:t>
      </w:r>
      <w:proofErr w:type="spellStart"/>
      <w:r w:rsidRPr="00FE2605">
        <w:t>Genuity</w:t>
      </w:r>
      <w:proofErr w:type="spellEnd"/>
      <w:r w:rsidRPr="00FE2605">
        <w:t xml:space="preserve"> Roundup Ready 2 Yield (MON 89788), (3) INTACTA RR2 PRO Soybeans (MON 87701 X MON 89788) and (4) Roundup Ready 2 </w:t>
      </w:r>
      <w:proofErr w:type="spellStart"/>
      <w:r w:rsidRPr="00FE2605">
        <w:t>Xtend</w:t>
      </w:r>
      <w:proofErr w:type="spellEnd"/>
      <w:r w:rsidRPr="00FE2605">
        <w:t xml:space="preserve"> Soybeans (MON 87708 X MON 89788).  Of these four soybeans, only the last one (RR2 </w:t>
      </w:r>
      <w:proofErr w:type="spellStart"/>
      <w:r w:rsidRPr="00FE2605">
        <w:t>Xtend</w:t>
      </w:r>
      <w:proofErr w:type="spellEnd"/>
      <w:r w:rsidRPr="00FE2605">
        <w:t xml:space="preserve">) lacked EU approval but was also fully commercialized in 2016.  It should be noted that most biotech seed companies, including Monsanto, are members of </w:t>
      </w:r>
      <w:proofErr w:type="spellStart"/>
      <w:r w:rsidRPr="00FE2605">
        <w:t>Croplife</w:t>
      </w:r>
      <w:proofErr w:type="spellEnd"/>
      <w:r w:rsidRPr="00FE2605">
        <w:t xml:space="preserve"> International.</w:t>
      </w:r>
    </w:p>
  </w:footnote>
  <w:footnote w:id="56">
    <w:p w14:paraId="3B20B318" w14:textId="77777777" w:rsidR="00FB37D9" w:rsidRDefault="00FB37D9" w:rsidP="00FB37D9">
      <w:pPr>
        <w:pStyle w:val="FootnoteText"/>
      </w:pPr>
      <w:r>
        <w:rPr>
          <w:rStyle w:val="FootnoteReference"/>
        </w:rPr>
        <w:footnoteRef/>
      </w:r>
      <w:r>
        <w:t xml:space="preserve"> </w:t>
      </w:r>
      <w:r w:rsidRPr="00150C15">
        <w:rPr>
          <w:rFonts w:ascii="Times New Roman" w:hAnsi="Times New Roman" w:cs="Times New Roman"/>
          <w:bCs/>
        </w:rPr>
        <w:t>See,</w:t>
      </w:r>
      <w:r>
        <w:rPr>
          <w:rFonts w:ascii="Times New Roman" w:hAnsi="Times New Roman" w:cs="Times New Roman"/>
          <w:bCs/>
        </w:rPr>
        <w:t xml:space="preserve"> Monsanto</w:t>
      </w:r>
      <w:r w:rsidRPr="00150C15">
        <w:rPr>
          <w:rFonts w:ascii="Times New Roman" w:hAnsi="Times New Roman" w:cs="Times New Roman"/>
          <w:bCs/>
        </w:rPr>
        <w:t xml:space="preserve">, Soybean Seeds, </w:t>
      </w:r>
      <w:hyperlink r:id="rId10" w:history="1">
        <w:r w:rsidRPr="00150C15">
          <w:rPr>
            <w:rStyle w:val="Hyperlink"/>
            <w:rFonts w:ascii="Times New Roman" w:hAnsi="Times New Roman" w:cs="Times New Roman"/>
          </w:rPr>
          <w:t>http://www.</w:t>
        </w:r>
        <w:r>
          <w:rPr>
            <w:rStyle w:val="Hyperlink"/>
            <w:rFonts w:ascii="Times New Roman" w:hAnsi="Times New Roman" w:cs="Times New Roman"/>
          </w:rPr>
          <w:t>a biotech seed company</w:t>
        </w:r>
        <w:r w:rsidRPr="00150C15">
          <w:rPr>
            <w:rStyle w:val="Hyperlink"/>
            <w:rFonts w:ascii="Times New Roman" w:hAnsi="Times New Roman" w:cs="Times New Roman"/>
          </w:rPr>
          <w:t>.com/products/pages/soybean-seeds.aspx</w:t>
        </w:r>
      </w:hyperlink>
      <w:r w:rsidRPr="00150C15">
        <w:rPr>
          <w:rFonts w:ascii="Times New Roman" w:hAnsi="Times New Roman" w:cs="Times New Roman"/>
        </w:rPr>
        <w:t xml:space="preserve"> (Listing Roundup Ready 2 Yield® soybeans, INTACTA RR2 PRO® soybeans and </w:t>
      </w:r>
      <w:proofErr w:type="spellStart"/>
      <w:r w:rsidRPr="00150C15">
        <w:rPr>
          <w:rFonts w:ascii="Times New Roman" w:hAnsi="Times New Roman" w:cs="Times New Roman"/>
        </w:rPr>
        <w:t>Vistive</w:t>
      </w:r>
      <w:proofErr w:type="spellEnd"/>
      <w:r w:rsidRPr="00150C15">
        <w:rPr>
          <w:rFonts w:ascii="Times New Roman" w:hAnsi="Times New Roman" w:cs="Times New Roman"/>
        </w:rPr>
        <w:t>® Gold soybeans).</w:t>
      </w:r>
      <w:r w:rsidRPr="00FB37D9">
        <w:rPr>
          <w:rFonts w:ascii="Times New Roman" w:hAnsi="Times New Roman"/>
        </w:rPr>
        <w:t xml:space="preserve"> </w:t>
      </w:r>
      <w:r w:rsidRPr="00742281">
        <w:rPr>
          <w:rFonts w:ascii="Times New Roman" w:hAnsi="Times New Roman"/>
        </w:rPr>
        <w:t>(</w:t>
      </w:r>
      <w:proofErr w:type="gramStart"/>
      <w:r>
        <w:rPr>
          <w:rFonts w:ascii="Times New Roman" w:hAnsi="Times New Roman"/>
        </w:rPr>
        <w:t>visited</w:t>
      </w:r>
      <w:proofErr w:type="gramEnd"/>
      <w:r>
        <w:rPr>
          <w:rFonts w:ascii="Times New Roman" w:hAnsi="Times New Roman"/>
        </w:rPr>
        <w:t xml:space="preserve"> Sept. 7. 2016</w:t>
      </w:r>
      <w:r w:rsidRPr="00742281">
        <w:rPr>
          <w:rFonts w:ascii="Times New Roman" w:hAnsi="Times New Roman"/>
        </w:rPr>
        <w:t>).</w:t>
      </w:r>
    </w:p>
  </w:footnote>
  <w:footnote w:id="57">
    <w:p w14:paraId="2FBF866C" w14:textId="77777777" w:rsidR="00FB37D9" w:rsidRPr="00A21166" w:rsidRDefault="00FB37D9" w:rsidP="00FB37D9">
      <w:pPr>
        <w:pStyle w:val="FootnoteText"/>
      </w:pPr>
      <w:r w:rsidRPr="00A21166">
        <w:rPr>
          <w:rStyle w:val="FootnoteReference"/>
        </w:rPr>
        <w:footnoteRef/>
      </w:r>
      <w:r w:rsidRPr="00A21166">
        <w:t xml:space="preserve"> </w:t>
      </w:r>
      <w:r w:rsidRPr="00A21166">
        <w:rPr>
          <w:rFonts w:ascii="Times New Roman" w:hAnsi="Times New Roman" w:cs="Times New Roman"/>
          <w:i/>
        </w:rPr>
        <w:t>Bracey v. Monsanto</w:t>
      </w:r>
      <w:r w:rsidRPr="00A21166">
        <w:rPr>
          <w:rFonts w:ascii="Times New Roman" w:hAnsi="Times New Roman" w:cs="Times New Roman"/>
        </w:rPr>
        <w:t xml:space="preserve">, 823 S.W.2d 946 (1992) (J. </w:t>
      </w:r>
      <w:proofErr w:type="spellStart"/>
      <w:r w:rsidRPr="00A21166">
        <w:rPr>
          <w:rFonts w:ascii="Times New Roman" w:hAnsi="Times New Roman" w:cs="Times New Roman"/>
        </w:rPr>
        <w:t>Rendlen</w:t>
      </w:r>
      <w:proofErr w:type="spellEnd"/>
      <w:r w:rsidRPr="00A21166">
        <w:rPr>
          <w:rFonts w:ascii="Times New Roman" w:hAnsi="Times New Roman" w:cs="Times New Roman"/>
        </w:rPr>
        <w:t xml:space="preserve">, dissenting and saying that “the consequential damages disclaimer is unconscionable”) </w:t>
      </w:r>
      <w:hyperlink r:id="rId11" w:history="1">
        <w:r w:rsidRPr="0002187F">
          <w:rPr>
            <w:rStyle w:val="Hyperlink"/>
            <w:rFonts w:ascii="Times New Roman" w:hAnsi="Times New Roman" w:cs="Times New Roman"/>
          </w:rPr>
          <w:t>http://law.justia.com/cases/missouri/supreme-court/1992/73301-0.html</w:t>
        </w:r>
      </w:hyperlink>
      <w:r>
        <w:rPr>
          <w:rFonts w:ascii="Times New Roman" w:hAnsi="Times New Roman" w:cs="Times New Roman"/>
        </w:rPr>
        <w:t xml:space="preserve"> </w:t>
      </w:r>
      <w:r w:rsidRPr="00742281">
        <w:rPr>
          <w:rFonts w:ascii="Times New Roman" w:hAnsi="Times New Roman"/>
        </w:rPr>
        <w:t>(</w:t>
      </w:r>
      <w:r>
        <w:rPr>
          <w:rFonts w:ascii="Times New Roman" w:hAnsi="Times New Roman"/>
        </w:rPr>
        <w:t>visited Sept. 7. 2016</w:t>
      </w:r>
      <w:r w:rsidRPr="00742281">
        <w:rPr>
          <w:rFonts w:ascii="Times New Roman" w:hAnsi="Times New Roman"/>
        </w:rPr>
        <w:t>).</w:t>
      </w:r>
    </w:p>
  </w:footnote>
  <w:footnote w:id="58">
    <w:p w14:paraId="4C9A9326" w14:textId="79882DB5" w:rsidR="0083502E" w:rsidRPr="0083502E" w:rsidRDefault="0083502E">
      <w:pPr>
        <w:pStyle w:val="FootnoteText"/>
      </w:pPr>
      <w:r w:rsidRPr="0083502E">
        <w:rPr>
          <w:rStyle w:val="FootnoteReference"/>
        </w:rPr>
        <w:footnoteRef/>
      </w:r>
      <w:r w:rsidRPr="0083502E">
        <w:t xml:space="preserve"> </w:t>
      </w:r>
      <w:r w:rsidRPr="0083502E">
        <w:rPr>
          <w:rFonts w:ascii="Times New Roman" w:hAnsi="Times New Roman" w:cs="Times New Roman"/>
          <w:i/>
          <w:iCs/>
        </w:rPr>
        <w:t>In re Genetically Modified Rice Litigation</w:t>
      </w:r>
      <w:r w:rsidRPr="0083502E">
        <w:rPr>
          <w:rFonts w:ascii="Times New Roman" w:hAnsi="Times New Roman" w:cs="Times New Roman"/>
        </w:rPr>
        <w:t>, 666 F. Supp. 2d 1004 (E.D. Mo. 2009)</w:t>
      </w:r>
    </w:p>
  </w:footnote>
  <w:footnote w:id="59">
    <w:p w14:paraId="1DB43747" w14:textId="77777777" w:rsidR="005F178E" w:rsidRDefault="005F178E" w:rsidP="005F178E">
      <w:pPr>
        <w:pStyle w:val="FootnoteText"/>
      </w:pPr>
      <w:r>
        <w:rPr>
          <w:rStyle w:val="FootnoteReference"/>
        </w:rPr>
        <w:footnoteRef/>
      </w:r>
      <w:r>
        <w:t xml:space="preserve"> citing " Wallace v. Grasso, 119 S.W.3d 567, 580</w:t>
      </w:r>
    </w:p>
    <w:p w14:paraId="3DB8B93C" w14:textId="25B95412" w:rsidR="005F178E" w:rsidRDefault="005F178E" w:rsidP="005F178E">
      <w:pPr>
        <w:pStyle w:val="FootnoteText"/>
      </w:pPr>
      <w:r>
        <w:t>(Mo. Ct. App. 2003).</w:t>
      </w:r>
    </w:p>
  </w:footnote>
  <w:footnote w:id="60">
    <w:p w14:paraId="339F0C39" w14:textId="77777777" w:rsidR="0083502E" w:rsidRPr="00FE2605" w:rsidRDefault="0083502E" w:rsidP="0083502E">
      <w:pPr>
        <w:pStyle w:val="FootnoteText"/>
        <w:rPr>
          <w:rFonts w:ascii="Times New Roman" w:hAnsi="Times New Roman"/>
        </w:rPr>
      </w:pPr>
      <w:r w:rsidRPr="00FE2605">
        <w:rPr>
          <w:rStyle w:val="FootnoteReference"/>
          <w:rFonts w:ascii="Times New Roman" w:hAnsi="Times New Roman"/>
        </w:rPr>
        <w:footnoteRef/>
      </w:r>
      <w:r w:rsidRPr="00FE2605">
        <w:rPr>
          <w:rFonts w:ascii="Times New Roman" w:hAnsi="Times New Roman"/>
        </w:rPr>
        <w:t xml:space="preserve"> Grossman, </w:t>
      </w:r>
      <w:r w:rsidRPr="00FE2605">
        <w:rPr>
          <w:rFonts w:ascii="Times New Roman" w:hAnsi="Times New Roman"/>
          <w:i/>
        </w:rPr>
        <w:t>supra</w:t>
      </w:r>
      <w:r w:rsidRPr="00FE2605">
        <w:rPr>
          <w:rFonts w:ascii="Times New Roman" w:hAnsi="Times New Roman"/>
        </w:rPr>
        <w:t xml:space="preserve"> note 111, at 107 (discussing creative approaches to nuisance claim).</w:t>
      </w:r>
    </w:p>
  </w:footnote>
  <w:footnote w:id="61">
    <w:p w14:paraId="266E514F" w14:textId="77777777" w:rsidR="005F178E" w:rsidRPr="00B728AB" w:rsidRDefault="005F178E" w:rsidP="005F178E">
      <w:pPr>
        <w:pStyle w:val="FootnoteText"/>
        <w:rPr>
          <w:rFonts w:ascii="Times New Roman" w:hAnsi="Times New Roman"/>
          <w:sz w:val="24"/>
          <w:szCs w:val="24"/>
        </w:rPr>
      </w:pPr>
      <w:r w:rsidRPr="00742281">
        <w:rPr>
          <w:rStyle w:val="FootnoteReference"/>
          <w:rFonts w:ascii="Times New Roman" w:hAnsi="Times New Roman"/>
        </w:rPr>
        <w:footnoteRef/>
      </w:r>
      <w:r w:rsidRPr="00742281">
        <w:rPr>
          <w:rFonts w:ascii="Times New Roman" w:hAnsi="Times New Roman"/>
        </w:rPr>
        <w:t xml:space="preserve"> </w:t>
      </w:r>
      <w:r w:rsidRPr="00742281">
        <w:rPr>
          <w:rFonts w:ascii="Times New Roman" w:hAnsi="Times New Roman"/>
          <w:i/>
        </w:rPr>
        <w:t>Id.</w:t>
      </w:r>
      <w:r w:rsidRPr="00742281">
        <w:rPr>
          <w:rFonts w:ascii="Times New Roman" w:hAnsi="Times New Roman"/>
        </w:rPr>
        <w:t xml:space="preserve"> at 132</w:t>
      </w:r>
      <w:r w:rsidRPr="00B728AB">
        <w:rPr>
          <w:rFonts w:ascii="Times New Roman" w:hAnsi="Times New Roman"/>
          <w:sz w:val="24"/>
          <w:szCs w:val="24"/>
        </w:rPr>
        <w:t xml:space="preserve">.   </w:t>
      </w:r>
    </w:p>
  </w:footnote>
  <w:footnote w:id="62">
    <w:p w14:paraId="2E5710D6" w14:textId="49C19AE5" w:rsidR="00FB37D9" w:rsidRDefault="00FB37D9">
      <w:pPr>
        <w:pStyle w:val="FootnoteText"/>
      </w:pPr>
      <w:r>
        <w:rPr>
          <w:rStyle w:val="FootnoteReference"/>
        </w:rPr>
        <w:footnoteRef/>
      </w:r>
      <w:r>
        <w:t xml:space="preserve"> </w:t>
      </w:r>
      <w:r w:rsidRPr="004C0F11">
        <w:rPr>
          <w:rFonts w:ascii="Times New Roman" w:hAnsi="Times New Roman" w:cs="Times New Roman"/>
        </w:rPr>
        <w:t>343 Ill. App. 3d 654, 798 N.E.2d 817 (2d Dist. 2003).</w:t>
      </w:r>
      <w:r>
        <w:rPr>
          <w:rFonts w:ascii="Times New Roman" w:hAnsi="Times New Roman" w:cs="Times New Roman"/>
        </w:rPr>
        <w:t xml:space="preserve"> See also, Fink v. Board of Trustees, 218 N.E.2d 240, 244 (Ill. Ct. App. 1966)</w:t>
      </w:r>
    </w:p>
  </w:footnote>
  <w:footnote w:id="63">
    <w:p w14:paraId="2E8F683B" w14:textId="6CE94017" w:rsidR="00FB37D9" w:rsidRDefault="00FB37D9">
      <w:pPr>
        <w:pStyle w:val="FootnoteText"/>
      </w:pPr>
      <w:r>
        <w:rPr>
          <w:rStyle w:val="FootnoteReference"/>
        </w:rPr>
        <w:footnoteRef/>
      </w:r>
      <w:r>
        <w:t xml:space="preserve"> 123 U.S. 623, 673 (1887)</w:t>
      </w:r>
    </w:p>
  </w:footnote>
  <w:footnote w:id="64">
    <w:p w14:paraId="6ABB1BA6" w14:textId="04922CE1" w:rsidR="00FB37D9" w:rsidRDefault="00FB37D9">
      <w:pPr>
        <w:pStyle w:val="FootnoteText"/>
      </w:pPr>
      <w:r>
        <w:rPr>
          <w:rStyle w:val="FootnoteReference"/>
        </w:rPr>
        <w:footnoteRef/>
      </w:r>
      <w:r>
        <w:t xml:space="preserve"> </w:t>
      </w:r>
      <w:r w:rsidRPr="00DD7BDB">
        <w:rPr>
          <w:rFonts w:ascii="Times New Roman" w:hAnsi="Times New Roman" w:cs="Times New Roman"/>
        </w:rPr>
        <w:t xml:space="preserve">Andrew H. Sharp, </w:t>
      </w:r>
      <w:proofErr w:type="gramStart"/>
      <w:r w:rsidRPr="00DD7BDB">
        <w:rPr>
          <w:rFonts w:ascii="Times New Roman" w:hAnsi="Times New Roman" w:cs="Times New Roman"/>
          <w:i/>
        </w:rPr>
        <w:t>An</w:t>
      </w:r>
      <w:proofErr w:type="gramEnd"/>
      <w:r w:rsidRPr="00DD7BDB">
        <w:rPr>
          <w:rFonts w:ascii="Times New Roman" w:hAnsi="Times New Roman" w:cs="Times New Roman"/>
          <w:i/>
        </w:rPr>
        <w:t xml:space="preserve"> Ounce of Prevention: Rehabilitating the Anticipatory Nuisance Doctrine, </w:t>
      </w:r>
      <w:r w:rsidRPr="00DD7BDB">
        <w:rPr>
          <w:rFonts w:ascii="Times New Roman" w:hAnsi="Times New Roman" w:cs="Times New Roman"/>
        </w:rPr>
        <w:t xml:space="preserve">15 B.C. </w:t>
      </w:r>
      <w:proofErr w:type="spellStart"/>
      <w:r w:rsidRPr="00DD7BDB">
        <w:rPr>
          <w:rFonts w:ascii="Times New Roman" w:hAnsi="Times New Roman" w:cs="Times New Roman"/>
        </w:rPr>
        <w:t>Envtl</w:t>
      </w:r>
      <w:proofErr w:type="spellEnd"/>
      <w:r w:rsidRPr="00DD7BDB">
        <w:rPr>
          <w:rFonts w:ascii="Times New Roman" w:hAnsi="Times New Roman" w:cs="Times New Roman"/>
        </w:rPr>
        <w:t xml:space="preserve">. </w:t>
      </w:r>
      <w:proofErr w:type="spellStart"/>
      <w:r w:rsidRPr="00DD7BDB">
        <w:rPr>
          <w:rFonts w:ascii="Times New Roman" w:hAnsi="Times New Roman" w:cs="Times New Roman"/>
        </w:rPr>
        <w:t>Aff</w:t>
      </w:r>
      <w:proofErr w:type="spellEnd"/>
      <w:r w:rsidRPr="00DD7BDB">
        <w:rPr>
          <w:rFonts w:ascii="Times New Roman" w:hAnsi="Times New Roman" w:cs="Times New Roman"/>
        </w:rPr>
        <w:t xml:space="preserve">. L. Rev. 627 (1988), </w:t>
      </w:r>
      <w:hyperlink r:id="rId12" w:history="1">
        <w:r w:rsidRPr="00DD7BDB">
          <w:rPr>
            <w:rStyle w:val="Hyperlink"/>
            <w:rFonts w:ascii="Times New Roman" w:hAnsi="Times New Roman" w:cs="Times New Roman"/>
          </w:rPr>
          <w:t>http://lawdigitalcommons.bc.edu/ealr/vol15/iss3/6</w:t>
        </w:r>
      </w:hyperlink>
      <w:r w:rsidRPr="00150C15">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D55D8" w14:textId="77777777" w:rsidR="002868B7" w:rsidRDefault="00286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F568" w14:textId="77777777" w:rsidR="002868B7" w:rsidRDefault="00286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91B" w14:textId="77777777" w:rsidR="002868B7" w:rsidRDefault="00286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A55"/>
    <w:multiLevelType w:val="hybridMultilevel"/>
    <w:tmpl w:val="24F8AD76"/>
    <w:lvl w:ilvl="0" w:tplc="44F84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5317"/>
    <w:multiLevelType w:val="hybridMultilevel"/>
    <w:tmpl w:val="95683E66"/>
    <w:lvl w:ilvl="0" w:tplc="DE3AF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0433D"/>
    <w:multiLevelType w:val="hybridMultilevel"/>
    <w:tmpl w:val="C876DE1E"/>
    <w:lvl w:ilvl="0" w:tplc="FD8A444E">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A2CDA"/>
    <w:multiLevelType w:val="hybridMultilevel"/>
    <w:tmpl w:val="DFF2F052"/>
    <w:lvl w:ilvl="0" w:tplc="4664FF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8707E1"/>
    <w:multiLevelType w:val="hybridMultilevel"/>
    <w:tmpl w:val="20605610"/>
    <w:lvl w:ilvl="0" w:tplc="BACA6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33EC0"/>
    <w:multiLevelType w:val="hybridMultilevel"/>
    <w:tmpl w:val="1284A880"/>
    <w:lvl w:ilvl="0" w:tplc="30A81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520F4"/>
    <w:multiLevelType w:val="hybridMultilevel"/>
    <w:tmpl w:val="3E84CB42"/>
    <w:lvl w:ilvl="0" w:tplc="30A816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671B2"/>
    <w:multiLevelType w:val="hybridMultilevel"/>
    <w:tmpl w:val="1BC25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F35976"/>
    <w:multiLevelType w:val="hybridMultilevel"/>
    <w:tmpl w:val="B9F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24BA6"/>
    <w:multiLevelType w:val="hybridMultilevel"/>
    <w:tmpl w:val="0852841E"/>
    <w:lvl w:ilvl="0" w:tplc="FD8A444E">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FA2F4F"/>
    <w:multiLevelType w:val="hybridMultilevel"/>
    <w:tmpl w:val="0368E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90C76"/>
    <w:multiLevelType w:val="hybridMultilevel"/>
    <w:tmpl w:val="A4D88B0C"/>
    <w:lvl w:ilvl="0" w:tplc="BACA6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A3F31"/>
    <w:multiLevelType w:val="hybridMultilevel"/>
    <w:tmpl w:val="EE48E67E"/>
    <w:lvl w:ilvl="0" w:tplc="7D96497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B10F8"/>
    <w:multiLevelType w:val="hybridMultilevel"/>
    <w:tmpl w:val="A306A5CA"/>
    <w:lvl w:ilvl="0" w:tplc="4A983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931E71"/>
    <w:multiLevelType w:val="hybridMultilevel"/>
    <w:tmpl w:val="0852841E"/>
    <w:lvl w:ilvl="0" w:tplc="FD8A444E">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B92C5F"/>
    <w:multiLevelType w:val="hybridMultilevel"/>
    <w:tmpl w:val="734824A2"/>
    <w:lvl w:ilvl="0" w:tplc="C3ECC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F76286"/>
    <w:multiLevelType w:val="hybridMultilevel"/>
    <w:tmpl w:val="E356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0"/>
  </w:num>
  <w:num w:numId="5">
    <w:abstractNumId w:val="12"/>
  </w:num>
  <w:num w:numId="6">
    <w:abstractNumId w:val="6"/>
  </w:num>
  <w:num w:numId="7">
    <w:abstractNumId w:val="16"/>
  </w:num>
  <w:num w:numId="8">
    <w:abstractNumId w:val="8"/>
  </w:num>
  <w:num w:numId="9">
    <w:abstractNumId w:val="10"/>
  </w:num>
  <w:num w:numId="10">
    <w:abstractNumId w:val="15"/>
  </w:num>
  <w:num w:numId="11">
    <w:abstractNumId w:val="1"/>
  </w:num>
  <w:num w:numId="12">
    <w:abstractNumId w:val="11"/>
  </w:num>
  <w:num w:numId="13">
    <w:abstractNumId w:val="9"/>
  </w:num>
  <w:num w:numId="14">
    <w:abstractNumId w:val="4"/>
  </w:num>
  <w:num w:numId="15">
    <w:abstractNumId w:val="2"/>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E9"/>
    <w:rsid w:val="000001EF"/>
    <w:rsid w:val="000146CA"/>
    <w:rsid w:val="00033F63"/>
    <w:rsid w:val="00051D26"/>
    <w:rsid w:val="00052D25"/>
    <w:rsid w:val="000627FC"/>
    <w:rsid w:val="000A1066"/>
    <w:rsid w:val="000B0F22"/>
    <w:rsid w:val="000C3FA8"/>
    <w:rsid w:val="000C41BC"/>
    <w:rsid w:val="000D045F"/>
    <w:rsid w:val="000D7D45"/>
    <w:rsid w:val="000E064E"/>
    <w:rsid w:val="000E3130"/>
    <w:rsid w:val="000E650F"/>
    <w:rsid w:val="00102BA5"/>
    <w:rsid w:val="00102C36"/>
    <w:rsid w:val="00114CAF"/>
    <w:rsid w:val="00131705"/>
    <w:rsid w:val="001347E1"/>
    <w:rsid w:val="00141F29"/>
    <w:rsid w:val="00161CA3"/>
    <w:rsid w:val="00165E36"/>
    <w:rsid w:val="00173352"/>
    <w:rsid w:val="001B171C"/>
    <w:rsid w:val="001E7FEC"/>
    <w:rsid w:val="001F0E06"/>
    <w:rsid w:val="002009F7"/>
    <w:rsid w:val="0022332B"/>
    <w:rsid w:val="002263C2"/>
    <w:rsid w:val="002475EF"/>
    <w:rsid w:val="00253D1C"/>
    <w:rsid w:val="0028031F"/>
    <w:rsid w:val="00282634"/>
    <w:rsid w:val="002868B7"/>
    <w:rsid w:val="00287A39"/>
    <w:rsid w:val="00295175"/>
    <w:rsid w:val="002C7B06"/>
    <w:rsid w:val="002D5ACB"/>
    <w:rsid w:val="002E5A06"/>
    <w:rsid w:val="002E70A5"/>
    <w:rsid w:val="00307056"/>
    <w:rsid w:val="00314702"/>
    <w:rsid w:val="00325947"/>
    <w:rsid w:val="003332EC"/>
    <w:rsid w:val="00334CB2"/>
    <w:rsid w:val="00344931"/>
    <w:rsid w:val="003459F8"/>
    <w:rsid w:val="00357944"/>
    <w:rsid w:val="00383521"/>
    <w:rsid w:val="003C25C4"/>
    <w:rsid w:val="003C34C0"/>
    <w:rsid w:val="003C5935"/>
    <w:rsid w:val="003D5FD5"/>
    <w:rsid w:val="003E0F76"/>
    <w:rsid w:val="003F3300"/>
    <w:rsid w:val="00411BBA"/>
    <w:rsid w:val="00442E20"/>
    <w:rsid w:val="00443E6B"/>
    <w:rsid w:val="004659BF"/>
    <w:rsid w:val="0047668D"/>
    <w:rsid w:val="004A4B7C"/>
    <w:rsid w:val="004C0F11"/>
    <w:rsid w:val="004C661A"/>
    <w:rsid w:val="004E2B5B"/>
    <w:rsid w:val="00501B67"/>
    <w:rsid w:val="00547482"/>
    <w:rsid w:val="0056359C"/>
    <w:rsid w:val="00564714"/>
    <w:rsid w:val="005A02C2"/>
    <w:rsid w:val="005F178E"/>
    <w:rsid w:val="005F61E3"/>
    <w:rsid w:val="0060762C"/>
    <w:rsid w:val="00610CE9"/>
    <w:rsid w:val="006147B1"/>
    <w:rsid w:val="00641035"/>
    <w:rsid w:val="0064354B"/>
    <w:rsid w:val="00666C47"/>
    <w:rsid w:val="00680559"/>
    <w:rsid w:val="006808F6"/>
    <w:rsid w:val="00687646"/>
    <w:rsid w:val="0069189B"/>
    <w:rsid w:val="006941E6"/>
    <w:rsid w:val="006B6609"/>
    <w:rsid w:val="006C1ABA"/>
    <w:rsid w:val="006D2C13"/>
    <w:rsid w:val="006D6C2B"/>
    <w:rsid w:val="00713A1A"/>
    <w:rsid w:val="00717421"/>
    <w:rsid w:val="00737B8C"/>
    <w:rsid w:val="00742281"/>
    <w:rsid w:val="00772233"/>
    <w:rsid w:val="00792478"/>
    <w:rsid w:val="007B3CE9"/>
    <w:rsid w:val="00807292"/>
    <w:rsid w:val="0083502E"/>
    <w:rsid w:val="00835EC1"/>
    <w:rsid w:val="00885878"/>
    <w:rsid w:val="008C6137"/>
    <w:rsid w:val="008D3195"/>
    <w:rsid w:val="008E2B03"/>
    <w:rsid w:val="00903429"/>
    <w:rsid w:val="00917CA2"/>
    <w:rsid w:val="00940776"/>
    <w:rsid w:val="00947E53"/>
    <w:rsid w:val="00963F63"/>
    <w:rsid w:val="009749BC"/>
    <w:rsid w:val="0097692C"/>
    <w:rsid w:val="00982471"/>
    <w:rsid w:val="009846CE"/>
    <w:rsid w:val="009923F5"/>
    <w:rsid w:val="009B24EE"/>
    <w:rsid w:val="009D2266"/>
    <w:rsid w:val="009E4F0F"/>
    <w:rsid w:val="009F19B2"/>
    <w:rsid w:val="009F78BF"/>
    <w:rsid w:val="00A0647C"/>
    <w:rsid w:val="00A21166"/>
    <w:rsid w:val="00A55480"/>
    <w:rsid w:val="00A56E63"/>
    <w:rsid w:val="00A64A6A"/>
    <w:rsid w:val="00A77B76"/>
    <w:rsid w:val="00A91C0D"/>
    <w:rsid w:val="00AA2AC3"/>
    <w:rsid w:val="00AD2CA9"/>
    <w:rsid w:val="00AD4B0F"/>
    <w:rsid w:val="00AE39C9"/>
    <w:rsid w:val="00AE66A7"/>
    <w:rsid w:val="00B16BA7"/>
    <w:rsid w:val="00B336D2"/>
    <w:rsid w:val="00B43A05"/>
    <w:rsid w:val="00B54E5E"/>
    <w:rsid w:val="00B711F5"/>
    <w:rsid w:val="00B82AFD"/>
    <w:rsid w:val="00BA7D74"/>
    <w:rsid w:val="00BB12E7"/>
    <w:rsid w:val="00C110AF"/>
    <w:rsid w:val="00C63EC0"/>
    <w:rsid w:val="00C6642E"/>
    <w:rsid w:val="00C80DF8"/>
    <w:rsid w:val="00C83AFB"/>
    <w:rsid w:val="00C90F4F"/>
    <w:rsid w:val="00D40C64"/>
    <w:rsid w:val="00D416C1"/>
    <w:rsid w:val="00D47024"/>
    <w:rsid w:val="00D65D00"/>
    <w:rsid w:val="00D7298E"/>
    <w:rsid w:val="00D82F3C"/>
    <w:rsid w:val="00D90717"/>
    <w:rsid w:val="00DB3380"/>
    <w:rsid w:val="00DD4490"/>
    <w:rsid w:val="00DD7B95"/>
    <w:rsid w:val="00DD7BDB"/>
    <w:rsid w:val="00DE5573"/>
    <w:rsid w:val="00E045B6"/>
    <w:rsid w:val="00E57B95"/>
    <w:rsid w:val="00E649E0"/>
    <w:rsid w:val="00EA3FB6"/>
    <w:rsid w:val="00EA664C"/>
    <w:rsid w:val="00EA6730"/>
    <w:rsid w:val="00EA69A1"/>
    <w:rsid w:val="00EA6C5E"/>
    <w:rsid w:val="00EC556C"/>
    <w:rsid w:val="00EE5FEF"/>
    <w:rsid w:val="00EF3447"/>
    <w:rsid w:val="00EF5EC1"/>
    <w:rsid w:val="00F26F6B"/>
    <w:rsid w:val="00F274B1"/>
    <w:rsid w:val="00F34C16"/>
    <w:rsid w:val="00F35195"/>
    <w:rsid w:val="00F50B6B"/>
    <w:rsid w:val="00F56A46"/>
    <w:rsid w:val="00F751EC"/>
    <w:rsid w:val="00F9274A"/>
    <w:rsid w:val="00FA7B8D"/>
    <w:rsid w:val="00FB21E0"/>
    <w:rsid w:val="00FB37D9"/>
    <w:rsid w:val="00FC03E4"/>
    <w:rsid w:val="00FE2605"/>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8CDCB"/>
  <w15:docId w15:val="{3F62E6D0-2456-424E-AF42-3AC0BD70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35195"/>
    <w:pPr>
      <w:widowControl w:val="0"/>
      <w:autoSpaceDE w:val="0"/>
      <w:autoSpaceDN w:val="0"/>
      <w:adjustRightInd w:val="0"/>
      <w:spacing w:after="0" w:line="240" w:lineRule="auto"/>
    </w:pPr>
    <w:rPr>
      <w:rFonts w:ascii="Times NewRoman" w:hAnsi="Times NewRoman"/>
      <w:sz w:val="24"/>
      <w:szCs w:val="24"/>
    </w:rPr>
  </w:style>
  <w:style w:type="paragraph" w:styleId="Heading1">
    <w:name w:val="heading 1"/>
    <w:basedOn w:val="Normal"/>
    <w:next w:val="Normal"/>
    <w:link w:val="Heading1Char"/>
    <w:uiPriority w:val="9"/>
    <w:qFormat/>
    <w:rsid w:val="00713A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3A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717421"/>
    <w:pPr>
      <w:widowControl/>
      <w:autoSpaceDE/>
      <w:autoSpaceDN/>
      <w:adjustRightInd/>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0E650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xi">
    <w:name w:val="px.i"/>
    <w:rsid w:val="00F35195"/>
    <w:rPr>
      <w:sz w:val="24"/>
      <w:szCs w:val="24"/>
    </w:rPr>
  </w:style>
  <w:style w:type="character" w:customStyle="1" w:styleId="pxcc">
    <w:name w:val="px.cc"/>
    <w:uiPriority w:val="99"/>
    <w:rsid w:val="00F35195"/>
    <w:rPr>
      <w:sz w:val="24"/>
      <w:szCs w:val="24"/>
    </w:rPr>
  </w:style>
  <w:style w:type="character" w:customStyle="1" w:styleId="pxurl">
    <w:name w:val="px.url"/>
    <w:uiPriority w:val="99"/>
    <w:rsid w:val="00F35195"/>
    <w:rPr>
      <w:sz w:val="24"/>
      <w:szCs w:val="24"/>
    </w:rPr>
  </w:style>
  <w:style w:type="character" w:customStyle="1" w:styleId="pxntc">
    <w:name w:val="px.ntc"/>
    <w:uiPriority w:val="99"/>
    <w:rsid w:val="00F35195"/>
    <w:rPr>
      <w:sz w:val="24"/>
      <w:szCs w:val="24"/>
    </w:rPr>
  </w:style>
  <w:style w:type="character" w:customStyle="1" w:styleId="pxx">
    <w:name w:val="px.x"/>
    <w:uiPriority w:val="99"/>
    <w:rsid w:val="00F35195"/>
    <w:rPr>
      <w:sz w:val="24"/>
      <w:szCs w:val="24"/>
    </w:rPr>
  </w:style>
  <w:style w:type="character" w:customStyle="1" w:styleId="pxst">
    <w:name w:val="px.st"/>
    <w:uiPriority w:val="99"/>
    <w:rsid w:val="00F35195"/>
    <w:rPr>
      <w:sz w:val="24"/>
      <w:szCs w:val="24"/>
    </w:rPr>
  </w:style>
  <w:style w:type="character" w:customStyle="1" w:styleId="pxsup">
    <w:name w:val="px.sup"/>
    <w:uiPriority w:val="99"/>
    <w:rsid w:val="00F35195"/>
    <w:rPr>
      <w:sz w:val="24"/>
      <w:szCs w:val="24"/>
    </w:rPr>
  </w:style>
  <w:style w:type="character" w:customStyle="1" w:styleId="pxvis">
    <w:name w:val="px.vis"/>
    <w:uiPriority w:val="99"/>
    <w:rsid w:val="00F35195"/>
    <w:rPr>
      <w:rFonts w:ascii="Arial" w:hAnsi="Arial" w:cs="Arial"/>
      <w:b/>
      <w:bCs/>
      <w:sz w:val="28"/>
      <w:szCs w:val="28"/>
    </w:rPr>
  </w:style>
  <w:style w:type="character" w:styleId="FootnoteReference">
    <w:name w:val="footnote reference"/>
    <w:aliases w:val="fr"/>
    <w:basedOn w:val="DefaultParagraphFont"/>
    <w:uiPriority w:val="99"/>
    <w:rsid w:val="00F35195"/>
    <w:rPr>
      <w:vertAlign w:val="superscript"/>
    </w:rPr>
  </w:style>
  <w:style w:type="character" w:customStyle="1" w:styleId="pxffnr">
    <w:name w:val="px.ffnr"/>
    <w:uiPriority w:val="99"/>
    <w:rsid w:val="00F35195"/>
  </w:style>
  <w:style w:type="character" w:customStyle="1" w:styleId="pxentry">
    <w:name w:val="px.entry"/>
    <w:uiPriority w:val="99"/>
    <w:rsid w:val="00F35195"/>
  </w:style>
  <w:style w:type="character" w:customStyle="1" w:styleId="pxrowentry">
    <w:name w:val="px.row.entry"/>
    <w:uiPriority w:val="99"/>
    <w:rsid w:val="00F35195"/>
  </w:style>
  <w:style w:type="character" w:customStyle="1" w:styleId="pxreadme">
    <w:name w:val="px.readme"/>
    <w:uiPriority w:val="99"/>
    <w:rsid w:val="00F35195"/>
  </w:style>
  <w:style w:type="character" w:customStyle="1" w:styleId="pxmsg">
    <w:name w:val="px.msg"/>
    <w:uiPriority w:val="99"/>
    <w:rsid w:val="00F35195"/>
  </w:style>
  <w:style w:type="paragraph" w:customStyle="1" w:styleId="pxpub">
    <w:name w:val="px.pub"/>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ch">
    <w:name w:val="px.ch"/>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d">
    <w:name w:val="px.d"/>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s">
    <w:name w:val="px.s"/>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p">
    <w:name w:val="px.p"/>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qbqp">
    <w:name w:val="px.qb.qp"/>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qblp">
    <w:name w:val="px.qb.l.p"/>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lp">
    <w:name w:val="px.l.p"/>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customStyle="1" w:styleId="pxcp">
    <w:name w:val="px.cp"/>
    <w:next w:val="Normal"/>
    <w:uiPriority w:val="99"/>
    <w:rsid w:val="00F35195"/>
    <w:pPr>
      <w:widowControl w:val="0"/>
      <w:autoSpaceDE w:val="0"/>
      <w:autoSpaceDN w:val="0"/>
      <w:adjustRightInd w:val="0"/>
      <w:spacing w:after="0" w:line="240" w:lineRule="auto"/>
    </w:pPr>
    <w:rPr>
      <w:rFonts w:ascii="Times NewRoman" w:hAnsi="Times NewRoman"/>
      <w:sz w:val="24"/>
      <w:szCs w:val="24"/>
    </w:rPr>
  </w:style>
  <w:style w:type="paragraph" w:styleId="FootnoteText">
    <w:name w:val="footnote text"/>
    <w:aliases w:val="Footnote Text Char Char Char Char Char,Footnote Text Char Char Char Char"/>
    <w:basedOn w:val="Normal"/>
    <w:next w:val="Normal"/>
    <w:link w:val="FootnoteTextChar"/>
    <w:uiPriority w:val="99"/>
    <w:rsid w:val="00F35195"/>
    <w:rPr>
      <w:sz w:val="20"/>
      <w:szCs w:val="20"/>
    </w:rPr>
  </w:style>
  <w:style w:type="character" w:customStyle="1" w:styleId="FootnoteTextChar">
    <w:name w:val="Footnote Text Char"/>
    <w:aliases w:val="Footnote Text Char Char Char Char Char Char,Footnote Text Char Char Char Char Char1"/>
    <w:basedOn w:val="DefaultParagraphFont"/>
    <w:link w:val="FootnoteText"/>
    <w:uiPriority w:val="99"/>
    <w:rsid w:val="00F35195"/>
    <w:rPr>
      <w:rFonts w:ascii="Times NewRoman" w:hAnsi="Times NewRoman"/>
      <w:sz w:val="20"/>
      <w:szCs w:val="20"/>
    </w:rPr>
  </w:style>
  <w:style w:type="character" w:styleId="EndnoteReference">
    <w:name w:val="endnote reference"/>
    <w:basedOn w:val="DefaultParagraphFont"/>
    <w:uiPriority w:val="99"/>
    <w:semiHidden/>
    <w:unhideWhenUsed/>
    <w:rsid w:val="007B3CE9"/>
    <w:rPr>
      <w:vertAlign w:val="superscript"/>
    </w:rPr>
  </w:style>
  <w:style w:type="paragraph" w:styleId="BalloonText">
    <w:name w:val="Balloon Text"/>
    <w:basedOn w:val="Normal"/>
    <w:link w:val="BalloonTextChar"/>
    <w:uiPriority w:val="99"/>
    <w:semiHidden/>
    <w:unhideWhenUsed/>
    <w:rsid w:val="009D2266"/>
    <w:rPr>
      <w:rFonts w:ascii="Tahoma" w:hAnsi="Tahoma" w:cs="Tahoma"/>
      <w:sz w:val="16"/>
      <w:szCs w:val="16"/>
    </w:rPr>
  </w:style>
  <w:style w:type="character" w:customStyle="1" w:styleId="BalloonTextChar">
    <w:name w:val="Balloon Text Char"/>
    <w:basedOn w:val="DefaultParagraphFont"/>
    <w:link w:val="BalloonText"/>
    <w:uiPriority w:val="99"/>
    <w:semiHidden/>
    <w:rsid w:val="009D2266"/>
    <w:rPr>
      <w:rFonts w:ascii="Tahoma" w:hAnsi="Tahoma" w:cs="Tahoma"/>
      <w:sz w:val="16"/>
      <w:szCs w:val="16"/>
    </w:rPr>
  </w:style>
  <w:style w:type="character" w:styleId="Hyperlink">
    <w:name w:val="Hyperlink"/>
    <w:basedOn w:val="DefaultParagraphFont"/>
    <w:uiPriority w:val="99"/>
    <w:unhideWhenUsed/>
    <w:rsid w:val="008D3195"/>
    <w:rPr>
      <w:color w:val="0000FF" w:themeColor="hyperlink"/>
      <w:u w:val="single"/>
    </w:rPr>
  </w:style>
  <w:style w:type="character" w:styleId="Strong">
    <w:name w:val="Strong"/>
    <w:basedOn w:val="DefaultParagraphFont"/>
    <w:uiPriority w:val="22"/>
    <w:qFormat/>
    <w:rsid w:val="00B711F5"/>
    <w:rPr>
      <w:b/>
      <w:bCs/>
    </w:rPr>
  </w:style>
  <w:style w:type="character" w:customStyle="1" w:styleId="byline">
    <w:name w:val="byline"/>
    <w:basedOn w:val="DefaultParagraphFont"/>
    <w:rsid w:val="00B711F5"/>
  </w:style>
  <w:style w:type="character" w:customStyle="1" w:styleId="author">
    <w:name w:val="author"/>
    <w:basedOn w:val="DefaultParagraphFont"/>
    <w:rsid w:val="00B711F5"/>
  </w:style>
  <w:style w:type="character" w:styleId="CommentReference">
    <w:name w:val="annotation reference"/>
    <w:basedOn w:val="DefaultParagraphFont"/>
    <w:uiPriority w:val="99"/>
    <w:semiHidden/>
    <w:unhideWhenUsed/>
    <w:rsid w:val="00F274B1"/>
    <w:rPr>
      <w:sz w:val="16"/>
      <w:szCs w:val="16"/>
    </w:rPr>
  </w:style>
  <w:style w:type="paragraph" w:styleId="CommentText">
    <w:name w:val="annotation text"/>
    <w:basedOn w:val="Normal"/>
    <w:link w:val="CommentTextChar"/>
    <w:uiPriority w:val="99"/>
    <w:semiHidden/>
    <w:unhideWhenUsed/>
    <w:rsid w:val="00F274B1"/>
    <w:rPr>
      <w:sz w:val="20"/>
      <w:szCs w:val="20"/>
    </w:rPr>
  </w:style>
  <w:style w:type="character" w:customStyle="1" w:styleId="CommentTextChar">
    <w:name w:val="Comment Text Char"/>
    <w:basedOn w:val="DefaultParagraphFont"/>
    <w:link w:val="CommentText"/>
    <w:uiPriority w:val="99"/>
    <w:semiHidden/>
    <w:rsid w:val="00F274B1"/>
    <w:rPr>
      <w:rFonts w:ascii="Times NewRoman" w:hAnsi="Times NewRoman"/>
      <w:sz w:val="20"/>
      <w:szCs w:val="20"/>
    </w:rPr>
  </w:style>
  <w:style w:type="paragraph" w:styleId="CommentSubject">
    <w:name w:val="annotation subject"/>
    <w:basedOn w:val="CommentText"/>
    <w:next w:val="CommentText"/>
    <w:link w:val="CommentSubjectChar"/>
    <w:uiPriority w:val="99"/>
    <w:semiHidden/>
    <w:unhideWhenUsed/>
    <w:rsid w:val="00F274B1"/>
    <w:rPr>
      <w:b/>
      <w:bCs/>
    </w:rPr>
  </w:style>
  <w:style w:type="character" w:customStyle="1" w:styleId="CommentSubjectChar">
    <w:name w:val="Comment Subject Char"/>
    <w:basedOn w:val="CommentTextChar"/>
    <w:link w:val="CommentSubject"/>
    <w:uiPriority w:val="99"/>
    <w:semiHidden/>
    <w:rsid w:val="00F274B1"/>
    <w:rPr>
      <w:rFonts w:ascii="Times NewRoman" w:hAnsi="Times NewRoman"/>
      <w:b/>
      <w:bCs/>
      <w:sz w:val="20"/>
      <w:szCs w:val="20"/>
    </w:rPr>
  </w:style>
  <w:style w:type="character" w:customStyle="1" w:styleId="apple-converted-space">
    <w:name w:val="apple-converted-space"/>
    <w:basedOn w:val="DefaultParagraphFont"/>
    <w:rsid w:val="00717421"/>
  </w:style>
  <w:style w:type="character" w:customStyle="1" w:styleId="Heading5Char">
    <w:name w:val="Heading 5 Char"/>
    <w:basedOn w:val="DefaultParagraphFont"/>
    <w:link w:val="Heading5"/>
    <w:uiPriority w:val="9"/>
    <w:rsid w:val="0071742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13A1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13A1A"/>
    <w:rPr>
      <w:rFonts w:asciiTheme="majorHAnsi" w:eastAsiaTheme="majorEastAsia" w:hAnsiTheme="majorHAnsi" w:cstheme="majorBidi"/>
      <w:color w:val="365F91" w:themeColor="accent1" w:themeShade="BF"/>
      <w:sz w:val="32"/>
      <w:szCs w:val="32"/>
    </w:rPr>
  </w:style>
  <w:style w:type="character" w:styleId="HTMLTypewriter">
    <w:name w:val="HTML Typewriter"/>
    <w:basedOn w:val="DefaultParagraphFont"/>
    <w:rsid w:val="00EE5FEF"/>
    <w:rPr>
      <w:rFonts w:ascii="Courier New" w:eastAsia="Times New Roman" w:hAnsi="Courier New" w:cs="Courier New"/>
      <w:sz w:val="20"/>
      <w:szCs w:val="20"/>
    </w:rPr>
  </w:style>
  <w:style w:type="paragraph" w:styleId="ListParagraph">
    <w:name w:val="List Paragraph"/>
    <w:basedOn w:val="Normal"/>
    <w:uiPriority w:val="34"/>
    <w:qFormat/>
    <w:rsid w:val="00EE5FEF"/>
    <w:pPr>
      <w:ind w:left="720"/>
      <w:contextualSpacing/>
    </w:pPr>
  </w:style>
  <w:style w:type="character" w:customStyle="1" w:styleId="cosearchdetaillevel2">
    <w:name w:val="co_search_detaillevel_2"/>
    <w:basedOn w:val="DefaultParagraphFont"/>
    <w:rsid w:val="00EE5FEF"/>
  </w:style>
  <w:style w:type="character" w:customStyle="1" w:styleId="cosearchterm">
    <w:name w:val="co_searchterm"/>
    <w:basedOn w:val="DefaultParagraphFont"/>
    <w:rsid w:val="00411BBA"/>
  </w:style>
  <w:style w:type="character" w:customStyle="1" w:styleId="copinpointicon">
    <w:name w:val="co_pinpointicon"/>
    <w:basedOn w:val="DefaultParagraphFont"/>
    <w:rsid w:val="00411BBA"/>
  </w:style>
  <w:style w:type="character" w:styleId="Emphasis">
    <w:name w:val="Emphasis"/>
    <w:basedOn w:val="DefaultParagraphFont"/>
    <w:uiPriority w:val="20"/>
    <w:qFormat/>
    <w:rsid w:val="004C0F11"/>
    <w:rPr>
      <w:i/>
      <w:iCs/>
    </w:rPr>
  </w:style>
  <w:style w:type="paragraph" w:styleId="Header">
    <w:name w:val="header"/>
    <w:basedOn w:val="Normal"/>
    <w:link w:val="HeaderChar"/>
    <w:uiPriority w:val="99"/>
    <w:unhideWhenUsed/>
    <w:rsid w:val="00F34C16"/>
    <w:pPr>
      <w:tabs>
        <w:tab w:val="center" w:pos="4680"/>
        <w:tab w:val="right" w:pos="9360"/>
      </w:tabs>
    </w:pPr>
  </w:style>
  <w:style w:type="character" w:customStyle="1" w:styleId="HeaderChar">
    <w:name w:val="Header Char"/>
    <w:basedOn w:val="DefaultParagraphFont"/>
    <w:link w:val="Header"/>
    <w:uiPriority w:val="99"/>
    <w:rsid w:val="00F34C16"/>
    <w:rPr>
      <w:rFonts w:ascii="Times NewRoman" w:hAnsi="Times NewRoman"/>
      <w:sz w:val="24"/>
      <w:szCs w:val="24"/>
    </w:rPr>
  </w:style>
  <w:style w:type="paragraph" w:styleId="Footer">
    <w:name w:val="footer"/>
    <w:basedOn w:val="Normal"/>
    <w:link w:val="FooterChar"/>
    <w:uiPriority w:val="99"/>
    <w:unhideWhenUsed/>
    <w:rsid w:val="00F34C16"/>
    <w:pPr>
      <w:tabs>
        <w:tab w:val="center" w:pos="4680"/>
        <w:tab w:val="right" w:pos="9360"/>
      </w:tabs>
    </w:pPr>
  </w:style>
  <w:style w:type="character" w:customStyle="1" w:styleId="FooterChar">
    <w:name w:val="Footer Char"/>
    <w:basedOn w:val="DefaultParagraphFont"/>
    <w:link w:val="Footer"/>
    <w:uiPriority w:val="99"/>
    <w:rsid w:val="00F34C16"/>
    <w:rPr>
      <w:rFonts w:ascii="Times NewRoman" w:hAnsi="Times NewRoman"/>
      <w:sz w:val="24"/>
      <w:szCs w:val="24"/>
    </w:rPr>
  </w:style>
  <w:style w:type="paragraph" w:styleId="NormalWeb">
    <w:name w:val="Normal (Web)"/>
    <w:basedOn w:val="Normal"/>
    <w:uiPriority w:val="99"/>
    <w:unhideWhenUsed/>
    <w:rsid w:val="00D40C64"/>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rsid w:val="000E650F"/>
    <w:rPr>
      <w:rFonts w:asciiTheme="majorHAnsi" w:eastAsiaTheme="majorEastAsia" w:hAnsiTheme="majorHAnsi" w:cstheme="majorBidi"/>
      <w:color w:val="243F60" w:themeColor="accent1" w:themeShade="7F"/>
      <w:sz w:val="24"/>
      <w:szCs w:val="24"/>
    </w:rPr>
  </w:style>
  <w:style w:type="paragraph" w:customStyle="1" w:styleId="Default">
    <w:name w:val="Default"/>
    <w:rsid w:val="00E57B95"/>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4813">
      <w:bodyDiv w:val="1"/>
      <w:marLeft w:val="0"/>
      <w:marRight w:val="0"/>
      <w:marTop w:val="0"/>
      <w:marBottom w:val="0"/>
      <w:divBdr>
        <w:top w:val="none" w:sz="0" w:space="0" w:color="auto"/>
        <w:left w:val="none" w:sz="0" w:space="0" w:color="auto"/>
        <w:bottom w:val="none" w:sz="0" w:space="0" w:color="auto"/>
        <w:right w:val="none" w:sz="0" w:space="0" w:color="auto"/>
      </w:divBdr>
    </w:div>
    <w:div w:id="152113330">
      <w:bodyDiv w:val="1"/>
      <w:marLeft w:val="0"/>
      <w:marRight w:val="0"/>
      <w:marTop w:val="0"/>
      <w:marBottom w:val="0"/>
      <w:divBdr>
        <w:top w:val="none" w:sz="0" w:space="0" w:color="auto"/>
        <w:left w:val="none" w:sz="0" w:space="0" w:color="auto"/>
        <w:bottom w:val="none" w:sz="0" w:space="0" w:color="auto"/>
        <w:right w:val="none" w:sz="0" w:space="0" w:color="auto"/>
      </w:divBdr>
      <w:divsChild>
        <w:div w:id="1727874149">
          <w:marLeft w:val="0"/>
          <w:marRight w:val="0"/>
          <w:marTop w:val="0"/>
          <w:marBottom w:val="0"/>
          <w:divBdr>
            <w:top w:val="none" w:sz="0" w:space="0" w:color="auto"/>
            <w:left w:val="none" w:sz="0" w:space="0" w:color="auto"/>
            <w:bottom w:val="none" w:sz="0" w:space="0" w:color="auto"/>
            <w:right w:val="none" w:sz="0" w:space="0" w:color="auto"/>
          </w:divBdr>
        </w:div>
      </w:divsChild>
    </w:div>
    <w:div w:id="156073219">
      <w:bodyDiv w:val="1"/>
      <w:marLeft w:val="0"/>
      <w:marRight w:val="0"/>
      <w:marTop w:val="0"/>
      <w:marBottom w:val="0"/>
      <w:divBdr>
        <w:top w:val="none" w:sz="0" w:space="0" w:color="auto"/>
        <w:left w:val="none" w:sz="0" w:space="0" w:color="auto"/>
        <w:bottom w:val="none" w:sz="0" w:space="0" w:color="auto"/>
        <w:right w:val="none" w:sz="0" w:space="0" w:color="auto"/>
      </w:divBdr>
    </w:div>
    <w:div w:id="503319966">
      <w:bodyDiv w:val="1"/>
      <w:marLeft w:val="0"/>
      <w:marRight w:val="0"/>
      <w:marTop w:val="0"/>
      <w:marBottom w:val="0"/>
      <w:divBdr>
        <w:top w:val="none" w:sz="0" w:space="0" w:color="auto"/>
        <w:left w:val="none" w:sz="0" w:space="0" w:color="auto"/>
        <w:bottom w:val="none" w:sz="0" w:space="0" w:color="auto"/>
        <w:right w:val="none" w:sz="0" w:space="0" w:color="auto"/>
      </w:divBdr>
    </w:div>
    <w:div w:id="567766855">
      <w:bodyDiv w:val="1"/>
      <w:marLeft w:val="0"/>
      <w:marRight w:val="0"/>
      <w:marTop w:val="0"/>
      <w:marBottom w:val="0"/>
      <w:divBdr>
        <w:top w:val="none" w:sz="0" w:space="0" w:color="auto"/>
        <w:left w:val="none" w:sz="0" w:space="0" w:color="auto"/>
        <w:bottom w:val="none" w:sz="0" w:space="0" w:color="auto"/>
        <w:right w:val="none" w:sz="0" w:space="0" w:color="auto"/>
      </w:divBdr>
    </w:div>
    <w:div w:id="887061071">
      <w:bodyDiv w:val="1"/>
      <w:marLeft w:val="0"/>
      <w:marRight w:val="0"/>
      <w:marTop w:val="0"/>
      <w:marBottom w:val="0"/>
      <w:divBdr>
        <w:top w:val="none" w:sz="0" w:space="0" w:color="auto"/>
        <w:left w:val="none" w:sz="0" w:space="0" w:color="auto"/>
        <w:bottom w:val="none" w:sz="0" w:space="0" w:color="auto"/>
        <w:right w:val="none" w:sz="0" w:space="0" w:color="auto"/>
      </w:divBdr>
    </w:div>
    <w:div w:id="894396091">
      <w:bodyDiv w:val="1"/>
      <w:marLeft w:val="0"/>
      <w:marRight w:val="0"/>
      <w:marTop w:val="0"/>
      <w:marBottom w:val="0"/>
      <w:divBdr>
        <w:top w:val="none" w:sz="0" w:space="0" w:color="auto"/>
        <w:left w:val="none" w:sz="0" w:space="0" w:color="auto"/>
        <w:bottom w:val="none" w:sz="0" w:space="0" w:color="auto"/>
        <w:right w:val="none" w:sz="0" w:space="0" w:color="auto"/>
      </w:divBdr>
    </w:div>
    <w:div w:id="1528517923">
      <w:bodyDiv w:val="1"/>
      <w:marLeft w:val="0"/>
      <w:marRight w:val="0"/>
      <w:marTop w:val="0"/>
      <w:marBottom w:val="0"/>
      <w:divBdr>
        <w:top w:val="none" w:sz="0" w:space="0" w:color="auto"/>
        <w:left w:val="none" w:sz="0" w:space="0" w:color="auto"/>
        <w:bottom w:val="none" w:sz="0" w:space="0" w:color="auto"/>
        <w:right w:val="none" w:sz="0" w:space="0" w:color="auto"/>
      </w:divBdr>
    </w:div>
    <w:div w:id="1627420067">
      <w:bodyDiv w:val="1"/>
      <w:marLeft w:val="0"/>
      <w:marRight w:val="0"/>
      <w:marTop w:val="0"/>
      <w:marBottom w:val="0"/>
      <w:divBdr>
        <w:top w:val="none" w:sz="0" w:space="0" w:color="auto"/>
        <w:left w:val="none" w:sz="0" w:space="0" w:color="auto"/>
        <w:bottom w:val="none" w:sz="0" w:space="0" w:color="auto"/>
        <w:right w:val="none" w:sz="0" w:space="0" w:color="auto"/>
      </w:divBdr>
    </w:div>
    <w:div w:id="1891455868">
      <w:bodyDiv w:val="1"/>
      <w:marLeft w:val="0"/>
      <w:marRight w:val="0"/>
      <w:marTop w:val="0"/>
      <w:marBottom w:val="0"/>
      <w:divBdr>
        <w:top w:val="none" w:sz="0" w:space="0" w:color="auto"/>
        <w:left w:val="none" w:sz="0" w:space="0" w:color="auto"/>
        <w:bottom w:val="none" w:sz="0" w:space="0" w:color="auto"/>
        <w:right w:val="none" w:sz="0" w:space="0" w:color="auto"/>
      </w:divBdr>
    </w:div>
    <w:div w:id="19292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35d9e439dbf811e1b60ab297d3d07bc5/View/FullText.html?navigationPath=RelatedInfo%2Fv4%2Fkeycite%2Fnav%2F%3Fguid%3DI35d9e439dbf811e1b60ab297d3d07bc5%26ss%3D2006303051%26ds%3D2028320314&amp;listSource=RelatedInfo&amp;list=NegativeCitingReferences&amp;rank=0&amp;originationContext=docHeader&amp;transitionType=NegativeTreatment&amp;contextData=%28sc.Keycite%2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his.usda.gov/aphis/ourfocus/biotechnology/brs-news-and-information/ge+wheat+washington+stat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new.nationalaglawcenter.org/wp-content/uploads/assets/articles/IAdirectfarm.pdf" TargetMode="External"/><Relationship Id="rId3" Type="http://schemas.openxmlformats.org/officeDocument/2006/relationships/hyperlink" Target="http://ngfa.org/wp-content/uploads/Agrisure-Viptera-MIR-162-Case-Study-An-Economic-Impact-Analysis.pdf" TargetMode="External"/><Relationship Id="rId7" Type="http://schemas.openxmlformats.org/officeDocument/2006/relationships/hyperlink" Target="http://www.usda.gov/wps/portal/usda/usdahome?navid=BIOTECH_AC21&amp;navtype=RT&amp;parentnav=BIOTECH" TargetMode="External"/><Relationship Id="rId12" Type="http://schemas.openxmlformats.org/officeDocument/2006/relationships/hyperlink" Target="http://lawdigitalcommons.bc.edu/ealr/vol15/iss3/6" TargetMode="External"/><Relationship Id="rId2" Type="http://schemas.openxmlformats.org/officeDocument/2006/relationships/hyperlink" Target="http://www.fien.com/pdfs/IllinoisvSyngenta.pdf" TargetMode="External"/><Relationship Id="rId1" Type="http://schemas.openxmlformats.org/officeDocument/2006/relationships/hyperlink" Target="file:///C:\Users\Thomas\OneDrive\OMG\Documents\TOM-HP\DAD%20WORK\articles\West%20Product%20Liability%20Prevention\2015%20West\supra" TargetMode="External"/><Relationship Id="rId6" Type="http://schemas.openxmlformats.org/officeDocument/2006/relationships/hyperlink" Target="https://www.geneticliteracyproject.org/2015/09/03/marsh-v-baxter-organic-farmer-loses-appeal-ordered-pay-800000-pleas-grow-farm-co-existence/" TargetMode="External"/><Relationship Id="rId11" Type="http://schemas.openxmlformats.org/officeDocument/2006/relationships/hyperlink" Target="http://law.justia.com/cases/missouri/supreme-court/1992/73301-0.html" TargetMode="External"/><Relationship Id="rId5" Type="http://schemas.openxmlformats.org/officeDocument/2006/relationships/hyperlink" Target="http://nationalaglawcenter.org/wp-content/uploads/assets/articles/peck_aftergeertson.pdf" TargetMode="External"/><Relationship Id="rId10" Type="http://schemas.openxmlformats.org/officeDocument/2006/relationships/hyperlink" Target="http://www.monsanto.com/products/pages/soybean-seeds.aspx" TargetMode="External"/><Relationship Id="rId4" Type="http://schemas.openxmlformats.org/officeDocument/2006/relationships/hyperlink" Target="http://www.agritrade.org/Publications/documents/LLPOverview.pdf" TargetMode="External"/><Relationship Id="rId9" Type="http://schemas.openxmlformats.org/officeDocument/2006/relationships/hyperlink" Target="http://www.isaaa.org/gmapprovaldatabase/event/default.asp?EventID=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9684</Words>
  <Characters>54094</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Donk</dc:creator>
  <cp:lastModifiedBy>Casey, Kareta</cp:lastModifiedBy>
  <cp:revision>4</cp:revision>
  <cp:lastPrinted>2016-09-08T14:09:00Z</cp:lastPrinted>
  <dcterms:created xsi:type="dcterms:W3CDTF">2016-09-27T17:40:00Z</dcterms:created>
  <dcterms:modified xsi:type="dcterms:W3CDTF">2016-10-04T14:20:00Z</dcterms:modified>
</cp:coreProperties>
</file>