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styles.xml" ContentType="application/vnd.openxmlformats-officedocument.wordprocessingml.styles+xml"/>
  <Override PartName="/word/footer3.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3.xml" ContentType="application/vnd.openxmlformats-officedocument.wordprocessingml.header+xml"/>
  <Override PartName="/word/webSettings.xml" ContentType="application/vnd.openxmlformats-officedocument.wordprocessingml.webSettings+xml"/>
  <Override PartName="/word/footer2.xml" ContentType="application/vnd.openxmlformats-officedocument.wordprocessingml.footer+xml"/>
  <Override PartName="/docProps/custom.xml" ContentType="application/vnd.openxmlformats-officedocument.custom-properties+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064" w:rsidRDefault="000A0064" w:rsidP="000A0064">
      <w:pPr>
        <w:tabs>
          <w:tab w:val="left" w:pos="7200"/>
        </w:tabs>
        <w:spacing w:after="0"/>
        <w:jc w:val="right"/>
        <w:rPr>
          <w:rFonts w:ascii="Tw Cen MT" w:hAnsi="Tw Cen MT"/>
          <w:sz w:val="40"/>
          <w:szCs w:val="40"/>
        </w:rPr>
      </w:pPr>
      <w:bookmarkStart w:id="0" w:name="_GoBack"/>
      <w:bookmarkEnd w:id="0"/>
      <w:r>
        <w:rPr>
          <w:noProof/>
        </w:rPr>
        <w:drawing>
          <wp:inline distT="0" distB="0" distL="0" distR="0" wp14:anchorId="2D8995B2" wp14:editId="52CBEF8A">
            <wp:extent cx="1857375" cy="333375"/>
            <wp:effectExtent l="0" t="0" r="9525" b="9525"/>
            <wp:docPr id="6" name="Picture 6" descr="https://www.dunncarney.com/wp-content/uploads/2017/01/DCA_New_Sig.png"/>
            <wp:cNvGraphicFramePr/>
            <a:graphic xmlns:a="http://schemas.openxmlformats.org/drawingml/2006/main">
              <a:graphicData uri="http://schemas.openxmlformats.org/drawingml/2006/picture">
                <pic:pic xmlns:pic="http://schemas.openxmlformats.org/drawingml/2006/picture">
                  <pic:nvPicPr>
                    <pic:cNvPr id="1" name="Picture 1" descr="https://www.dunncarney.com/wp-content/uploads/2017/01/DCA_New_Sig.png"/>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857375" cy="333375"/>
                    </a:xfrm>
                    <a:prstGeom prst="rect">
                      <a:avLst/>
                    </a:prstGeom>
                    <a:noFill/>
                    <a:ln>
                      <a:noFill/>
                    </a:ln>
                  </pic:spPr>
                </pic:pic>
              </a:graphicData>
            </a:graphic>
          </wp:inline>
        </w:drawing>
      </w:r>
    </w:p>
    <w:p w:rsidR="0067099C" w:rsidRDefault="00ED02E4" w:rsidP="001630D5">
      <w:pPr>
        <w:tabs>
          <w:tab w:val="left" w:pos="7200"/>
        </w:tabs>
        <w:spacing w:after="0"/>
        <w:rPr>
          <w:rFonts w:ascii="Tw Cen MT" w:hAnsi="Tw Cen MT"/>
          <w:sz w:val="40"/>
          <w:szCs w:val="40"/>
        </w:rPr>
      </w:pPr>
      <w:r>
        <w:rPr>
          <w:rFonts w:ascii="Tw Cen MT" w:hAnsi="Tw Cen MT"/>
          <w:sz w:val="40"/>
          <w:szCs w:val="40"/>
        </w:rPr>
        <w:t xml:space="preserve">2019 AALA </w:t>
      </w:r>
      <w:r w:rsidR="001630D5">
        <w:rPr>
          <w:rFonts w:ascii="Tw Cen MT" w:hAnsi="Tw Cen MT"/>
          <w:sz w:val="40"/>
          <w:szCs w:val="40"/>
        </w:rPr>
        <w:t>Agricultural</w:t>
      </w:r>
      <w:r>
        <w:rPr>
          <w:rFonts w:ascii="Tw Cen MT" w:hAnsi="Tw Cen MT"/>
          <w:sz w:val="40"/>
          <w:szCs w:val="40"/>
        </w:rPr>
        <w:t xml:space="preserve"> Law</w:t>
      </w:r>
      <w:r w:rsidR="001630D5">
        <w:rPr>
          <w:rFonts w:ascii="Tw Cen MT" w:hAnsi="Tw Cen MT"/>
          <w:sz w:val="40"/>
          <w:szCs w:val="40"/>
        </w:rPr>
        <w:tab/>
      </w:r>
      <w:r>
        <w:rPr>
          <w:rFonts w:ascii="Tw Cen MT" w:hAnsi="Tw Cen MT"/>
          <w:sz w:val="40"/>
          <w:szCs w:val="40"/>
        </w:rPr>
        <w:br/>
        <w:t>Education Symposium</w:t>
      </w:r>
    </w:p>
    <w:p w:rsidR="00ED02E4" w:rsidRPr="0067099C" w:rsidRDefault="00ED02E4" w:rsidP="00802686">
      <w:pPr>
        <w:spacing w:after="0"/>
        <w:rPr>
          <w:rFonts w:ascii="Tw Cen MT" w:hAnsi="Tw Cen MT"/>
          <w:sz w:val="40"/>
          <w:szCs w:val="40"/>
        </w:rPr>
      </w:pPr>
      <w:r>
        <w:rPr>
          <w:rFonts w:ascii="Tw Cen MT" w:hAnsi="Tw Cen MT"/>
          <w:sz w:val="40"/>
          <w:szCs w:val="40"/>
        </w:rPr>
        <w:t>Washington, D.C.</w:t>
      </w:r>
    </w:p>
    <w:p w:rsidR="00D929BF" w:rsidRPr="0067099C" w:rsidRDefault="00D929BF" w:rsidP="00ED02E4">
      <w:pPr>
        <w:spacing w:before="2880" w:after="0"/>
        <w:jc w:val="center"/>
        <w:rPr>
          <w:rFonts w:ascii="Tw Cen MT" w:hAnsi="Tw Cen MT"/>
          <w:sz w:val="48"/>
          <w:szCs w:val="48"/>
        </w:rPr>
      </w:pPr>
      <w:r w:rsidRPr="0067099C">
        <w:rPr>
          <w:rFonts w:ascii="Tw Cen MT" w:hAnsi="Tw Cen MT"/>
          <w:sz w:val="40"/>
          <w:szCs w:val="40"/>
        </w:rPr>
        <w:t>TOP 1</w:t>
      </w:r>
      <w:r w:rsidR="00246077" w:rsidRPr="0067099C">
        <w:rPr>
          <w:rFonts w:ascii="Tw Cen MT" w:hAnsi="Tw Cen MT"/>
          <w:sz w:val="40"/>
          <w:szCs w:val="40"/>
        </w:rPr>
        <w:t>0</w:t>
      </w:r>
      <w:r w:rsidRPr="0067099C">
        <w:rPr>
          <w:rFonts w:ascii="Tw Cen MT" w:hAnsi="Tw Cen MT"/>
          <w:sz w:val="40"/>
          <w:szCs w:val="40"/>
        </w:rPr>
        <w:t xml:space="preserve"> ISSUES </w:t>
      </w:r>
      <w:r w:rsidR="003E30E2" w:rsidRPr="0067099C">
        <w:rPr>
          <w:rFonts w:ascii="Tw Cen MT" w:hAnsi="Tw Cen MT"/>
          <w:sz w:val="40"/>
          <w:szCs w:val="40"/>
        </w:rPr>
        <w:t>IN</w:t>
      </w:r>
      <w:r w:rsidR="0067099C" w:rsidRPr="0067099C">
        <w:rPr>
          <w:rFonts w:ascii="Tw Cen MT" w:hAnsi="Tw Cen MT"/>
          <w:sz w:val="40"/>
          <w:szCs w:val="40"/>
        </w:rPr>
        <w:t xml:space="preserve"> </w:t>
      </w:r>
      <w:r w:rsidR="00ED02E4">
        <w:rPr>
          <w:rFonts w:ascii="Tw Cen MT" w:hAnsi="Tw Cen MT"/>
          <w:sz w:val="40"/>
          <w:szCs w:val="40"/>
        </w:rPr>
        <w:t>AGRICULTURAL LEASES FOR LANDLORDS AND TENANTS</w:t>
      </w:r>
    </w:p>
    <w:p w:rsidR="00D929BF" w:rsidRPr="0067099C" w:rsidRDefault="00D929BF" w:rsidP="00B60224">
      <w:pPr>
        <w:spacing w:before="100" w:beforeAutospacing="1" w:after="0"/>
        <w:jc w:val="center"/>
        <w:rPr>
          <w:rFonts w:ascii="Tw Cen MT" w:hAnsi="Tw Cen MT"/>
          <w:b/>
          <w:sz w:val="28"/>
          <w:szCs w:val="28"/>
        </w:rPr>
      </w:pPr>
      <w:r w:rsidRPr="0067099C">
        <w:rPr>
          <w:rFonts w:ascii="Tw Cen MT" w:hAnsi="Tw Cen MT"/>
          <w:sz w:val="28"/>
          <w:szCs w:val="28"/>
        </w:rPr>
        <w:t>Daniel J. Drazan</w:t>
      </w:r>
      <w:r w:rsidR="00ED02E4">
        <w:rPr>
          <w:rFonts w:ascii="Tw Cen MT" w:hAnsi="Tw Cen MT"/>
          <w:sz w:val="28"/>
          <w:szCs w:val="28"/>
        </w:rPr>
        <w:t xml:space="preserve"> and J. David Zehntbauer</w:t>
      </w:r>
    </w:p>
    <w:p w:rsidR="00B60224" w:rsidRPr="009F4EF4" w:rsidRDefault="00B60224" w:rsidP="00B60224">
      <w:pPr>
        <w:spacing w:before="240" w:after="0"/>
        <w:jc w:val="center"/>
        <w:rPr>
          <w:rFonts w:ascii="Tw Cen MT" w:hAnsi="Tw Cen MT"/>
          <w:b/>
          <w:smallCaps/>
          <w:szCs w:val="24"/>
        </w:rPr>
      </w:pPr>
      <w:r w:rsidRPr="009F4EF4">
        <w:rPr>
          <w:rFonts w:ascii="Tw Cen MT" w:hAnsi="Tw Cen MT"/>
          <w:b/>
          <w:szCs w:val="24"/>
        </w:rPr>
        <w:t>Du</w:t>
      </w:r>
      <w:r w:rsidR="00ED02E4">
        <w:rPr>
          <w:rFonts w:ascii="Tw Cen MT" w:hAnsi="Tw Cen MT"/>
          <w:b/>
          <w:szCs w:val="24"/>
        </w:rPr>
        <w:t>nn Carney</w:t>
      </w:r>
      <w:r w:rsidRPr="009F4EF4">
        <w:rPr>
          <w:rFonts w:ascii="Tw Cen MT" w:hAnsi="Tw Cen MT"/>
          <w:b/>
          <w:szCs w:val="24"/>
        </w:rPr>
        <w:t xml:space="preserve">, </w:t>
      </w:r>
      <w:r w:rsidR="000A0064">
        <w:rPr>
          <w:rFonts w:ascii="Tw Cen MT" w:hAnsi="Tw Cen MT"/>
          <w:b/>
          <w:smallCaps/>
          <w:szCs w:val="24"/>
        </w:rPr>
        <w:t>LLP</w:t>
      </w:r>
    </w:p>
    <w:p w:rsidR="00B60224" w:rsidRPr="009F4EF4" w:rsidRDefault="00B60224" w:rsidP="00B60224">
      <w:pPr>
        <w:spacing w:after="0"/>
        <w:jc w:val="center"/>
        <w:rPr>
          <w:rFonts w:ascii="Tw Cen MT" w:hAnsi="Tw Cen MT"/>
          <w:szCs w:val="24"/>
        </w:rPr>
      </w:pPr>
      <w:r w:rsidRPr="009F4EF4">
        <w:rPr>
          <w:rFonts w:ascii="Tw Cen MT" w:hAnsi="Tw Cen MT"/>
          <w:szCs w:val="24"/>
        </w:rPr>
        <w:t>851 SW Sixth Avenue, Suite 1500</w:t>
      </w:r>
    </w:p>
    <w:p w:rsidR="00B60224" w:rsidRPr="009F4EF4" w:rsidRDefault="00B60224" w:rsidP="00B60224">
      <w:pPr>
        <w:spacing w:after="0"/>
        <w:jc w:val="center"/>
        <w:rPr>
          <w:rFonts w:ascii="Tw Cen MT" w:hAnsi="Tw Cen MT"/>
          <w:szCs w:val="24"/>
        </w:rPr>
      </w:pPr>
      <w:r w:rsidRPr="009F4EF4">
        <w:rPr>
          <w:rFonts w:ascii="Tw Cen MT" w:hAnsi="Tw Cen MT"/>
          <w:szCs w:val="24"/>
        </w:rPr>
        <w:t>Portland, Oregon 97204</w:t>
      </w:r>
    </w:p>
    <w:p w:rsidR="00B60224" w:rsidRPr="009F4EF4" w:rsidRDefault="000A0064" w:rsidP="00B60224">
      <w:pPr>
        <w:spacing w:after="0"/>
        <w:jc w:val="center"/>
        <w:rPr>
          <w:rFonts w:ascii="Tw Cen MT" w:hAnsi="Tw Cen MT"/>
          <w:szCs w:val="24"/>
        </w:rPr>
      </w:pPr>
      <w:r>
        <w:rPr>
          <w:rFonts w:ascii="Tw Cen MT" w:hAnsi="Tw Cen MT"/>
          <w:szCs w:val="24"/>
        </w:rPr>
        <w:t>503.224.</w:t>
      </w:r>
      <w:r w:rsidR="00B60224" w:rsidRPr="009F4EF4">
        <w:rPr>
          <w:rFonts w:ascii="Tw Cen MT" w:hAnsi="Tw Cen MT"/>
          <w:szCs w:val="24"/>
        </w:rPr>
        <w:t>6440</w:t>
      </w:r>
    </w:p>
    <w:p w:rsidR="00B60224" w:rsidRDefault="00BA588E" w:rsidP="00B60224">
      <w:pPr>
        <w:spacing w:after="0"/>
        <w:jc w:val="center"/>
        <w:rPr>
          <w:rStyle w:val="Hyperlink"/>
          <w:rFonts w:ascii="Tw Cen MT" w:hAnsi="Tw Cen MT"/>
          <w:szCs w:val="24"/>
          <w:u w:val="none"/>
        </w:rPr>
      </w:pPr>
      <w:hyperlink r:id="rId8" w:history="1">
        <w:r w:rsidR="00B60224" w:rsidRPr="00ED02E4">
          <w:rPr>
            <w:rStyle w:val="Hyperlink"/>
            <w:rFonts w:ascii="Tw Cen MT" w:hAnsi="Tw Cen MT"/>
            <w:szCs w:val="24"/>
            <w:u w:val="none"/>
          </w:rPr>
          <w:t>ddrazan@dunncarney.com</w:t>
        </w:r>
      </w:hyperlink>
      <w:r w:rsidR="00ED02E4" w:rsidRPr="00ED02E4">
        <w:rPr>
          <w:rStyle w:val="Hyperlink"/>
          <w:rFonts w:ascii="Tw Cen MT" w:hAnsi="Tw Cen MT"/>
          <w:szCs w:val="24"/>
          <w:u w:val="none"/>
        </w:rPr>
        <w:t xml:space="preserve"> </w:t>
      </w:r>
      <w:hyperlink r:id="rId9" w:history="1">
        <w:r w:rsidR="000A0064" w:rsidRPr="00D06D10">
          <w:rPr>
            <w:rStyle w:val="Hyperlink"/>
            <w:rFonts w:ascii="Tw Cen MT" w:hAnsi="Tw Cen MT"/>
            <w:szCs w:val="24"/>
            <w:u w:val="none"/>
          </w:rPr>
          <w:t>dzehntbauer@dunncarney.com</w:t>
        </w:r>
      </w:hyperlink>
      <w:r w:rsidR="000A0064">
        <w:rPr>
          <w:rStyle w:val="Hyperlink"/>
          <w:rFonts w:ascii="Tw Cen MT" w:hAnsi="Tw Cen MT"/>
          <w:szCs w:val="24"/>
          <w:u w:val="none"/>
        </w:rPr>
        <w:t xml:space="preserve"> </w:t>
      </w:r>
    </w:p>
    <w:p w:rsidR="0001688E" w:rsidRDefault="0001688E" w:rsidP="00B60224">
      <w:pPr>
        <w:spacing w:after="0"/>
        <w:jc w:val="center"/>
        <w:rPr>
          <w:rStyle w:val="Hyperlink"/>
          <w:rFonts w:ascii="Tw Cen MT" w:hAnsi="Tw Cen MT"/>
          <w:szCs w:val="24"/>
          <w:u w:val="none"/>
        </w:rPr>
      </w:pPr>
    </w:p>
    <w:p w:rsidR="004F4F50" w:rsidRDefault="004F4F50" w:rsidP="00B60224">
      <w:pPr>
        <w:spacing w:after="0"/>
        <w:jc w:val="center"/>
        <w:rPr>
          <w:rStyle w:val="Hyperlink"/>
          <w:rFonts w:ascii="Tw Cen MT" w:hAnsi="Tw Cen MT"/>
          <w:szCs w:val="24"/>
          <w:u w:val="none"/>
        </w:rPr>
      </w:pPr>
    </w:p>
    <w:p w:rsidR="00BC548D" w:rsidRDefault="00BC548D" w:rsidP="00B60224">
      <w:pPr>
        <w:spacing w:after="0"/>
        <w:jc w:val="center"/>
        <w:rPr>
          <w:rFonts w:ascii="Tw Cen MT" w:hAnsi="Tw Cen MT"/>
          <w:sz w:val="28"/>
          <w:szCs w:val="28"/>
        </w:rPr>
      </w:pPr>
      <w:r>
        <w:rPr>
          <w:rFonts w:ascii="Tw Cen MT" w:hAnsi="Tw Cen MT"/>
          <w:sz w:val="28"/>
          <w:szCs w:val="28"/>
        </w:rPr>
        <w:t>Moderated by:</w:t>
      </w:r>
    </w:p>
    <w:p w:rsidR="004F4F50" w:rsidRDefault="004F4F50" w:rsidP="00B60224">
      <w:pPr>
        <w:spacing w:after="0"/>
        <w:jc w:val="center"/>
        <w:rPr>
          <w:rFonts w:ascii="Tw Cen MT" w:hAnsi="Tw Cen MT"/>
          <w:sz w:val="28"/>
          <w:szCs w:val="28"/>
        </w:rPr>
      </w:pPr>
      <w:r>
        <w:rPr>
          <w:rFonts w:ascii="Tw Cen MT" w:hAnsi="Tw Cen MT"/>
          <w:sz w:val="28"/>
          <w:szCs w:val="28"/>
        </w:rPr>
        <w:t>Stephanie Bradley Fryer</w:t>
      </w:r>
    </w:p>
    <w:p w:rsidR="0001688E" w:rsidRDefault="0001688E" w:rsidP="00B60224">
      <w:pPr>
        <w:spacing w:after="0"/>
        <w:jc w:val="center"/>
        <w:rPr>
          <w:rFonts w:ascii="Tw Cen MT" w:hAnsi="Tw Cen MT"/>
          <w:sz w:val="28"/>
          <w:szCs w:val="28"/>
        </w:rPr>
      </w:pPr>
    </w:p>
    <w:p w:rsidR="0001688E" w:rsidRPr="0001688E" w:rsidRDefault="0001688E" w:rsidP="00B60224">
      <w:pPr>
        <w:spacing w:after="0"/>
        <w:jc w:val="center"/>
        <w:rPr>
          <w:rFonts w:ascii="Tw Cen MT" w:hAnsi="Tw Cen MT"/>
          <w:b/>
          <w:szCs w:val="24"/>
        </w:rPr>
      </w:pPr>
      <w:r w:rsidRPr="0001688E">
        <w:rPr>
          <w:rFonts w:ascii="Tw Cen MT" w:hAnsi="Tw Cen MT"/>
          <w:b/>
          <w:szCs w:val="24"/>
        </w:rPr>
        <w:t>Stephanie Bradley Fryer PLLC</w:t>
      </w:r>
    </w:p>
    <w:p w:rsidR="0001688E" w:rsidRPr="0001688E" w:rsidRDefault="0001688E" w:rsidP="00B60224">
      <w:pPr>
        <w:spacing w:after="0"/>
        <w:jc w:val="center"/>
        <w:rPr>
          <w:rFonts w:ascii="Tw Cen MT" w:hAnsi="Tw Cen MT"/>
          <w:szCs w:val="24"/>
        </w:rPr>
      </w:pPr>
      <w:r w:rsidRPr="0001688E">
        <w:rPr>
          <w:rFonts w:ascii="Tw Cen MT" w:hAnsi="Tw Cen MT"/>
          <w:szCs w:val="24"/>
        </w:rPr>
        <w:t>P.O. Box 1028</w:t>
      </w:r>
    </w:p>
    <w:p w:rsidR="0001688E" w:rsidRPr="0001688E" w:rsidRDefault="0001688E" w:rsidP="00B60224">
      <w:pPr>
        <w:spacing w:after="0"/>
        <w:jc w:val="center"/>
        <w:rPr>
          <w:rFonts w:ascii="Tw Cen MT" w:hAnsi="Tw Cen MT"/>
          <w:szCs w:val="24"/>
        </w:rPr>
      </w:pPr>
      <w:r w:rsidRPr="0001688E">
        <w:rPr>
          <w:rFonts w:ascii="Tw Cen MT" w:hAnsi="Tw Cen MT"/>
          <w:szCs w:val="24"/>
        </w:rPr>
        <w:t>Stamford, Texas 76553</w:t>
      </w:r>
    </w:p>
    <w:p w:rsidR="004F4F50" w:rsidRPr="0001688E" w:rsidRDefault="0001688E" w:rsidP="0001688E">
      <w:pPr>
        <w:spacing w:after="0"/>
        <w:jc w:val="center"/>
        <w:rPr>
          <w:rFonts w:ascii="Tw Cen MT" w:hAnsi="Tw Cen MT"/>
          <w:szCs w:val="24"/>
        </w:rPr>
      </w:pPr>
      <w:r w:rsidRPr="0001688E">
        <w:rPr>
          <w:rFonts w:ascii="Tw Cen MT" w:hAnsi="Tw Cen MT"/>
          <w:szCs w:val="24"/>
        </w:rPr>
        <w:t>325-307-8660</w:t>
      </w:r>
    </w:p>
    <w:p w:rsidR="004F4F50" w:rsidRPr="004F4F50" w:rsidRDefault="00BA588E" w:rsidP="00B60224">
      <w:pPr>
        <w:spacing w:after="0"/>
        <w:jc w:val="center"/>
        <w:rPr>
          <w:rFonts w:ascii="Tw Cen MT" w:hAnsi="Tw Cen MT"/>
          <w:szCs w:val="24"/>
        </w:rPr>
      </w:pPr>
      <w:hyperlink r:id="rId10" w:history="1">
        <w:r w:rsidR="004F4F50">
          <w:rPr>
            <w:rStyle w:val="Hyperlink"/>
            <w:rFonts w:ascii="Calibri" w:hAnsi="Calibri" w:cs="Calibri"/>
            <w:sz w:val="22"/>
          </w:rPr>
          <w:t>sbradleyfryer@gmail.com</w:t>
        </w:r>
      </w:hyperlink>
    </w:p>
    <w:p w:rsidR="00D929BF" w:rsidRPr="004B24D8" w:rsidRDefault="00D929BF" w:rsidP="00A07638">
      <w:pPr>
        <w:jc w:val="both"/>
        <w:rPr>
          <w:rFonts w:ascii="Tw Cen MT" w:hAnsi="Tw Cen MT"/>
          <w:szCs w:val="24"/>
        </w:rPr>
      </w:pPr>
      <w:r w:rsidRPr="004B24D8">
        <w:rPr>
          <w:rFonts w:ascii="Tw Cen MT" w:hAnsi="Tw Cen MT"/>
          <w:szCs w:val="24"/>
        </w:rPr>
        <w:br w:type="page"/>
      </w:r>
    </w:p>
    <w:p w:rsidR="00D929BF" w:rsidRPr="00294277" w:rsidRDefault="00D929BF" w:rsidP="007E535B">
      <w:pPr>
        <w:spacing w:after="0"/>
        <w:jc w:val="center"/>
        <w:rPr>
          <w:rFonts w:ascii="Tw Cen MT" w:hAnsi="Tw Cen MT"/>
          <w:b/>
          <w:szCs w:val="24"/>
        </w:rPr>
      </w:pPr>
      <w:r w:rsidRPr="00294277">
        <w:rPr>
          <w:rFonts w:ascii="Tw Cen MT" w:hAnsi="Tw Cen MT"/>
          <w:b/>
          <w:szCs w:val="24"/>
        </w:rPr>
        <w:lastRenderedPageBreak/>
        <w:t>TOP 1</w:t>
      </w:r>
      <w:r w:rsidR="00730CB1" w:rsidRPr="00294277">
        <w:rPr>
          <w:rFonts w:ascii="Tw Cen MT" w:hAnsi="Tw Cen MT"/>
          <w:b/>
          <w:szCs w:val="24"/>
        </w:rPr>
        <w:t>0</w:t>
      </w:r>
      <w:r w:rsidRPr="00294277">
        <w:rPr>
          <w:rFonts w:ascii="Tw Cen MT" w:hAnsi="Tw Cen MT"/>
          <w:b/>
          <w:szCs w:val="24"/>
        </w:rPr>
        <w:t xml:space="preserve"> ISSUES </w:t>
      </w:r>
      <w:r w:rsidR="003E30E2" w:rsidRPr="00294277">
        <w:rPr>
          <w:rFonts w:ascii="Tw Cen MT" w:hAnsi="Tw Cen MT"/>
          <w:b/>
          <w:szCs w:val="24"/>
        </w:rPr>
        <w:t>IN</w:t>
      </w:r>
    </w:p>
    <w:p w:rsidR="00532807" w:rsidRPr="00532807" w:rsidRDefault="004075B4" w:rsidP="00532807">
      <w:pPr>
        <w:jc w:val="center"/>
        <w:rPr>
          <w:rFonts w:ascii="Tw Cen MT" w:hAnsi="Tw Cen MT"/>
          <w:b/>
          <w:szCs w:val="24"/>
        </w:rPr>
      </w:pPr>
      <w:r w:rsidRPr="00294277">
        <w:rPr>
          <w:rFonts w:ascii="Tw Cen MT" w:hAnsi="Tw Cen MT"/>
          <w:b/>
          <w:szCs w:val="24"/>
        </w:rPr>
        <w:t>AGRICULTURAL LEASES FOR LANDLORDS AND TENANTS</w:t>
      </w:r>
    </w:p>
    <w:p w:rsidR="00D929BF" w:rsidRPr="00294277" w:rsidRDefault="008752E9" w:rsidP="00A07638">
      <w:pPr>
        <w:pStyle w:val="Heading1"/>
        <w:jc w:val="both"/>
        <w:rPr>
          <w:rFonts w:ascii="Tw Cen MT" w:hAnsi="Tw Cen MT"/>
          <w:b/>
          <w:szCs w:val="24"/>
        </w:rPr>
      </w:pPr>
      <w:r w:rsidRPr="00294277">
        <w:rPr>
          <w:rFonts w:ascii="Tw Cen MT" w:hAnsi="Tw Cen MT"/>
          <w:b/>
          <w:szCs w:val="24"/>
        </w:rPr>
        <w:t>DUE DILIGENCE</w:t>
      </w:r>
    </w:p>
    <w:p w:rsidR="008752E9" w:rsidRPr="00294277" w:rsidRDefault="008752E9" w:rsidP="00A07638">
      <w:pPr>
        <w:pStyle w:val="Heading2"/>
        <w:jc w:val="both"/>
        <w:rPr>
          <w:rFonts w:ascii="Tw Cen MT" w:hAnsi="Tw Cen MT"/>
          <w:szCs w:val="24"/>
        </w:rPr>
      </w:pPr>
      <w:r w:rsidRPr="00294277">
        <w:rPr>
          <w:rFonts w:ascii="Tw Cen MT" w:hAnsi="Tw Cen MT"/>
          <w:b/>
          <w:szCs w:val="24"/>
        </w:rPr>
        <w:t>Economic Issues</w:t>
      </w:r>
      <w:r w:rsidRPr="00294277">
        <w:rPr>
          <w:rFonts w:ascii="Tw Cen MT" w:hAnsi="Tw Cen MT"/>
          <w:szCs w:val="24"/>
        </w:rPr>
        <w:t>.</w:t>
      </w:r>
    </w:p>
    <w:p w:rsidR="00AB252D" w:rsidRPr="00294277" w:rsidRDefault="00AB252D" w:rsidP="0024220C">
      <w:pPr>
        <w:pStyle w:val="Heading3"/>
        <w:rPr>
          <w:rFonts w:ascii="Tw Cen MT" w:hAnsi="Tw Cen MT"/>
          <w:szCs w:val="24"/>
        </w:rPr>
      </w:pPr>
      <w:r w:rsidRPr="00294277">
        <w:rPr>
          <w:rFonts w:ascii="Tw Cen MT" w:hAnsi="Tw Cen MT"/>
          <w:szCs w:val="24"/>
        </w:rPr>
        <w:t>Landlord:</w:t>
      </w:r>
      <w:r w:rsidR="0024220C" w:rsidRPr="00294277">
        <w:rPr>
          <w:rFonts w:ascii="Tw Cen MT" w:hAnsi="Tw Cen MT"/>
          <w:szCs w:val="24"/>
        </w:rPr>
        <w:t xml:space="preserve"> Can the tenant afford to pay the rent and perform its lease obligations.  Credit check.  Tenant financials. Guarantor.</w:t>
      </w:r>
    </w:p>
    <w:p w:rsidR="00AB252D" w:rsidRPr="00294277" w:rsidRDefault="00AB252D" w:rsidP="00AB252D">
      <w:pPr>
        <w:pStyle w:val="Heading3"/>
        <w:rPr>
          <w:rFonts w:ascii="Tw Cen MT" w:hAnsi="Tw Cen MT"/>
          <w:szCs w:val="24"/>
        </w:rPr>
      </w:pPr>
      <w:r w:rsidRPr="00294277">
        <w:rPr>
          <w:rFonts w:ascii="Tw Cen MT" w:hAnsi="Tw Cen MT"/>
          <w:szCs w:val="24"/>
        </w:rPr>
        <w:t>Tenant:</w:t>
      </w:r>
      <w:r w:rsidR="0024220C" w:rsidRPr="00294277">
        <w:rPr>
          <w:rFonts w:ascii="Tw Cen MT" w:hAnsi="Tw Cen MT"/>
          <w:szCs w:val="24"/>
        </w:rPr>
        <w:t xml:space="preserve"> Can the landlord afford to perform its lease obligations.  Does the landlord own the</w:t>
      </w:r>
      <w:r w:rsidR="00A00AE9">
        <w:rPr>
          <w:rFonts w:ascii="Tw Cen MT" w:hAnsi="Tw Cen MT"/>
          <w:szCs w:val="24"/>
        </w:rPr>
        <w:t xml:space="preserve"> leased</w:t>
      </w:r>
      <w:r w:rsidR="0024220C" w:rsidRPr="00294277">
        <w:rPr>
          <w:rFonts w:ascii="Tw Cen MT" w:hAnsi="Tw Cen MT"/>
          <w:szCs w:val="24"/>
        </w:rPr>
        <w:t xml:space="preserve"> property</w:t>
      </w:r>
      <w:r w:rsidR="00702491" w:rsidRPr="00294277">
        <w:rPr>
          <w:rFonts w:ascii="Tw Cen MT" w:hAnsi="Tw Cen MT"/>
          <w:szCs w:val="24"/>
        </w:rPr>
        <w:t xml:space="preserve"> and equipment</w:t>
      </w:r>
      <w:r w:rsidR="00A00AE9">
        <w:rPr>
          <w:rFonts w:ascii="Tw Cen MT" w:hAnsi="Tw Cen MT"/>
          <w:szCs w:val="24"/>
        </w:rPr>
        <w:t>?</w:t>
      </w:r>
      <w:r w:rsidR="0024220C" w:rsidRPr="00294277">
        <w:rPr>
          <w:rFonts w:ascii="Tw Cen MT" w:hAnsi="Tw Cen MT"/>
          <w:szCs w:val="24"/>
        </w:rPr>
        <w:t xml:space="preserve">  Is the</w:t>
      </w:r>
      <w:r w:rsidR="00A00AE9">
        <w:rPr>
          <w:rFonts w:ascii="Tw Cen MT" w:hAnsi="Tw Cen MT"/>
          <w:szCs w:val="24"/>
        </w:rPr>
        <w:t xml:space="preserve"> property collateral for a loan?</w:t>
      </w:r>
      <w:r w:rsidR="0024220C" w:rsidRPr="00294277">
        <w:rPr>
          <w:rFonts w:ascii="Tw Cen MT" w:hAnsi="Tw Cen MT"/>
          <w:szCs w:val="24"/>
        </w:rPr>
        <w:t xml:space="preserve">  SNDA</w:t>
      </w:r>
      <w:r w:rsidR="00A00AE9">
        <w:rPr>
          <w:rFonts w:ascii="Tw Cen MT" w:hAnsi="Tw Cen MT"/>
          <w:szCs w:val="24"/>
        </w:rPr>
        <w:t>.</w:t>
      </w:r>
    </w:p>
    <w:p w:rsidR="008752E9" w:rsidRPr="00294277" w:rsidRDefault="008752E9" w:rsidP="00A07638">
      <w:pPr>
        <w:pStyle w:val="Heading2"/>
        <w:jc w:val="both"/>
        <w:rPr>
          <w:rFonts w:ascii="Tw Cen MT" w:hAnsi="Tw Cen MT"/>
          <w:szCs w:val="24"/>
        </w:rPr>
      </w:pPr>
      <w:r w:rsidRPr="00294277">
        <w:rPr>
          <w:rFonts w:ascii="Tw Cen MT" w:hAnsi="Tw Cen MT"/>
          <w:b/>
          <w:szCs w:val="24"/>
        </w:rPr>
        <w:t xml:space="preserve">Condition of </w:t>
      </w:r>
      <w:r w:rsidR="008A74EC">
        <w:rPr>
          <w:rFonts w:ascii="Tw Cen MT" w:hAnsi="Tw Cen MT"/>
          <w:b/>
          <w:szCs w:val="24"/>
        </w:rPr>
        <w:t xml:space="preserve">Land, </w:t>
      </w:r>
      <w:r w:rsidRPr="00294277">
        <w:rPr>
          <w:rFonts w:ascii="Tw Cen MT" w:hAnsi="Tw Cen MT"/>
          <w:b/>
          <w:szCs w:val="24"/>
        </w:rPr>
        <w:t>Buildings and Equipment</w:t>
      </w:r>
      <w:r w:rsidRPr="00294277">
        <w:rPr>
          <w:rFonts w:ascii="Tw Cen MT" w:hAnsi="Tw Cen MT"/>
          <w:szCs w:val="24"/>
        </w:rPr>
        <w:t>.</w:t>
      </w:r>
    </w:p>
    <w:p w:rsidR="00A64E8C" w:rsidRPr="00294277" w:rsidRDefault="007A4CC2" w:rsidP="00A64E8C">
      <w:pPr>
        <w:pStyle w:val="Heading3"/>
        <w:rPr>
          <w:rFonts w:ascii="Tw Cen MT" w:hAnsi="Tw Cen MT"/>
          <w:szCs w:val="24"/>
        </w:rPr>
      </w:pPr>
      <w:r w:rsidRPr="00294277">
        <w:rPr>
          <w:rFonts w:ascii="Tw Cen MT" w:hAnsi="Tw Cen MT"/>
          <w:szCs w:val="24"/>
        </w:rPr>
        <w:t>Tenant</w:t>
      </w:r>
      <w:r w:rsidR="00A64E8C" w:rsidRPr="00294277">
        <w:rPr>
          <w:rFonts w:ascii="Tw Cen MT" w:hAnsi="Tw Cen MT"/>
          <w:szCs w:val="24"/>
        </w:rPr>
        <w:t>:</w:t>
      </w:r>
      <w:r w:rsidRPr="00294277">
        <w:rPr>
          <w:rFonts w:ascii="Tw Cen MT" w:hAnsi="Tw Cen MT"/>
          <w:szCs w:val="24"/>
        </w:rPr>
        <w:t xml:space="preserve"> Perform inspections of </w:t>
      </w:r>
      <w:r w:rsidR="00A00AE9">
        <w:rPr>
          <w:rFonts w:ascii="Tw Cen MT" w:hAnsi="Tw Cen MT"/>
          <w:szCs w:val="24"/>
        </w:rPr>
        <w:t>leased property</w:t>
      </w:r>
      <w:r w:rsidRPr="00294277">
        <w:rPr>
          <w:rFonts w:ascii="Tw Cen MT" w:hAnsi="Tw Cen MT"/>
          <w:szCs w:val="24"/>
        </w:rPr>
        <w:t xml:space="preserve"> and equipment</w:t>
      </w:r>
      <w:r w:rsidR="0024220C" w:rsidRPr="00294277">
        <w:rPr>
          <w:rFonts w:ascii="Tw Cen MT" w:hAnsi="Tw Cen MT"/>
          <w:szCs w:val="24"/>
        </w:rPr>
        <w:t>.</w:t>
      </w:r>
    </w:p>
    <w:p w:rsidR="00702491" w:rsidRPr="00294277" w:rsidRDefault="007A4CC2" w:rsidP="00702491">
      <w:pPr>
        <w:pStyle w:val="Heading3"/>
        <w:rPr>
          <w:rFonts w:ascii="Tw Cen MT" w:hAnsi="Tw Cen MT"/>
          <w:szCs w:val="24"/>
        </w:rPr>
      </w:pPr>
      <w:r w:rsidRPr="00294277">
        <w:rPr>
          <w:rFonts w:ascii="Tw Cen MT" w:hAnsi="Tw Cen MT"/>
          <w:szCs w:val="24"/>
        </w:rPr>
        <w:t>Landlord</w:t>
      </w:r>
      <w:r w:rsidR="00702491" w:rsidRPr="00294277">
        <w:rPr>
          <w:rFonts w:ascii="Tw Cen MT" w:hAnsi="Tw Cen MT"/>
          <w:szCs w:val="24"/>
        </w:rPr>
        <w:t>:</w:t>
      </w:r>
      <w:r w:rsidRPr="00294277">
        <w:rPr>
          <w:rFonts w:ascii="Tw Cen MT" w:hAnsi="Tw Cen MT"/>
          <w:szCs w:val="24"/>
        </w:rPr>
        <w:t xml:space="preserve"> Should disclose any known material defects.</w:t>
      </w:r>
      <w:r w:rsidR="00702491" w:rsidRPr="00294277">
        <w:rPr>
          <w:rFonts w:ascii="Tw Cen MT" w:hAnsi="Tw Cen MT"/>
          <w:szCs w:val="24"/>
        </w:rPr>
        <w:t xml:space="preserve"> </w:t>
      </w:r>
    </w:p>
    <w:p w:rsidR="00D929BF" w:rsidRPr="00294277" w:rsidRDefault="008752E9" w:rsidP="00A07638">
      <w:pPr>
        <w:pStyle w:val="Heading2"/>
        <w:jc w:val="both"/>
        <w:rPr>
          <w:rFonts w:ascii="Tw Cen MT" w:hAnsi="Tw Cen MT"/>
          <w:szCs w:val="24"/>
        </w:rPr>
      </w:pPr>
      <w:r w:rsidRPr="00294277">
        <w:rPr>
          <w:rFonts w:ascii="Tw Cen MT" w:hAnsi="Tw Cen MT"/>
          <w:b/>
          <w:szCs w:val="24"/>
        </w:rPr>
        <w:t>Environmental</w:t>
      </w:r>
      <w:r w:rsidRPr="00294277">
        <w:rPr>
          <w:rFonts w:ascii="Tw Cen MT" w:hAnsi="Tw Cen MT"/>
          <w:szCs w:val="24"/>
        </w:rPr>
        <w:t>.</w:t>
      </w:r>
    </w:p>
    <w:p w:rsidR="00702491" w:rsidRPr="00294277" w:rsidRDefault="00702491" w:rsidP="00702491">
      <w:pPr>
        <w:pStyle w:val="BodyText"/>
        <w:spacing w:after="240"/>
        <w:ind w:left="720" w:firstLine="720"/>
        <w:jc w:val="both"/>
        <w:rPr>
          <w:rFonts w:ascii="Tw Cen MT" w:hAnsi="Tw Cen MT"/>
          <w:szCs w:val="24"/>
        </w:rPr>
      </w:pPr>
      <w:r w:rsidRPr="00294277">
        <w:rPr>
          <w:rFonts w:ascii="Tw Cen MT" w:hAnsi="Tw Cen MT"/>
          <w:szCs w:val="24"/>
          <w:u w:val="single"/>
        </w:rPr>
        <w:t>Background</w:t>
      </w:r>
      <w:r w:rsidRPr="00294277">
        <w:rPr>
          <w:rFonts w:ascii="Tw Cen MT" w:hAnsi="Tw Cen MT"/>
          <w:szCs w:val="24"/>
        </w:rPr>
        <w:t>:  Under various state and federal laws, both “owners” and “operators” of real property contaminated by hazardous waste or hazardous substances are generally jointly and severally liable for the entire cost of remediation, regardless of fault.  Although there are exceptions, the exceptions are construed narrowly, and it is therefore essential that adequate environmental investigation be undertaken.</w:t>
      </w:r>
    </w:p>
    <w:p w:rsidR="00702491" w:rsidRPr="00294277" w:rsidRDefault="00702491" w:rsidP="00702491">
      <w:pPr>
        <w:pStyle w:val="BodyText"/>
        <w:spacing w:after="240"/>
        <w:ind w:left="720" w:firstLine="720"/>
        <w:jc w:val="both"/>
        <w:rPr>
          <w:rFonts w:ascii="Tw Cen MT" w:hAnsi="Tw Cen MT"/>
          <w:szCs w:val="24"/>
        </w:rPr>
      </w:pPr>
      <w:r w:rsidRPr="00294277">
        <w:rPr>
          <w:rFonts w:ascii="Tw Cen MT" w:hAnsi="Tw Cen MT"/>
          <w:szCs w:val="24"/>
          <w:u w:val="single"/>
        </w:rPr>
        <w:t>Phase I environmental site assessment or ESA</w:t>
      </w:r>
      <w:r w:rsidRPr="00294277">
        <w:rPr>
          <w:rFonts w:ascii="Tw Cen MT" w:hAnsi="Tw Cen MT"/>
          <w:szCs w:val="24"/>
        </w:rPr>
        <w:t xml:space="preserve">:  This is a study conducted by the environmental consultant of all public records and background information concerning the use of the property, the adjacent properties, and any hazardous waste release that has occurred in the vicinity of the property.  A report is typically prepared that will provide a recommendation </w:t>
      </w:r>
      <w:r w:rsidR="00D06D10">
        <w:rPr>
          <w:rFonts w:ascii="Tw Cen MT" w:hAnsi="Tw Cen MT"/>
          <w:szCs w:val="24"/>
        </w:rPr>
        <w:t>of any</w:t>
      </w:r>
      <w:r w:rsidRPr="00294277">
        <w:rPr>
          <w:rFonts w:ascii="Tw Cen MT" w:hAnsi="Tw Cen MT"/>
          <w:szCs w:val="24"/>
        </w:rPr>
        <w:t xml:space="preserve"> further study </w:t>
      </w:r>
      <w:r w:rsidR="00D06D10">
        <w:rPr>
          <w:rFonts w:ascii="Tw Cen MT" w:hAnsi="Tw Cen MT"/>
          <w:szCs w:val="24"/>
        </w:rPr>
        <w:t>or testing</w:t>
      </w:r>
      <w:r w:rsidRPr="00294277">
        <w:rPr>
          <w:rFonts w:ascii="Tw Cen MT" w:hAnsi="Tw Cen MT"/>
          <w:szCs w:val="24"/>
        </w:rPr>
        <w:t>.  By definition, a Phase I ESA does not include testing of soil, water or air samples.</w:t>
      </w:r>
    </w:p>
    <w:p w:rsidR="00702491" w:rsidRPr="00294277" w:rsidRDefault="00702491" w:rsidP="00702491">
      <w:pPr>
        <w:pStyle w:val="BodyText"/>
        <w:spacing w:after="240"/>
        <w:ind w:left="720" w:firstLine="720"/>
        <w:jc w:val="both"/>
        <w:rPr>
          <w:rFonts w:ascii="Tw Cen MT" w:hAnsi="Tw Cen MT"/>
          <w:szCs w:val="24"/>
        </w:rPr>
      </w:pPr>
      <w:r w:rsidRPr="00294277">
        <w:rPr>
          <w:rFonts w:ascii="Tw Cen MT" w:hAnsi="Tw Cen MT"/>
          <w:szCs w:val="24"/>
          <w:u w:val="single"/>
        </w:rPr>
        <w:t>ESA Phase II</w:t>
      </w:r>
      <w:r w:rsidRPr="00294277">
        <w:rPr>
          <w:rFonts w:ascii="Tw Cen MT" w:hAnsi="Tw Cen MT"/>
          <w:szCs w:val="24"/>
        </w:rPr>
        <w:t>:  This is a study that includes soil, ground water, and/or air samples.  If contamination is found, a report on a Phase II ESA will typically provide rec</w:t>
      </w:r>
      <w:r w:rsidR="00D06D10">
        <w:rPr>
          <w:rFonts w:ascii="Tw Cen MT" w:hAnsi="Tw Cen MT"/>
          <w:szCs w:val="24"/>
        </w:rPr>
        <w:t xml:space="preserve">ommendations for remediation.  </w:t>
      </w:r>
    </w:p>
    <w:p w:rsidR="00702491" w:rsidRPr="00294277" w:rsidRDefault="00702491" w:rsidP="00702491">
      <w:pPr>
        <w:pStyle w:val="Heading3"/>
        <w:rPr>
          <w:rFonts w:ascii="Tw Cen MT" w:hAnsi="Tw Cen MT"/>
          <w:szCs w:val="24"/>
        </w:rPr>
      </w:pPr>
      <w:r w:rsidRPr="00294277">
        <w:rPr>
          <w:rFonts w:ascii="Tw Cen MT" w:hAnsi="Tw Cen MT"/>
          <w:szCs w:val="24"/>
        </w:rPr>
        <w:t>Tenant: The tenant should complete whatever environmental investigation the tenant chooses before leasing the property, particularly for properties in or near industrial areas or with a history of pesticide, herbicide or other hazardous material usage.</w:t>
      </w:r>
    </w:p>
    <w:p w:rsidR="00702491" w:rsidRPr="00294277" w:rsidRDefault="00702491" w:rsidP="00702491">
      <w:pPr>
        <w:pStyle w:val="Heading3"/>
        <w:rPr>
          <w:rFonts w:ascii="Tw Cen MT" w:hAnsi="Tw Cen MT"/>
          <w:szCs w:val="24"/>
        </w:rPr>
      </w:pPr>
      <w:r w:rsidRPr="00294277">
        <w:rPr>
          <w:rFonts w:ascii="Tw Cen MT" w:hAnsi="Tw Cen MT"/>
          <w:szCs w:val="24"/>
        </w:rPr>
        <w:t xml:space="preserve">Landlord: The landlord will want to </w:t>
      </w:r>
      <w:r w:rsidR="008A74EC">
        <w:rPr>
          <w:rFonts w:ascii="Tw Cen MT" w:hAnsi="Tw Cen MT"/>
          <w:szCs w:val="24"/>
        </w:rPr>
        <w:t>make sure the tenant is obligated</w:t>
      </w:r>
      <w:r w:rsidRPr="00294277">
        <w:rPr>
          <w:rFonts w:ascii="Tw Cen MT" w:hAnsi="Tw Cen MT"/>
          <w:szCs w:val="24"/>
        </w:rPr>
        <w:t xml:space="preserve"> to provide a copy of any Phase I ESA report to the landlord, and have control over the performance of any Phase II testing.</w:t>
      </w:r>
      <w:r w:rsidR="00B26890" w:rsidRPr="00294277">
        <w:rPr>
          <w:rFonts w:ascii="Tw Cen MT" w:hAnsi="Tw Cen MT"/>
          <w:szCs w:val="24"/>
        </w:rPr>
        <w:t xml:space="preserve">  If landlord </w:t>
      </w:r>
      <w:r w:rsidR="00A00AE9">
        <w:rPr>
          <w:rFonts w:ascii="Tw Cen MT" w:hAnsi="Tw Cen MT"/>
          <w:szCs w:val="24"/>
        </w:rPr>
        <w:t xml:space="preserve">is </w:t>
      </w:r>
      <w:r w:rsidR="00B26890" w:rsidRPr="00294277">
        <w:rPr>
          <w:rFonts w:ascii="Tw Cen MT" w:hAnsi="Tw Cen MT"/>
          <w:szCs w:val="24"/>
        </w:rPr>
        <w:t xml:space="preserve">willing to allow a Phase II, consider addressing the following: (i) scope of Phase II must be approved by landlord, (ii) results of Phase II are confidential except if disclosure is required by law, (iii) retain approval rights for </w:t>
      </w:r>
      <w:r w:rsidR="00B26890" w:rsidRPr="00294277">
        <w:rPr>
          <w:rFonts w:ascii="Tw Cen MT" w:hAnsi="Tw Cen MT"/>
          <w:szCs w:val="24"/>
        </w:rPr>
        <w:lastRenderedPageBreak/>
        <w:t>environmental consultant, and (iv) require tenant to indemnify and hold landlord harmless for any damage done as a result of the Phase II.</w:t>
      </w:r>
    </w:p>
    <w:p w:rsidR="00D929BF" w:rsidRPr="00294277" w:rsidRDefault="008752E9" w:rsidP="00F17918">
      <w:pPr>
        <w:pStyle w:val="Heading2"/>
        <w:jc w:val="both"/>
        <w:rPr>
          <w:rFonts w:ascii="Tw Cen MT" w:hAnsi="Tw Cen MT"/>
          <w:szCs w:val="24"/>
        </w:rPr>
      </w:pPr>
      <w:r w:rsidRPr="00294277">
        <w:rPr>
          <w:rFonts w:ascii="Tw Cen MT" w:hAnsi="Tw Cen MT"/>
          <w:b/>
          <w:szCs w:val="24"/>
        </w:rPr>
        <w:t>Water Rights</w:t>
      </w:r>
      <w:r w:rsidRPr="00294277">
        <w:rPr>
          <w:rFonts w:ascii="Tw Cen MT" w:hAnsi="Tw Cen MT"/>
          <w:szCs w:val="24"/>
        </w:rPr>
        <w:t>.</w:t>
      </w:r>
    </w:p>
    <w:p w:rsidR="0091527D" w:rsidRPr="00294277" w:rsidRDefault="00B26890" w:rsidP="0091527D">
      <w:pPr>
        <w:pStyle w:val="Heading3"/>
        <w:rPr>
          <w:rFonts w:ascii="Tw Cen MT" w:hAnsi="Tw Cen MT"/>
          <w:szCs w:val="24"/>
        </w:rPr>
      </w:pPr>
      <w:r w:rsidRPr="00294277">
        <w:rPr>
          <w:rFonts w:ascii="Tw Cen MT" w:hAnsi="Tw Cen MT"/>
          <w:szCs w:val="24"/>
        </w:rPr>
        <w:t xml:space="preserve">Tenant: </w:t>
      </w:r>
      <w:r w:rsidR="002F071A">
        <w:rPr>
          <w:rFonts w:ascii="Tw Cen MT" w:hAnsi="Tw Cen MT"/>
          <w:szCs w:val="24"/>
        </w:rPr>
        <w:t>I</w:t>
      </w:r>
      <w:r w:rsidR="00A507D6" w:rsidRPr="00294277">
        <w:rPr>
          <w:rFonts w:ascii="Tw Cen MT" w:hAnsi="Tw Cen MT"/>
          <w:szCs w:val="24"/>
        </w:rPr>
        <w:t xml:space="preserve">f tenant’s </w:t>
      </w:r>
      <w:r w:rsidR="00A00AE9">
        <w:rPr>
          <w:rFonts w:ascii="Tw Cen MT" w:hAnsi="Tw Cen MT"/>
          <w:szCs w:val="24"/>
        </w:rPr>
        <w:t>agricultural</w:t>
      </w:r>
      <w:r w:rsidR="00A507D6" w:rsidRPr="00294277">
        <w:rPr>
          <w:rFonts w:ascii="Tw Cen MT" w:hAnsi="Tw Cen MT"/>
          <w:szCs w:val="24"/>
        </w:rPr>
        <w:t xml:space="preserve"> operation will use water, the availability of water and right to such water should be verified. </w:t>
      </w:r>
      <w:r w:rsidR="0091527D" w:rsidRPr="00294277">
        <w:rPr>
          <w:rFonts w:ascii="Tw Cen MT" w:hAnsi="Tw Cen MT"/>
          <w:szCs w:val="24"/>
        </w:rPr>
        <w:t xml:space="preserve">When there are or may be water rights associated with a property being leased, a water rights evaluation should be undertaken as part of the due diligence process.  This may include: </w:t>
      </w:r>
    </w:p>
    <w:p w:rsidR="0091527D" w:rsidRPr="00294277" w:rsidRDefault="0091527D" w:rsidP="0091527D">
      <w:pPr>
        <w:pStyle w:val="Heading4"/>
        <w:rPr>
          <w:rFonts w:ascii="Tw Cen MT" w:hAnsi="Tw Cen MT"/>
          <w:szCs w:val="24"/>
        </w:rPr>
      </w:pPr>
      <w:r w:rsidRPr="00294277">
        <w:rPr>
          <w:rFonts w:ascii="Tw Cen MT" w:hAnsi="Tw Cen MT"/>
          <w:szCs w:val="24"/>
        </w:rPr>
        <w:t xml:space="preserve">Review of the applicable permit or certificate to understand the terms and conditions of the water right, and to confirm that </w:t>
      </w:r>
      <w:r w:rsidR="00A00AE9">
        <w:rPr>
          <w:rFonts w:ascii="Tw Cen MT" w:hAnsi="Tw Cen MT"/>
          <w:szCs w:val="24"/>
        </w:rPr>
        <w:t>the</w:t>
      </w:r>
      <w:r w:rsidRPr="00294277">
        <w:rPr>
          <w:rFonts w:ascii="Tw Cen MT" w:hAnsi="Tw Cen MT"/>
          <w:szCs w:val="24"/>
        </w:rPr>
        <w:t xml:space="preserve"> prospective landlord actually owns the water right.</w:t>
      </w:r>
    </w:p>
    <w:p w:rsidR="0091527D" w:rsidRPr="00294277" w:rsidRDefault="0091527D" w:rsidP="0091527D">
      <w:pPr>
        <w:pStyle w:val="Heading4"/>
        <w:rPr>
          <w:rFonts w:ascii="Tw Cen MT" w:hAnsi="Tw Cen MT"/>
          <w:szCs w:val="24"/>
        </w:rPr>
      </w:pPr>
      <w:r w:rsidRPr="00294277">
        <w:rPr>
          <w:rFonts w:ascii="Tw Cen MT" w:hAnsi="Tw Cen MT"/>
          <w:szCs w:val="24"/>
        </w:rPr>
        <w:t>Compare the permitted or certificated use to the actual use being made of the water (they should be the same).</w:t>
      </w:r>
    </w:p>
    <w:p w:rsidR="0091527D" w:rsidRPr="00294277" w:rsidRDefault="0091527D" w:rsidP="0091527D">
      <w:pPr>
        <w:pStyle w:val="Heading4"/>
        <w:rPr>
          <w:rFonts w:ascii="Tw Cen MT" w:hAnsi="Tw Cen MT"/>
          <w:szCs w:val="24"/>
        </w:rPr>
      </w:pPr>
      <w:r w:rsidRPr="00294277">
        <w:rPr>
          <w:rFonts w:ascii="Tw Cen MT" w:hAnsi="Tw Cen MT"/>
          <w:szCs w:val="24"/>
        </w:rPr>
        <w:t>Review any agreements related to the</w:t>
      </w:r>
      <w:r w:rsidR="00A00AE9">
        <w:rPr>
          <w:rFonts w:ascii="Tw Cen MT" w:hAnsi="Tw Cen MT"/>
          <w:szCs w:val="24"/>
        </w:rPr>
        <w:t xml:space="preserve"> landlord’s</w:t>
      </w:r>
      <w:r w:rsidRPr="00294277">
        <w:rPr>
          <w:rFonts w:ascii="Tw Cen MT" w:hAnsi="Tw Cen MT"/>
          <w:szCs w:val="24"/>
        </w:rPr>
        <w:t xml:space="preserve"> water right.  A common example is an easement or license agreement to access irrigation equipment, pumps and wells associated with the water right.</w:t>
      </w:r>
    </w:p>
    <w:p w:rsidR="0091527D" w:rsidRPr="00294277" w:rsidRDefault="0091527D" w:rsidP="0091527D">
      <w:pPr>
        <w:pStyle w:val="Heading3"/>
        <w:rPr>
          <w:rFonts w:ascii="Tw Cen MT" w:hAnsi="Tw Cen MT"/>
          <w:szCs w:val="24"/>
        </w:rPr>
      </w:pPr>
      <w:r w:rsidRPr="00294277">
        <w:rPr>
          <w:rFonts w:ascii="Tw Cen MT" w:hAnsi="Tw Cen MT"/>
          <w:szCs w:val="24"/>
        </w:rPr>
        <w:t xml:space="preserve">Landlord: </w:t>
      </w:r>
      <w:r w:rsidR="002F071A">
        <w:rPr>
          <w:rFonts w:ascii="Tw Cen MT" w:hAnsi="Tw Cen MT"/>
          <w:szCs w:val="24"/>
        </w:rPr>
        <w:t>L</w:t>
      </w:r>
      <w:r w:rsidRPr="00294277">
        <w:rPr>
          <w:rFonts w:ascii="Tw Cen MT" w:hAnsi="Tw Cen MT"/>
          <w:szCs w:val="24"/>
        </w:rPr>
        <w:t>andlord should be prepared to provide documentation of its water rights.</w:t>
      </w:r>
    </w:p>
    <w:p w:rsidR="0091527D" w:rsidRPr="00294277" w:rsidRDefault="0091527D" w:rsidP="0091527D">
      <w:pPr>
        <w:pStyle w:val="Heading3"/>
        <w:rPr>
          <w:rFonts w:ascii="Tw Cen MT" w:hAnsi="Tw Cen MT"/>
          <w:szCs w:val="24"/>
        </w:rPr>
      </w:pPr>
      <w:r w:rsidRPr="00294277">
        <w:rPr>
          <w:rFonts w:ascii="Tw Cen MT" w:hAnsi="Tw Cen MT"/>
          <w:szCs w:val="24"/>
        </w:rPr>
        <w:t>Water Rights Red Flags:</w:t>
      </w:r>
    </w:p>
    <w:p w:rsidR="0091527D" w:rsidRPr="00294277" w:rsidRDefault="0091527D" w:rsidP="0091527D">
      <w:pPr>
        <w:pStyle w:val="Heading4"/>
        <w:rPr>
          <w:rFonts w:ascii="Tw Cen MT" w:hAnsi="Tw Cen MT"/>
          <w:szCs w:val="24"/>
        </w:rPr>
      </w:pPr>
      <w:r w:rsidRPr="00294277">
        <w:rPr>
          <w:rFonts w:ascii="Tw Cen MT" w:hAnsi="Tw Cen MT"/>
          <w:szCs w:val="24"/>
        </w:rPr>
        <w:t>Is your prospective landlord using water without a water right or inconsistent with a water right?</w:t>
      </w:r>
    </w:p>
    <w:p w:rsidR="0091527D" w:rsidRDefault="0091527D" w:rsidP="0091527D">
      <w:pPr>
        <w:pStyle w:val="Heading4"/>
        <w:rPr>
          <w:rFonts w:ascii="Tw Cen MT" w:hAnsi="Tw Cen MT"/>
          <w:szCs w:val="24"/>
        </w:rPr>
      </w:pPr>
      <w:r w:rsidRPr="00294277">
        <w:rPr>
          <w:rFonts w:ascii="Tw Cen MT" w:hAnsi="Tw Cen MT"/>
          <w:szCs w:val="24"/>
        </w:rPr>
        <w:t>Is there a water right owned by your prospective landlord without water</w:t>
      </w:r>
      <w:r w:rsidR="00A00AE9">
        <w:rPr>
          <w:rFonts w:ascii="Tw Cen MT" w:hAnsi="Tw Cen MT"/>
          <w:szCs w:val="24"/>
        </w:rPr>
        <w:t xml:space="preserve"> actually</w:t>
      </w:r>
      <w:r w:rsidRPr="00294277">
        <w:rPr>
          <w:rFonts w:ascii="Tw Cen MT" w:hAnsi="Tw Cen MT"/>
          <w:szCs w:val="24"/>
        </w:rPr>
        <w:t xml:space="preserve"> being used?</w:t>
      </w:r>
    </w:p>
    <w:p w:rsidR="008A74EC" w:rsidRPr="00532807" w:rsidRDefault="008A74EC" w:rsidP="008A74EC">
      <w:pPr>
        <w:pStyle w:val="Heading2"/>
        <w:jc w:val="both"/>
        <w:rPr>
          <w:rFonts w:ascii="Tw Cen MT" w:hAnsi="Tw Cen MT"/>
        </w:rPr>
      </w:pPr>
      <w:r w:rsidRPr="00532807">
        <w:rPr>
          <w:rFonts w:ascii="Tw Cen MT" w:hAnsi="Tw Cen MT"/>
          <w:b/>
        </w:rPr>
        <w:t>Survey</w:t>
      </w:r>
      <w:r w:rsidR="00213DAF" w:rsidRPr="00532807">
        <w:rPr>
          <w:rFonts w:ascii="Tw Cen MT" w:hAnsi="Tw Cen MT"/>
        </w:rPr>
        <w:t>.  Allows parties to clearly delineate and define the leased premises. Rent may be based on confirmed acreage. Avoid boundary line disagreements. Confirm access and any easements encumbering premises.</w:t>
      </w:r>
    </w:p>
    <w:p w:rsidR="00D929BF" w:rsidRPr="00294277" w:rsidRDefault="008752E9" w:rsidP="00A07638">
      <w:pPr>
        <w:pStyle w:val="Heading1"/>
        <w:jc w:val="both"/>
        <w:rPr>
          <w:rFonts w:ascii="Tw Cen MT" w:hAnsi="Tw Cen MT"/>
          <w:b/>
          <w:szCs w:val="24"/>
        </w:rPr>
      </w:pPr>
      <w:r w:rsidRPr="00294277">
        <w:rPr>
          <w:rFonts w:ascii="Tw Cen MT" w:hAnsi="Tw Cen MT"/>
          <w:b/>
          <w:szCs w:val="24"/>
        </w:rPr>
        <w:t>THE LEASE AGREEMENT</w:t>
      </w:r>
    </w:p>
    <w:p w:rsidR="0091527D" w:rsidRPr="00294277" w:rsidRDefault="0091527D" w:rsidP="0091527D">
      <w:pPr>
        <w:pStyle w:val="BodyText"/>
        <w:ind w:left="720"/>
        <w:rPr>
          <w:rFonts w:ascii="Tw Cen MT" w:hAnsi="Tw Cen MT"/>
          <w:szCs w:val="24"/>
        </w:rPr>
      </w:pPr>
      <w:r w:rsidRPr="00294277">
        <w:rPr>
          <w:rFonts w:ascii="Tw Cen MT" w:hAnsi="Tw Cen MT"/>
          <w:szCs w:val="24"/>
        </w:rPr>
        <w:t xml:space="preserve">“Standard” forms for agricultural leases not </w:t>
      </w:r>
      <w:r w:rsidR="006A1605" w:rsidRPr="00294277">
        <w:rPr>
          <w:rFonts w:ascii="Tw Cen MT" w:hAnsi="Tw Cen MT"/>
          <w:szCs w:val="24"/>
        </w:rPr>
        <w:t xml:space="preserve">generally </w:t>
      </w:r>
      <w:r w:rsidRPr="00294277">
        <w:rPr>
          <w:rFonts w:ascii="Tw Cen MT" w:hAnsi="Tw Cen MT"/>
          <w:szCs w:val="24"/>
        </w:rPr>
        <w:t xml:space="preserve">available.  </w:t>
      </w:r>
      <w:r w:rsidR="006A1605" w:rsidRPr="00294277">
        <w:rPr>
          <w:rFonts w:ascii="Tw Cen MT" w:hAnsi="Tw Cen MT"/>
          <w:szCs w:val="24"/>
        </w:rPr>
        <w:t>Often primarily</w:t>
      </w:r>
      <w:r w:rsidRPr="00294277">
        <w:rPr>
          <w:rFonts w:ascii="Tw Cen MT" w:hAnsi="Tw Cen MT"/>
          <w:szCs w:val="24"/>
        </w:rPr>
        <w:t xml:space="preserve"> commercial in nature, but may contain residential elements if a dwelling is included.</w:t>
      </w:r>
      <w:r w:rsidR="00854107" w:rsidRPr="00294277">
        <w:rPr>
          <w:rFonts w:ascii="Tw Cen MT" w:hAnsi="Tw Cen MT"/>
          <w:szCs w:val="24"/>
        </w:rPr>
        <w:t xml:space="preserve">  In many states, commercial leases generally unregulated and residential leases highly regulated.</w:t>
      </w:r>
    </w:p>
    <w:p w:rsidR="00D929BF" w:rsidRPr="00294277" w:rsidRDefault="0091527D" w:rsidP="00854107">
      <w:pPr>
        <w:pStyle w:val="Heading2"/>
        <w:keepNext/>
        <w:jc w:val="both"/>
        <w:rPr>
          <w:rFonts w:ascii="Tw Cen MT" w:hAnsi="Tw Cen MT"/>
          <w:szCs w:val="24"/>
        </w:rPr>
      </w:pPr>
      <w:r w:rsidRPr="00294277">
        <w:rPr>
          <w:rFonts w:ascii="Tw Cen MT" w:hAnsi="Tw Cen MT"/>
          <w:szCs w:val="24"/>
        </w:rPr>
        <w:t>Landlord</w:t>
      </w:r>
      <w:r w:rsidR="00D929BF" w:rsidRPr="00294277">
        <w:rPr>
          <w:rFonts w:ascii="Tw Cen MT" w:hAnsi="Tw Cen MT"/>
          <w:szCs w:val="24"/>
        </w:rPr>
        <w:t>:</w:t>
      </w:r>
      <w:r w:rsidRPr="00294277">
        <w:rPr>
          <w:rFonts w:ascii="Tw Cen MT" w:hAnsi="Tw Cen MT"/>
          <w:szCs w:val="24"/>
        </w:rPr>
        <w:t xml:space="preserve"> </w:t>
      </w:r>
      <w:r w:rsidR="00854107" w:rsidRPr="00294277">
        <w:rPr>
          <w:rFonts w:ascii="Tw Cen MT" w:hAnsi="Tw Cen MT"/>
          <w:szCs w:val="24"/>
        </w:rPr>
        <w:t>Typically desires higher level of detail in describing the parties’ respective rights and obligations, and protective of the landlord, which often yields a longer, more formal agreement.  If both commercial and residential components involved, consider separate lease agreements for each and make them cross-contingent.</w:t>
      </w:r>
    </w:p>
    <w:p w:rsidR="00D929BF" w:rsidRPr="00294277" w:rsidRDefault="00854107" w:rsidP="00A07638">
      <w:pPr>
        <w:pStyle w:val="Heading2"/>
        <w:keepNext/>
        <w:jc w:val="both"/>
        <w:rPr>
          <w:rFonts w:ascii="Tw Cen MT" w:hAnsi="Tw Cen MT"/>
          <w:szCs w:val="24"/>
        </w:rPr>
      </w:pPr>
      <w:r w:rsidRPr="00294277">
        <w:rPr>
          <w:rFonts w:ascii="Tw Cen MT" w:hAnsi="Tw Cen MT"/>
          <w:szCs w:val="24"/>
        </w:rPr>
        <w:t>Tenant</w:t>
      </w:r>
      <w:r w:rsidR="00D929BF" w:rsidRPr="00294277">
        <w:rPr>
          <w:rFonts w:ascii="Tw Cen MT" w:hAnsi="Tw Cen MT"/>
          <w:szCs w:val="24"/>
        </w:rPr>
        <w:t>:</w:t>
      </w:r>
      <w:r w:rsidRPr="00294277">
        <w:rPr>
          <w:rFonts w:ascii="Tw Cen MT" w:hAnsi="Tw Cen MT"/>
          <w:szCs w:val="24"/>
        </w:rPr>
        <w:t xml:space="preserve"> Typically required to use the landlord’s lease form</w:t>
      </w:r>
      <w:r w:rsidR="00A00AE9">
        <w:rPr>
          <w:rFonts w:ascii="Tw Cen MT" w:hAnsi="Tw Cen MT"/>
          <w:szCs w:val="24"/>
        </w:rPr>
        <w:t>.</w:t>
      </w:r>
      <w:r w:rsidRPr="00294277">
        <w:rPr>
          <w:rFonts w:ascii="Tw Cen MT" w:hAnsi="Tw Cen MT"/>
          <w:szCs w:val="24"/>
        </w:rPr>
        <w:t xml:space="preserve"> </w:t>
      </w:r>
      <w:r w:rsidR="00A00AE9">
        <w:rPr>
          <w:rFonts w:ascii="Tw Cen MT" w:hAnsi="Tw Cen MT"/>
          <w:szCs w:val="24"/>
        </w:rPr>
        <w:t xml:space="preserve"> Goal of tenant’s counsel </w:t>
      </w:r>
      <w:r w:rsidRPr="00294277">
        <w:rPr>
          <w:rFonts w:ascii="Tw Cen MT" w:hAnsi="Tw Cen MT"/>
          <w:szCs w:val="24"/>
        </w:rPr>
        <w:t>is to make necessary and appropriate modifications to create fair and balanced agreement in light of current market conditions.</w:t>
      </w:r>
    </w:p>
    <w:p w:rsidR="00D929BF" w:rsidRPr="00294277" w:rsidRDefault="008752E9" w:rsidP="00A07638">
      <w:pPr>
        <w:pStyle w:val="Heading1"/>
        <w:jc w:val="both"/>
        <w:rPr>
          <w:rFonts w:ascii="Tw Cen MT" w:hAnsi="Tw Cen MT"/>
          <w:b/>
          <w:szCs w:val="24"/>
        </w:rPr>
      </w:pPr>
      <w:r w:rsidRPr="00294277">
        <w:rPr>
          <w:rFonts w:ascii="Tw Cen MT" w:hAnsi="Tw Cen MT"/>
          <w:b/>
          <w:szCs w:val="24"/>
        </w:rPr>
        <w:t>RENT</w:t>
      </w:r>
    </w:p>
    <w:p w:rsidR="007F5DDD" w:rsidRPr="00294277" w:rsidRDefault="00845C52" w:rsidP="00A07638">
      <w:pPr>
        <w:pStyle w:val="Heading2"/>
        <w:jc w:val="both"/>
        <w:rPr>
          <w:rFonts w:ascii="Tw Cen MT" w:hAnsi="Tw Cen MT"/>
          <w:szCs w:val="24"/>
        </w:rPr>
      </w:pPr>
      <w:r w:rsidRPr="00294277">
        <w:rPr>
          <w:rFonts w:ascii="Tw Cen MT" w:hAnsi="Tw Cen MT"/>
          <w:szCs w:val="24"/>
        </w:rPr>
        <w:t xml:space="preserve">Base Rent: </w:t>
      </w:r>
      <w:r w:rsidR="002F071A">
        <w:rPr>
          <w:rFonts w:ascii="Tw Cen MT" w:hAnsi="Tw Cen MT"/>
          <w:szCs w:val="24"/>
        </w:rPr>
        <w:t>S</w:t>
      </w:r>
      <w:r w:rsidRPr="00294277">
        <w:rPr>
          <w:rFonts w:ascii="Tw Cen MT" w:hAnsi="Tw Cen MT"/>
          <w:szCs w:val="24"/>
        </w:rPr>
        <w:t>hould be clearly specified</w:t>
      </w:r>
      <w:r w:rsidR="00A00AE9">
        <w:rPr>
          <w:rFonts w:ascii="Tw Cen MT" w:hAnsi="Tw Cen MT"/>
          <w:szCs w:val="24"/>
        </w:rPr>
        <w:t>,</w:t>
      </w:r>
      <w:r w:rsidRPr="00294277">
        <w:rPr>
          <w:rFonts w:ascii="Tw Cen MT" w:hAnsi="Tw Cen MT"/>
          <w:szCs w:val="24"/>
        </w:rPr>
        <w:t xml:space="preserve"> or capable of quantification if based on production, acreage or other measure</w:t>
      </w:r>
      <w:r w:rsidR="007F5DDD" w:rsidRPr="00294277">
        <w:rPr>
          <w:rFonts w:ascii="Tw Cen MT" w:hAnsi="Tw Cen MT"/>
          <w:szCs w:val="24"/>
        </w:rPr>
        <w:t>.</w:t>
      </w:r>
    </w:p>
    <w:p w:rsidR="00D929BF" w:rsidRPr="00294277" w:rsidRDefault="00845C52" w:rsidP="00A07638">
      <w:pPr>
        <w:pStyle w:val="Heading2"/>
        <w:jc w:val="both"/>
        <w:rPr>
          <w:rFonts w:ascii="Tw Cen MT" w:hAnsi="Tw Cen MT"/>
          <w:szCs w:val="24"/>
        </w:rPr>
      </w:pPr>
      <w:r w:rsidRPr="00294277">
        <w:rPr>
          <w:rFonts w:ascii="Tw Cen MT" w:hAnsi="Tw Cen MT"/>
          <w:szCs w:val="24"/>
        </w:rPr>
        <w:t xml:space="preserve">Adjustments: </w:t>
      </w:r>
      <w:r w:rsidR="002F071A">
        <w:rPr>
          <w:rFonts w:ascii="Tw Cen MT" w:hAnsi="Tw Cen MT"/>
          <w:szCs w:val="24"/>
        </w:rPr>
        <w:t>S</w:t>
      </w:r>
      <w:r w:rsidRPr="00294277">
        <w:rPr>
          <w:rFonts w:ascii="Tw Cen MT" w:hAnsi="Tw Cen MT"/>
          <w:szCs w:val="24"/>
        </w:rPr>
        <w:t xml:space="preserve">pecify timing and method of calculation – fixed percentages, CPI or other </w:t>
      </w:r>
      <w:r w:rsidR="00A00AE9">
        <w:rPr>
          <w:rFonts w:ascii="Tw Cen MT" w:hAnsi="Tw Cen MT"/>
          <w:szCs w:val="24"/>
        </w:rPr>
        <w:t>measure</w:t>
      </w:r>
      <w:r w:rsidR="007F5DDD" w:rsidRPr="00294277">
        <w:rPr>
          <w:rFonts w:ascii="Tw Cen MT" w:hAnsi="Tw Cen MT"/>
          <w:szCs w:val="24"/>
        </w:rPr>
        <w:t>.</w:t>
      </w:r>
    </w:p>
    <w:p w:rsidR="00845C52" w:rsidRPr="00294277" w:rsidRDefault="00845C52" w:rsidP="00845C52">
      <w:pPr>
        <w:pStyle w:val="Heading2"/>
        <w:rPr>
          <w:rFonts w:ascii="Tw Cen MT" w:hAnsi="Tw Cen MT"/>
          <w:szCs w:val="24"/>
        </w:rPr>
      </w:pPr>
      <w:r w:rsidRPr="00294277">
        <w:rPr>
          <w:rFonts w:ascii="Tw Cen MT" w:hAnsi="Tw Cen MT"/>
          <w:szCs w:val="24"/>
        </w:rPr>
        <w:t xml:space="preserve">Expenses: </w:t>
      </w:r>
      <w:r w:rsidR="002F071A">
        <w:rPr>
          <w:rFonts w:ascii="Tw Cen MT" w:hAnsi="Tw Cen MT"/>
          <w:szCs w:val="24"/>
        </w:rPr>
        <w:t>C</w:t>
      </w:r>
      <w:r w:rsidR="00A00AE9">
        <w:rPr>
          <w:rFonts w:ascii="Tw Cen MT" w:hAnsi="Tw Cen MT"/>
          <w:szCs w:val="24"/>
        </w:rPr>
        <w:t>learly specify which pa</w:t>
      </w:r>
      <w:r w:rsidR="006E05DC">
        <w:rPr>
          <w:rFonts w:ascii="Tw Cen MT" w:hAnsi="Tw Cen MT"/>
          <w:szCs w:val="24"/>
        </w:rPr>
        <w:t xml:space="preserve">rty pays the property taxes, assessments, utilities </w:t>
      </w:r>
      <w:r w:rsidR="00A00AE9">
        <w:rPr>
          <w:rFonts w:ascii="Tw Cen MT" w:hAnsi="Tw Cen MT"/>
          <w:szCs w:val="24"/>
        </w:rPr>
        <w:t>and</w:t>
      </w:r>
      <w:r w:rsidRPr="00294277">
        <w:rPr>
          <w:rFonts w:ascii="Tw Cen MT" w:hAnsi="Tw Cen MT"/>
          <w:szCs w:val="24"/>
        </w:rPr>
        <w:t xml:space="preserve"> insurance premiums</w:t>
      </w:r>
      <w:r w:rsidR="00A00AE9">
        <w:rPr>
          <w:rFonts w:ascii="Tw Cen MT" w:hAnsi="Tw Cen MT"/>
          <w:szCs w:val="24"/>
        </w:rPr>
        <w:t>, and how such expenses will be paid</w:t>
      </w:r>
      <w:r w:rsidRPr="00294277">
        <w:rPr>
          <w:rFonts w:ascii="Tw Cen MT" w:hAnsi="Tw Cen MT"/>
          <w:szCs w:val="24"/>
        </w:rPr>
        <w:t>.</w:t>
      </w:r>
    </w:p>
    <w:p w:rsidR="00845C52" w:rsidRPr="00294277" w:rsidRDefault="00845C52" w:rsidP="00845C52">
      <w:pPr>
        <w:pStyle w:val="Heading2"/>
        <w:rPr>
          <w:rFonts w:ascii="Tw Cen MT" w:hAnsi="Tw Cen MT"/>
          <w:szCs w:val="24"/>
        </w:rPr>
      </w:pPr>
      <w:r w:rsidRPr="00294277">
        <w:rPr>
          <w:rFonts w:ascii="Tw Cen MT" w:hAnsi="Tw Cen MT"/>
          <w:szCs w:val="24"/>
        </w:rPr>
        <w:t>Rent typically payable without offset or deduction.  Tenant may attempt to negotiate for self-help right and ability to offset costs in event of landlord failure to perform.</w:t>
      </w:r>
    </w:p>
    <w:p w:rsidR="00D929BF" w:rsidRPr="00294277" w:rsidRDefault="00213DAF" w:rsidP="00A07638">
      <w:pPr>
        <w:pStyle w:val="Heading1"/>
        <w:jc w:val="both"/>
        <w:rPr>
          <w:rFonts w:ascii="Tw Cen MT" w:hAnsi="Tw Cen MT"/>
          <w:b/>
          <w:szCs w:val="24"/>
        </w:rPr>
      </w:pPr>
      <w:r>
        <w:rPr>
          <w:rFonts w:ascii="Tw Cen MT" w:hAnsi="Tw Cen MT"/>
          <w:b/>
          <w:szCs w:val="24"/>
        </w:rPr>
        <w:t>USE OF THE PREMISES</w:t>
      </w:r>
    </w:p>
    <w:p w:rsidR="00D929BF" w:rsidRPr="00294277" w:rsidRDefault="00845C52" w:rsidP="00A07638">
      <w:pPr>
        <w:pStyle w:val="Heading2"/>
        <w:jc w:val="both"/>
        <w:rPr>
          <w:rFonts w:ascii="Tw Cen MT" w:hAnsi="Tw Cen MT"/>
          <w:szCs w:val="24"/>
        </w:rPr>
      </w:pPr>
      <w:r w:rsidRPr="00294277">
        <w:rPr>
          <w:rFonts w:ascii="Tw Cen MT" w:hAnsi="Tw Cen MT"/>
          <w:szCs w:val="24"/>
        </w:rPr>
        <w:t>Landlord</w:t>
      </w:r>
      <w:r w:rsidR="00D929BF" w:rsidRPr="00294277">
        <w:rPr>
          <w:rFonts w:ascii="Tw Cen MT" w:hAnsi="Tw Cen MT"/>
          <w:szCs w:val="24"/>
        </w:rPr>
        <w:t>:</w:t>
      </w:r>
      <w:r w:rsidRPr="00294277">
        <w:rPr>
          <w:rFonts w:ascii="Tw Cen MT" w:hAnsi="Tw Cen MT"/>
          <w:szCs w:val="24"/>
        </w:rPr>
        <w:t xml:space="preserve"> </w:t>
      </w:r>
      <w:r w:rsidR="006E05DC">
        <w:rPr>
          <w:rFonts w:ascii="Tw Cen MT" w:hAnsi="Tw Cen MT"/>
          <w:szCs w:val="24"/>
        </w:rPr>
        <w:t>Confirm any specific conditions to use (e.g. organic). Generally confirm use of good farming practices, no commission of waste. Seek broad indemnification of landlord for any issues caused by tenant’s use.</w:t>
      </w:r>
    </w:p>
    <w:p w:rsidR="00D929BF" w:rsidRPr="00294277" w:rsidRDefault="00845C52" w:rsidP="00A07638">
      <w:pPr>
        <w:pStyle w:val="Heading2"/>
        <w:keepNext/>
        <w:jc w:val="both"/>
        <w:rPr>
          <w:rFonts w:ascii="Tw Cen MT" w:hAnsi="Tw Cen MT"/>
          <w:szCs w:val="24"/>
        </w:rPr>
      </w:pPr>
      <w:r w:rsidRPr="00294277">
        <w:rPr>
          <w:rFonts w:ascii="Tw Cen MT" w:hAnsi="Tw Cen MT"/>
          <w:szCs w:val="24"/>
        </w:rPr>
        <w:t>Tenant</w:t>
      </w:r>
      <w:r w:rsidR="00D929BF" w:rsidRPr="00294277">
        <w:rPr>
          <w:rFonts w:ascii="Tw Cen MT" w:hAnsi="Tw Cen MT"/>
          <w:szCs w:val="24"/>
        </w:rPr>
        <w:t>:</w:t>
      </w:r>
      <w:r w:rsidRPr="00294277">
        <w:rPr>
          <w:rFonts w:ascii="Tw Cen MT" w:hAnsi="Tw Cen MT"/>
          <w:szCs w:val="24"/>
        </w:rPr>
        <w:t xml:space="preserve"> </w:t>
      </w:r>
      <w:r w:rsidR="006E05DC">
        <w:rPr>
          <w:rFonts w:ascii="Tw Cen MT" w:hAnsi="Tw Cen MT"/>
          <w:szCs w:val="24"/>
        </w:rPr>
        <w:t>Seek flexibility in use, specify use of pesticides and herbicides in compliance with labeling and applicable law. Seek to limit indemnification to a reasonable scope (e.g. “except to the extent caused by landlord”).</w:t>
      </w:r>
    </w:p>
    <w:p w:rsidR="00F46A53" w:rsidRPr="00294277" w:rsidRDefault="00213DAF" w:rsidP="00A07638">
      <w:pPr>
        <w:pStyle w:val="Heading1"/>
        <w:jc w:val="both"/>
        <w:rPr>
          <w:rFonts w:ascii="Tw Cen MT" w:hAnsi="Tw Cen MT"/>
          <w:b/>
          <w:szCs w:val="24"/>
        </w:rPr>
      </w:pPr>
      <w:r w:rsidRPr="00294277">
        <w:rPr>
          <w:rFonts w:ascii="Tw Cen MT" w:hAnsi="Tw Cen MT"/>
          <w:b/>
          <w:szCs w:val="24"/>
        </w:rPr>
        <w:t>CONDITION OF THE PREMISES</w:t>
      </w:r>
      <w:r>
        <w:rPr>
          <w:rFonts w:ascii="Tw Cen MT" w:hAnsi="Tw Cen MT"/>
          <w:b/>
          <w:szCs w:val="24"/>
        </w:rPr>
        <w:t xml:space="preserve">; MAINTENANCE </w:t>
      </w:r>
      <w:r w:rsidR="00F46A53" w:rsidRPr="00294277">
        <w:rPr>
          <w:rFonts w:ascii="Tw Cen MT" w:hAnsi="Tw Cen MT"/>
          <w:b/>
          <w:szCs w:val="24"/>
        </w:rPr>
        <w:t>AND REPAIR</w:t>
      </w:r>
    </w:p>
    <w:p w:rsidR="007A4CC2" w:rsidRPr="00294277" w:rsidRDefault="007A4CC2" w:rsidP="007A4CC2">
      <w:pPr>
        <w:pStyle w:val="Heading2"/>
        <w:rPr>
          <w:rFonts w:ascii="Tw Cen MT" w:hAnsi="Tw Cen MT"/>
          <w:szCs w:val="24"/>
        </w:rPr>
      </w:pPr>
      <w:r w:rsidRPr="00294277">
        <w:rPr>
          <w:rFonts w:ascii="Tw Cen MT" w:hAnsi="Tw Cen MT"/>
          <w:szCs w:val="24"/>
        </w:rPr>
        <w:t xml:space="preserve">Landlord: </w:t>
      </w:r>
      <w:r w:rsidR="00213DAF">
        <w:rPr>
          <w:rFonts w:ascii="Tw Cen MT" w:hAnsi="Tw Cen MT"/>
          <w:szCs w:val="24"/>
        </w:rPr>
        <w:t xml:space="preserve">Typically </w:t>
      </w:r>
      <w:r w:rsidR="00213DAF" w:rsidRPr="00294277">
        <w:rPr>
          <w:rFonts w:ascii="Tw Cen MT" w:hAnsi="Tw Cen MT"/>
          <w:szCs w:val="24"/>
        </w:rPr>
        <w:t>AS IS, except for</w:t>
      </w:r>
      <w:r w:rsidR="00213DAF">
        <w:rPr>
          <w:rFonts w:ascii="Tw Cen MT" w:hAnsi="Tw Cen MT"/>
          <w:szCs w:val="24"/>
        </w:rPr>
        <w:t xml:space="preserve"> any</w:t>
      </w:r>
      <w:r w:rsidR="00213DAF" w:rsidRPr="00294277">
        <w:rPr>
          <w:rFonts w:ascii="Tw Cen MT" w:hAnsi="Tw Cen MT"/>
          <w:szCs w:val="24"/>
        </w:rPr>
        <w:t xml:space="preserve"> express warranties.</w:t>
      </w:r>
      <w:r w:rsidR="00213DAF">
        <w:rPr>
          <w:rFonts w:ascii="Tw Cen MT" w:hAnsi="Tw Cen MT"/>
          <w:szCs w:val="24"/>
        </w:rPr>
        <w:t xml:space="preserve"> </w:t>
      </w:r>
      <w:r w:rsidR="002F071A">
        <w:rPr>
          <w:rFonts w:ascii="Tw Cen MT" w:hAnsi="Tw Cen MT"/>
          <w:szCs w:val="24"/>
        </w:rPr>
        <w:t>O</w:t>
      </w:r>
      <w:r w:rsidRPr="00294277">
        <w:rPr>
          <w:rFonts w:ascii="Tw Cen MT" w:hAnsi="Tw Cen MT"/>
          <w:szCs w:val="24"/>
        </w:rPr>
        <w:t>bligations</w:t>
      </w:r>
      <w:r w:rsidR="00213DAF">
        <w:rPr>
          <w:rFonts w:ascii="Tw Cen MT" w:hAnsi="Tw Cen MT"/>
          <w:szCs w:val="24"/>
        </w:rPr>
        <w:t xml:space="preserve"> to maintain and repair</w:t>
      </w:r>
      <w:r w:rsidR="003A229E">
        <w:rPr>
          <w:rFonts w:ascii="Tw Cen MT" w:hAnsi="Tw Cen MT"/>
          <w:szCs w:val="24"/>
        </w:rPr>
        <w:t>, if any,</w:t>
      </w:r>
      <w:r w:rsidR="00732FBA">
        <w:rPr>
          <w:rFonts w:ascii="Tw Cen MT" w:hAnsi="Tw Cen MT"/>
          <w:szCs w:val="24"/>
        </w:rPr>
        <w:t xml:space="preserve"> may include well/pump equipment, </w:t>
      </w:r>
      <w:r w:rsidRPr="00294277">
        <w:rPr>
          <w:rFonts w:ascii="Tw Cen MT" w:hAnsi="Tw Cen MT"/>
          <w:szCs w:val="24"/>
        </w:rPr>
        <w:t xml:space="preserve">structure, foundation and roof </w:t>
      </w:r>
      <w:r w:rsidR="003A229E">
        <w:rPr>
          <w:rFonts w:ascii="Tw Cen MT" w:hAnsi="Tw Cen MT"/>
          <w:szCs w:val="24"/>
        </w:rPr>
        <w:t>of improvements</w:t>
      </w:r>
      <w:r w:rsidRPr="00294277">
        <w:rPr>
          <w:rFonts w:ascii="Tw Cen MT" w:hAnsi="Tw Cen MT"/>
          <w:szCs w:val="24"/>
        </w:rPr>
        <w:t>.</w:t>
      </w:r>
      <w:r w:rsidR="003C28CB" w:rsidRPr="00294277">
        <w:rPr>
          <w:rFonts w:ascii="Tw Cen MT" w:hAnsi="Tw Cen MT"/>
          <w:szCs w:val="24"/>
        </w:rPr>
        <w:t xml:space="preserve">  Landlord may have statutory or common law obligations with respect to residential </w:t>
      </w:r>
      <w:r w:rsidR="003A229E">
        <w:rPr>
          <w:rFonts w:ascii="Tw Cen MT" w:hAnsi="Tw Cen MT"/>
          <w:szCs w:val="24"/>
        </w:rPr>
        <w:t>dwelling on the property</w:t>
      </w:r>
      <w:r w:rsidR="003C28CB" w:rsidRPr="00294277">
        <w:rPr>
          <w:rFonts w:ascii="Tw Cen MT" w:hAnsi="Tw Cen MT"/>
          <w:szCs w:val="24"/>
        </w:rPr>
        <w:t>.</w:t>
      </w:r>
    </w:p>
    <w:p w:rsidR="003C28CB" w:rsidRPr="00294277" w:rsidRDefault="003C28CB" w:rsidP="003C28CB">
      <w:pPr>
        <w:pStyle w:val="Heading2"/>
        <w:rPr>
          <w:rFonts w:ascii="Tw Cen MT" w:hAnsi="Tw Cen MT"/>
          <w:szCs w:val="24"/>
        </w:rPr>
      </w:pPr>
      <w:r w:rsidRPr="00294277">
        <w:rPr>
          <w:rFonts w:ascii="Tw Cen MT" w:hAnsi="Tw Cen MT"/>
          <w:szCs w:val="24"/>
        </w:rPr>
        <w:t xml:space="preserve">Tenant: </w:t>
      </w:r>
      <w:r w:rsidR="00732FBA">
        <w:rPr>
          <w:rFonts w:ascii="Tw Cen MT" w:hAnsi="Tw Cen MT"/>
          <w:szCs w:val="24"/>
        </w:rPr>
        <w:t>Attempt to obtain</w:t>
      </w:r>
      <w:r w:rsidR="00732FBA" w:rsidRPr="00294277">
        <w:rPr>
          <w:rFonts w:ascii="Tw Cen MT" w:hAnsi="Tw Cen MT"/>
          <w:szCs w:val="24"/>
        </w:rPr>
        <w:t xml:space="preserve"> warranties from landl</w:t>
      </w:r>
      <w:r w:rsidR="00A80A8E">
        <w:rPr>
          <w:rFonts w:ascii="Tw Cen MT" w:hAnsi="Tw Cen MT"/>
          <w:szCs w:val="24"/>
        </w:rPr>
        <w:t>ord - compliance with laws,</w:t>
      </w:r>
      <w:r w:rsidR="00732FBA" w:rsidRPr="00294277">
        <w:rPr>
          <w:rFonts w:ascii="Tw Cen MT" w:hAnsi="Tw Cen MT"/>
          <w:szCs w:val="24"/>
        </w:rPr>
        <w:t xml:space="preserve"> condition of buildings and equipment. Any improvements or repairs promised by landlord should be specified in the lease.  </w:t>
      </w:r>
      <w:r w:rsidR="002F071A">
        <w:rPr>
          <w:rFonts w:ascii="Tw Cen MT" w:hAnsi="Tw Cen MT"/>
          <w:szCs w:val="24"/>
        </w:rPr>
        <w:t>S</w:t>
      </w:r>
      <w:r w:rsidRPr="00294277">
        <w:rPr>
          <w:rFonts w:ascii="Tw Cen MT" w:hAnsi="Tw Cen MT"/>
          <w:szCs w:val="24"/>
        </w:rPr>
        <w:t>hould attempt to have the landlord perform maintenance and repairs of a capital nature and only pay for an amortized portion applicable to the lease term.</w:t>
      </w:r>
    </w:p>
    <w:p w:rsidR="00A80A8E" w:rsidRDefault="003A229E" w:rsidP="00532807">
      <w:pPr>
        <w:pStyle w:val="BodyText"/>
        <w:ind w:left="720"/>
        <w:rPr>
          <w:rFonts w:ascii="Tw Cen MT" w:hAnsi="Tw Cen MT"/>
          <w:szCs w:val="24"/>
        </w:rPr>
      </w:pPr>
      <w:r>
        <w:rPr>
          <w:rFonts w:ascii="Tw Cen MT" w:hAnsi="Tw Cen MT"/>
          <w:szCs w:val="24"/>
        </w:rPr>
        <w:t>Both parties benefit from</w:t>
      </w:r>
      <w:r w:rsidR="003C28CB" w:rsidRPr="00294277">
        <w:rPr>
          <w:rFonts w:ascii="Tw Cen MT" w:hAnsi="Tw Cen MT"/>
          <w:szCs w:val="24"/>
        </w:rPr>
        <w:t xml:space="preserve"> reasonably detailed documentation of the condition of the leased </w:t>
      </w:r>
      <w:r>
        <w:rPr>
          <w:rFonts w:ascii="Tw Cen MT" w:hAnsi="Tw Cen MT"/>
          <w:szCs w:val="24"/>
        </w:rPr>
        <w:t>property</w:t>
      </w:r>
      <w:r w:rsidR="003C28CB" w:rsidRPr="00294277">
        <w:rPr>
          <w:rFonts w:ascii="Tw Cen MT" w:hAnsi="Tw Cen MT"/>
          <w:szCs w:val="24"/>
        </w:rPr>
        <w:t xml:space="preserve"> and equipment at the commencement of the term.</w:t>
      </w:r>
    </w:p>
    <w:p w:rsidR="00532807" w:rsidRDefault="00532807" w:rsidP="00532807">
      <w:pPr>
        <w:pStyle w:val="BodyText"/>
        <w:ind w:left="720"/>
        <w:rPr>
          <w:rFonts w:ascii="Tw Cen MT" w:hAnsi="Tw Cen MT"/>
          <w:szCs w:val="24"/>
        </w:rPr>
      </w:pPr>
    </w:p>
    <w:p w:rsidR="00532807" w:rsidRDefault="00532807" w:rsidP="00532807">
      <w:pPr>
        <w:pStyle w:val="BodyText"/>
        <w:ind w:left="720"/>
        <w:rPr>
          <w:rFonts w:ascii="Tw Cen MT" w:hAnsi="Tw Cen MT"/>
          <w:szCs w:val="24"/>
        </w:rPr>
      </w:pPr>
    </w:p>
    <w:p w:rsidR="00532807" w:rsidRPr="00294277" w:rsidRDefault="00532807" w:rsidP="00532807">
      <w:pPr>
        <w:pStyle w:val="BodyText"/>
        <w:ind w:left="720"/>
        <w:rPr>
          <w:rFonts w:ascii="Tw Cen MT" w:hAnsi="Tw Cen MT"/>
          <w:szCs w:val="24"/>
        </w:rPr>
      </w:pPr>
    </w:p>
    <w:p w:rsidR="00F46A53" w:rsidRPr="00294277" w:rsidRDefault="00F46A53" w:rsidP="00A07638">
      <w:pPr>
        <w:pStyle w:val="Heading1"/>
        <w:jc w:val="both"/>
        <w:rPr>
          <w:rFonts w:ascii="Tw Cen MT" w:hAnsi="Tw Cen MT"/>
          <w:b/>
          <w:szCs w:val="24"/>
        </w:rPr>
      </w:pPr>
      <w:r w:rsidRPr="00294277">
        <w:rPr>
          <w:rFonts w:ascii="Tw Cen MT" w:hAnsi="Tw Cen MT"/>
          <w:b/>
          <w:szCs w:val="24"/>
        </w:rPr>
        <w:t>ALTERATIONS DURING THE TERM</w:t>
      </w:r>
    </w:p>
    <w:p w:rsidR="003C28CB" w:rsidRPr="00294277" w:rsidRDefault="00DB3637" w:rsidP="003C28CB">
      <w:pPr>
        <w:pStyle w:val="Heading2"/>
        <w:rPr>
          <w:rFonts w:ascii="Tw Cen MT" w:hAnsi="Tw Cen MT"/>
          <w:szCs w:val="24"/>
        </w:rPr>
      </w:pPr>
      <w:r w:rsidRPr="00294277">
        <w:rPr>
          <w:rFonts w:ascii="Tw Cen MT" w:hAnsi="Tw Cen MT"/>
          <w:szCs w:val="24"/>
        </w:rPr>
        <w:t>Landlord consent required? What is the standard for landlord consent – sole discretion v. reasonableness?</w:t>
      </w:r>
    </w:p>
    <w:p w:rsidR="00DB3637" w:rsidRPr="00294277" w:rsidRDefault="00DB3637" w:rsidP="00DB3637">
      <w:pPr>
        <w:pStyle w:val="Heading2"/>
        <w:rPr>
          <w:rFonts w:ascii="Tw Cen MT" w:hAnsi="Tw Cen MT"/>
          <w:szCs w:val="24"/>
        </w:rPr>
      </w:pPr>
      <w:r w:rsidRPr="00294277">
        <w:rPr>
          <w:rFonts w:ascii="Tw Cen MT" w:hAnsi="Tw Cen MT"/>
          <w:szCs w:val="24"/>
        </w:rPr>
        <w:t>Ownership of alterations? Obligation to remove at end of lease term?</w:t>
      </w:r>
    </w:p>
    <w:p w:rsidR="00F46A53" w:rsidRPr="00294277" w:rsidRDefault="00F46A53" w:rsidP="00A07638">
      <w:pPr>
        <w:pStyle w:val="Heading1"/>
        <w:jc w:val="both"/>
        <w:rPr>
          <w:rFonts w:ascii="Tw Cen MT" w:hAnsi="Tw Cen MT"/>
          <w:b/>
          <w:szCs w:val="24"/>
        </w:rPr>
      </w:pPr>
      <w:r w:rsidRPr="00294277">
        <w:rPr>
          <w:rFonts w:ascii="Tw Cen MT" w:hAnsi="Tw Cen MT"/>
          <w:b/>
          <w:szCs w:val="24"/>
        </w:rPr>
        <w:t>ASSIGNMENT AND SUBLEASING</w:t>
      </w:r>
    </w:p>
    <w:p w:rsidR="003C28CB" w:rsidRPr="00294277" w:rsidRDefault="00DB3637" w:rsidP="003C28CB">
      <w:pPr>
        <w:pStyle w:val="Heading2"/>
        <w:rPr>
          <w:rFonts w:ascii="Tw Cen MT" w:hAnsi="Tw Cen MT"/>
          <w:szCs w:val="24"/>
        </w:rPr>
      </w:pPr>
      <w:r w:rsidRPr="00294277">
        <w:rPr>
          <w:rFonts w:ascii="Tw Cen MT" w:hAnsi="Tw Cen MT"/>
          <w:szCs w:val="24"/>
        </w:rPr>
        <w:t>Landlord consent required? What is the standard for landlord consent – sole discretion v. reasonableness?</w:t>
      </w:r>
      <w:r w:rsidR="00493C29" w:rsidRPr="00294277">
        <w:rPr>
          <w:rFonts w:ascii="Tw Cen MT" w:hAnsi="Tw Cen MT"/>
          <w:szCs w:val="24"/>
        </w:rPr>
        <w:t xml:space="preserve">  Common carveouts.</w:t>
      </w:r>
    </w:p>
    <w:p w:rsidR="00493C29" w:rsidRPr="00294277" w:rsidRDefault="00493C29" w:rsidP="00493C29">
      <w:pPr>
        <w:pStyle w:val="Heading2"/>
        <w:rPr>
          <w:rFonts w:ascii="Tw Cen MT" w:hAnsi="Tw Cen MT"/>
          <w:szCs w:val="24"/>
        </w:rPr>
      </w:pPr>
      <w:r w:rsidRPr="00294277">
        <w:rPr>
          <w:rFonts w:ascii="Tw Cen MT" w:hAnsi="Tw Cen MT"/>
          <w:szCs w:val="24"/>
        </w:rPr>
        <w:t xml:space="preserve">What process and documentation </w:t>
      </w:r>
      <w:r w:rsidR="002F071A">
        <w:rPr>
          <w:rFonts w:ascii="Tw Cen MT" w:hAnsi="Tw Cen MT"/>
          <w:szCs w:val="24"/>
        </w:rPr>
        <w:t>are</w:t>
      </w:r>
      <w:r w:rsidRPr="00294277">
        <w:rPr>
          <w:rFonts w:ascii="Tw Cen MT" w:hAnsi="Tw Cen MT"/>
          <w:szCs w:val="24"/>
        </w:rPr>
        <w:t xml:space="preserve"> involved?</w:t>
      </w:r>
    </w:p>
    <w:p w:rsidR="00D929BF" w:rsidRPr="00294277" w:rsidRDefault="00F46A53" w:rsidP="00A07638">
      <w:pPr>
        <w:pStyle w:val="Heading1"/>
        <w:jc w:val="both"/>
        <w:rPr>
          <w:rFonts w:ascii="Tw Cen MT" w:hAnsi="Tw Cen MT"/>
          <w:b/>
          <w:szCs w:val="24"/>
        </w:rPr>
      </w:pPr>
      <w:r w:rsidRPr="00294277">
        <w:rPr>
          <w:rFonts w:ascii="Tw Cen MT" w:hAnsi="Tw Cen MT"/>
          <w:b/>
          <w:szCs w:val="24"/>
        </w:rPr>
        <w:t xml:space="preserve">DEFAULT AND </w:t>
      </w:r>
      <w:r w:rsidR="00D929BF" w:rsidRPr="00294277">
        <w:rPr>
          <w:rFonts w:ascii="Tw Cen MT" w:hAnsi="Tw Cen MT"/>
          <w:b/>
          <w:szCs w:val="24"/>
        </w:rPr>
        <w:t>REMEDIES</w:t>
      </w:r>
    </w:p>
    <w:p w:rsidR="0041518F" w:rsidRPr="00294277" w:rsidRDefault="002F071A" w:rsidP="0041518F">
      <w:pPr>
        <w:pStyle w:val="Heading2"/>
        <w:rPr>
          <w:rFonts w:ascii="Tw Cen MT" w:hAnsi="Tw Cen MT"/>
          <w:szCs w:val="24"/>
        </w:rPr>
      </w:pPr>
      <w:r>
        <w:rPr>
          <w:rFonts w:ascii="Tw Cen MT" w:hAnsi="Tw Cen MT"/>
          <w:szCs w:val="24"/>
        </w:rPr>
        <w:t>What constitutes a “D</w:t>
      </w:r>
      <w:r w:rsidR="0041518F" w:rsidRPr="00294277">
        <w:rPr>
          <w:rFonts w:ascii="Tw Cen MT" w:hAnsi="Tw Cen MT"/>
          <w:szCs w:val="24"/>
        </w:rPr>
        <w:t>efault”?  Differentiate from “breach” or “violation”.</w:t>
      </w:r>
    </w:p>
    <w:p w:rsidR="0041518F" w:rsidRPr="00294277" w:rsidRDefault="0041518F" w:rsidP="0041518F">
      <w:pPr>
        <w:pStyle w:val="Heading2"/>
        <w:rPr>
          <w:rFonts w:ascii="Tw Cen MT" w:hAnsi="Tw Cen MT"/>
          <w:szCs w:val="24"/>
        </w:rPr>
      </w:pPr>
      <w:r w:rsidRPr="00294277">
        <w:rPr>
          <w:rFonts w:ascii="Tw Cen MT" w:hAnsi="Tw Cen MT"/>
          <w:szCs w:val="24"/>
        </w:rPr>
        <w:t xml:space="preserve">Notice and opportunity to cure essential protection for tenant.  </w:t>
      </w:r>
      <w:r w:rsidRPr="00294277">
        <w:rPr>
          <w:rFonts w:ascii="Tw Cen MT" w:eastAsia="Times New Roman" w:hAnsi="Tw Cen MT"/>
          <w:szCs w:val="24"/>
        </w:rPr>
        <w:t>A clear and unambiguous notice provision should be included that tells the parties how notice is to be given, to whom it is to be given</w:t>
      </w:r>
      <w:r w:rsidR="002F071A">
        <w:rPr>
          <w:rFonts w:ascii="Tw Cen MT" w:eastAsia="Times New Roman" w:hAnsi="Tw Cen MT"/>
          <w:szCs w:val="24"/>
        </w:rPr>
        <w:t>,</w:t>
      </w:r>
      <w:r w:rsidRPr="00294277">
        <w:rPr>
          <w:rFonts w:ascii="Tw Cen MT" w:eastAsia="Times New Roman" w:hAnsi="Tw Cen MT"/>
          <w:szCs w:val="24"/>
        </w:rPr>
        <w:t xml:space="preserve"> and when notice is effective.  </w:t>
      </w:r>
    </w:p>
    <w:p w:rsidR="0041518F" w:rsidRPr="00294277" w:rsidRDefault="0041518F" w:rsidP="0041518F">
      <w:pPr>
        <w:pStyle w:val="Heading2"/>
        <w:rPr>
          <w:rFonts w:ascii="Tw Cen MT" w:hAnsi="Tw Cen MT"/>
          <w:szCs w:val="24"/>
        </w:rPr>
      </w:pPr>
      <w:r w:rsidRPr="00294277">
        <w:rPr>
          <w:rFonts w:ascii="Tw Cen MT" w:hAnsi="Tw Cen MT"/>
          <w:szCs w:val="24"/>
        </w:rPr>
        <w:t xml:space="preserve">Landlord right to </w:t>
      </w:r>
      <w:r w:rsidR="00D2720E" w:rsidRPr="00294277">
        <w:rPr>
          <w:rFonts w:ascii="Tw Cen MT" w:hAnsi="Tw Cen MT"/>
          <w:szCs w:val="24"/>
        </w:rPr>
        <w:t>evict and retake possession by legal process or self-help, if available.</w:t>
      </w:r>
    </w:p>
    <w:p w:rsidR="00D2720E" w:rsidRPr="00294277" w:rsidRDefault="00D2720E" w:rsidP="00D2720E">
      <w:pPr>
        <w:pStyle w:val="Heading2"/>
        <w:rPr>
          <w:rFonts w:ascii="Tw Cen MT" w:hAnsi="Tw Cen MT"/>
          <w:szCs w:val="24"/>
        </w:rPr>
      </w:pPr>
      <w:r w:rsidRPr="00294277">
        <w:rPr>
          <w:rFonts w:ascii="Tw Cen MT" w:hAnsi="Tw Cen MT"/>
          <w:szCs w:val="24"/>
        </w:rPr>
        <w:t>Landlord’s right to dispose of the tenant’s personal property and equipment.</w:t>
      </w:r>
      <w:r w:rsidR="00A80A8E">
        <w:rPr>
          <w:rFonts w:ascii="Tw Cen MT" w:hAnsi="Tw Cen MT"/>
          <w:szCs w:val="24"/>
        </w:rPr>
        <w:t xml:space="preserve">  Tenant may have financing, so consider agricultural lien and priority. Right to harvest considerations.</w:t>
      </w:r>
    </w:p>
    <w:p w:rsidR="00AB252D" w:rsidRPr="00294277" w:rsidRDefault="00AB252D" w:rsidP="00041212">
      <w:pPr>
        <w:pStyle w:val="Heading1"/>
        <w:keepNext/>
        <w:jc w:val="both"/>
        <w:rPr>
          <w:rFonts w:ascii="Tw Cen MT" w:hAnsi="Tw Cen MT"/>
          <w:b/>
          <w:szCs w:val="24"/>
        </w:rPr>
      </w:pPr>
      <w:r w:rsidRPr="00294277">
        <w:rPr>
          <w:rFonts w:ascii="Tw Cen MT" w:hAnsi="Tw Cen MT"/>
          <w:b/>
          <w:szCs w:val="24"/>
        </w:rPr>
        <w:t>ALTERNATIVE DISPUTE RESOLUTION</w:t>
      </w:r>
    </w:p>
    <w:p w:rsidR="00D2720E" w:rsidRPr="00294277" w:rsidRDefault="00D2720E" w:rsidP="00D2720E">
      <w:pPr>
        <w:pStyle w:val="Heading2"/>
        <w:rPr>
          <w:rFonts w:ascii="Tw Cen MT" w:hAnsi="Tw Cen MT"/>
          <w:szCs w:val="24"/>
        </w:rPr>
      </w:pPr>
      <w:r w:rsidRPr="00294277">
        <w:rPr>
          <w:rFonts w:ascii="Tw Cen MT" w:hAnsi="Tw Cen MT"/>
          <w:szCs w:val="24"/>
        </w:rPr>
        <w:t>Mediation: May be required by le</w:t>
      </w:r>
      <w:r w:rsidR="002F071A">
        <w:rPr>
          <w:rFonts w:ascii="Tw Cen MT" w:hAnsi="Tw Cen MT"/>
          <w:szCs w:val="24"/>
        </w:rPr>
        <w:t>ase or elected by parties.  A</w:t>
      </w:r>
      <w:r w:rsidRPr="00294277">
        <w:rPr>
          <w:rFonts w:ascii="Tw Cen MT" w:hAnsi="Tw Cen MT"/>
          <w:szCs w:val="24"/>
        </w:rPr>
        <w:t>ny resolution reached is voluntary.  Facilitated by private mediators, dispute resolution services, or governmental agencies.</w:t>
      </w:r>
    </w:p>
    <w:p w:rsidR="00D2720E" w:rsidRPr="00294277" w:rsidRDefault="00D2720E" w:rsidP="00D2720E">
      <w:pPr>
        <w:pStyle w:val="Heading2"/>
        <w:rPr>
          <w:rFonts w:ascii="Tw Cen MT" w:hAnsi="Tw Cen MT"/>
          <w:szCs w:val="24"/>
        </w:rPr>
      </w:pPr>
      <w:r w:rsidRPr="00294277">
        <w:rPr>
          <w:rFonts w:ascii="Tw Cen MT" w:hAnsi="Tw Cen MT"/>
          <w:szCs w:val="24"/>
        </w:rPr>
        <w:t>Arbitration: May be required by le</w:t>
      </w:r>
      <w:r w:rsidR="002F071A">
        <w:rPr>
          <w:rFonts w:ascii="Tw Cen MT" w:hAnsi="Tw Cen MT"/>
          <w:szCs w:val="24"/>
        </w:rPr>
        <w:t>ase or elected by parties.  A</w:t>
      </w:r>
      <w:r w:rsidRPr="00294277">
        <w:rPr>
          <w:rFonts w:ascii="Tw Cen MT" w:hAnsi="Tw Cen MT"/>
          <w:szCs w:val="24"/>
        </w:rPr>
        <w:t>rbitrator will impose a binding resolution on the parties.  Similar to expedited, private trial.</w:t>
      </w:r>
    </w:p>
    <w:p w:rsidR="00AB252D" w:rsidRPr="00294277" w:rsidRDefault="00AB252D" w:rsidP="00AB252D">
      <w:pPr>
        <w:pStyle w:val="Heading1"/>
        <w:keepNext/>
        <w:jc w:val="both"/>
        <w:rPr>
          <w:rFonts w:ascii="Tw Cen MT" w:hAnsi="Tw Cen MT"/>
          <w:b/>
          <w:szCs w:val="24"/>
        </w:rPr>
      </w:pPr>
      <w:r w:rsidRPr="00294277">
        <w:rPr>
          <w:rFonts w:ascii="Tw Cen MT" w:hAnsi="Tw Cen MT"/>
          <w:b/>
          <w:szCs w:val="24"/>
        </w:rPr>
        <w:t>SPECIAL AGRICULTURE CONSIDERATIONS</w:t>
      </w:r>
    </w:p>
    <w:p w:rsidR="00AB252D" w:rsidRPr="00294277" w:rsidRDefault="00AB252D" w:rsidP="00AB252D">
      <w:pPr>
        <w:pStyle w:val="Heading2"/>
        <w:rPr>
          <w:rFonts w:ascii="Tw Cen MT" w:hAnsi="Tw Cen MT"/>
          <w:szCs w:val="24"/>
        </w:rPr>
      </w:pPr>
      <w:r w:rsidRPr="00294277">
        <w:rPr>
          <w:rFonts w:ascii="Tw Cen MT" w:hAnsi="Tw Cen MT"/>
          <w:szCs w:val="24"/>
        </w:rPr>
        <w:t>Right to Harvest</w:t>
      </w:r>
      <w:r w:rsidR="00D2720E" w:rsidRPr="00294277">
        <w:rPr>
          <w:rFonts w:ascii="Tw Cen MT" w:hAnsi="Tw Cen MT"/>
          <w:szCs w:val="24"/>
        </w:rPr>
        <w:t>:</w:t>
      </w:r>
      <w:r w:rsidR="00294277" w:rsidRPr="00294277">
        <w:rPr>
          <w:rFonts w:ascii="Tw Cen MT" w:hAnsi="Tw Cen MT"/>
          <w:szCs w:val="24"/>
        </w:rPr>
        <w:t xml:space="preserve"> ORS 91.230 </w:t>
      </w:r>
      <w:r w:rsidR="002F071A">
        <w:rPr>
          <w:rFonts w:ascii="Tw Cen MT" w:hAnsi="Tw Cen MT"/>
          <w:szCs w:val="24"/>
        </w:rPr>
        <w:t>–</w:t>
      </w:r>
      <w:r w:rsidR="00294277" w:rsidRPr="00294277">
        <w:rPr>
          <w:rFonts w:ascii="Tw Cen MT" w:hAnsi="Tw Cen MT"/>
          <w:szCs w:val="24"/>
        </w:rPr>
        <w:t xml:space="preserve"> </w:t>
      </w:r>
      <w:r w:rsidR="002F071A">
        <w:rPr>
          <w:rFonts w:ascii="Tw Cen MT" w:hAnsi="Tw Cen MT"/>
          <w:szCs w:val="24"/>
        </w:rPr>
        <w:t>“</w:t>
      </w:r>
      <w:r w:rsidR="00294277" w:rsidRPr="00294277">
        <w:rPr>
          <w:rFonts w:ascii="Tw Cen MT" w:hAnsi="Tw Cen MT"/>
          <w:szCs w:val="24"/>
          <w:lang w:val="en"/>
        </w:rPr>
        <w:t>When the leasing or occupation is for the purpose of farming or agriculture, the tenant or person in possession shall, after the termination of the lease or occupancy, have free access to the premises to cultivate and harvest or gather any crop or produce of the soil planted or sown by the tenant or person in possession before the service of notice to quit.</w:t>
      </w:r>
      <w:r w:rsidR="002F071A">
        <w:rPr>
          <w:rFonts w:ascii="Tw Cen MT" w:hAnsi="Tw Cen MT"/>
          <w:szCs w:val="24"/>
          <w:lang w:val="en"/>
        </w:rPr>
        <w:t>”</w:t>
      </w:r>
    </w:p>
    <w:p w:rsidR="009D717B" w:rsidRPr="00532807" w:rsidRDefault="00AB252D" w:rsidP="00532807">
      <w:pPr>
        <w:pStyle w:val="Heading2"/>
        <w:rPr>
          <w:rFonts w:ascii="Tw Cen MT" w:hAnsi="Tw Cen MT"/>
          <w:szCs w:val="24"/>
        </w:rPr>
      </w:pPr>
      <w:r w:rsidRPr="00294277">
        <w:rPr>
          <w:rFonts w:ascii="Tw Cen MT" w:hAnsi="Tw Cen MT"/>
          <w:szCs w:val="24"/>
        </w:rPr>
        <w:t>Hemp and Marijuana</w:t>
      </w:r>
      <w:r w:rsidR="00A80A8E">
        <w:rPr>
          <w:rFonts w:ascii="Tw Cen MT" w:hAnsi="Tw Cen MT"/>
          <w:szCs w:val="24"/>
        </w:rPr>
        <w:t xml:space="preserve"> – Marijuana remains illegal at the federal level. Require tenant compliance with state-specific licensing requirements (ma</w:t>
      </w:r>
      <w:r w:rsidR="00532807">
        <w:rPr>
          <w:rFonts w:ascii="Tw Cen MT" w:hAnsi="Tw Cen MT"/>
          <w:szCs w:val="24"/>
        </w:rPr>
        <w:t>rijuana and hemp have different</w:t>
      </w:r>
      <w:r w:rsidR="00A80A8E">
        <w:rPr>
          <w:rFonts w:ascii="Tw Cen MT" w:hAnsi="Tw Cen MT"/>
          <w:szCs w:val="24"/>
        </w:rPr>
        <w:t xml:space="preserve"> licensing requirements). Will need to be able to show zoning compliance, water right availability, security plan, etc. Immediate termination in the event of federal criminal enforcement actions (marijuana). </w:t>
      </w:r>
    </w:p>
    <w:sectPr w:rsidR="009D717B" w:rsidRPr="00532807" w:rsidSect="00532807">
      <w:headerReference w:type="even" r:id="rId11"/>
      <w:headerReference w:type="default" r:id="rId12"/>
      <w:footerReference w:type="even" r:id="rId13"/>
      <w:footerReference w:type="default" r:id="rId14"/>
      <w:headerReference w:type="first" r:id="rId15"/>
      <w:footerReference w:type="first" r:id="rId16"/>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9BF" w:rsidRDefault="00D929BF" w:rsidP="00D929BF">
      <w:pPr>
        <w:spacing w:after="0"/>
      </w:pPr>
      <w:r>
        <w:separator/>
      </w:r>
    </w:p>
  </w:endnote>
  <w:endnote w:type="continuationSeparator" w:id="0">
    <w:p w:rsidR="00D929BF" w:rsidRDefault="00D929BF" w:rsidP="00D929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a5829b69-b591-4f6b-bd67-0398"/>
  <w:p w:rsidR="00532807" w:rsidRDefault="00532807">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5</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5</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DCAPDX\3133364.v2</w:instrText>
    </w:r>
    <w:r>
      <w:fldChar w:fldCharType="end"/>
    </w:r>
    <w:r>
      <w:fldChar w:fldCharType="separate"/>
    </w:r>
    <w:r>
      <w:rPr>
        <w:noProof/>
      </w:rPr>
      <w:t>DCAPDX\3133364.v2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07" w:rsidRDefault="00532807" w:rsidP="00A92A61">
    <w:pPr>
      <w:pStyle w:val="Footer"/>
    </w:pPr>
    <w:r w:rsidRPr="004B24D8">
      <w:rPr>
        <w:noProof/>
      </w:rPr>
      <mc:AlternateContent>
        <mc:Choice Requires="wps">
          <w:drawing>
            <wp:anchor distT="0" distB="0" distL="114300" distR="114300" simplePos="0" relativeHeight="251659264" behindDoc="0" locked="0" layoutInCell="1" allowOverlap="1" wp14:anchorId="055A57FF" wp14:editId="75EE9226">
              <wp:simplePos x="0" y="0"/>
              <wp:positionH relativeFrom="column">
                <wp:posOffset>-805815</wp:posOffset>
              </wp:positionH>
              <wp:positionV relativeFrom="paragraph">
                <wp:posOffset>-323215</wp:posOffset>
              </wp:positionV>
              <wp:extent cx="2289175" cy="824230"/>
              <wp:effectExtent l="0" t="0" r="0" b="0"/>
              <wp:wrapNone/>
              <wp:docPr id="1" name="Rectangle 1"/>
              <wp:cNvGraphicFramePr/>
              <a:graphic xmlns:a="http://schemas.openxmlformats.org/drawingml/2006/main">
                <a:graphicData uri="http://schemas.microsoft.com/office/word/2010/wordprocessingShape">
                  <wps:wsp>
                    <wps:cNvSpPr/>
                    <wps:spPr>
                      <a:xfrm>
                        <a:off x="0" y="0"/>
                        <a:ext cx="2289175" cy="824230"/>
                      </a:xfrm>
                      <a:prstGeom prst="rect">
                        <a:avLst/>
                      </a:prstGeom>
                      <a:ln>
                        <a:noFill/>
                      </a:ln>
                    </wps:spPr>
                    <wps:style>
                      <a:lnRef idx="2">
                        <a:schemeClr val="accent6">
                          <a:shade val="50000"/>
                        </a:schemeClr>
                      </a:lnRef>
                      <a:fillRef idx="1">
                        <a:schemeClr val="accent6"/>
                      </a:fillRef>
                      <a:effectRef idx="0">
                        <a:schemeClr val="accent6"/>
                      </a:effectRef>
                      <a:fontRef idx="minor">
                        <a:schemeClr val="lt1"/>
                      </a:fontRef>
                    </wps:style>
                    <wps:txbx>
                      <w:txbxContent>
                        <w:bookmarkStart w:id="2" w:name="_iDocIDField53798e75-f114-4dd6-a0ac-1bcb"/>
                        <w:p w:rsidR="00532807" w:rsidRDefault="00532807" w:rsidP="00A92A61">
                          <w:pPr>
                            <w:pStyle w:val="DocID"/>
                          </w:pPr>
                          <w:r>
                            <w:fldChar w:fldCharType="begin"/>
                          </w:r>
                          <w:r>
                            <w:instrText xml:space="preserve">  DOCPROPERTY "CUS_DocIDChunk0" </w:instrText>
                          </w:r>
                          <w:r>
                            <w:fldChar w:fldCharType="separate"/>
                          </w:r>
                          <w:r>
                            <w:t>DCAPDX\3133364.v2</w:t>
                          </w:r>
                          <w:r>
                            <w:fldChar w:fldCharType="end"/>
                          </w:r>
                          <w:bookmarkEnd w:id="2"/>
                        </w:p>
                        <w:p w:rsidR="00532807" w:rsidRDefault="00532807" w:rsidP="00A92A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A57FF" id="Rectangle 1" o:spid="_x0000_s1026" style="position:absolute;margin-left:-63.45pt;margin-top:-25.45pt;width:180.25pt;height:6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" fillcolor="#f79646 [3209]" stroked="f" strokeweight="2pt">
              <v:textbox>
                <w:txbxContent>
                  <w:bookmarkStart w:id="3" w:name="_iDocIDField53798e75-f114-4dd6-a0ac-1bcb"/>
                  <w:p w:rsidR="00532807" w:rsidRDefault="00532807" w:rsidP="00A92A61">
                    <w:pPr>
                      <w:pStyle w:val="DocID"/>
                    </w:pPr>
                    <w:r>
                      <w:fldChar w:fldCharType="begin"/>
                    </w:r>
                    <w:r>
                      <w:instrText xml:space="preserve">  DOCPROPERTY "CUS_DocIDChunk0" </w:instrText>
                    </w:r>
                    <w:r>
                      <w:fldChar w:fldCharType="separate"/>
                    </w:r>
                    <w:r>
                      <w:t>DCAPDX\3133364.v2</w:t>
                    </w:r>
                    <w:r>
                      <w:fldChar w:fldCharType="end"/>
                    </w:r>
                    <w:bookmarkEnd w:id="3"/>
                  </w:p>
                  <w:p w:rsidR="00532807" w:rsidRDefault="00532807" w:rsidP="00A92A61">
                    <w:pPr>
                      <w:jc w:val="center"/>
                    </w:pPr>
                  </w:p>
                </w:txbxContent>
              </v:textbox>
            </v:rect>
          </w:pict>
        </mc:Fallback>
      </mc:AlternateContent>
    </w:r>
    <w:r w:rsidRPr="004B24D8">
      <w:rPr>
        <w:noProof/>
      </w:rPr>
      <mc:AlternateContent>
        <mc:Choice Requires="wps">
          <w:drawing>
            <wp:anchor distT="0" distB="0" distL="114300" distR="114300" simplePos="0" relativeHeight="251660288" behindDoc="0" locked="0" layoutInCell="1" allowOverlap="1" wp14:anchorId="5C69A4B4" wp14:editId="5BE0729E">
              <wp:simplePos x="0" y="0"/>
              <wp:positionH relativeFrom="column">
                <wp:posOffset>1573874</wp:posOffset>
              </wp:positionH>
              <wp:positionV relativeFrom="paragraph">
                <wp:posOffset>-323134</wp:posOffset>
              </wp:positionV>
              <wp:extent cx="5177016" cy="824450"/>
              <wp:effectExtent l="0" t="0" r="5080" b="0"/>
              <wp:wrapNone/>
              <wp:docPr id="3" name="Rectangle 3"/>
              <wp:cNvGraphicFramePr/>
              <a:graphic xmlns:a="http://schemas.openxmlformats.org/drawingml/2006/main">
                <a:graphicData uri="http://schemas.microsoft.com/office/word/2010/wordprocessingShape">
                  <wps:wsp>
                    <wps:cNvSpPr/>
                    <wps:spPr>
                      <a:xfrm>
                        <a:off x="0" y="0"/>
                        <a:ext cx="5177016" cy="824450"/>
                      </a:xfrm>
                      <a:prstGeom prst="rect">
                        <a:avLst/>
                      </a:prstGeom>
                      <a:solidFill>
                        <a:schemeClr val="tx2">
                          <a:lumMod val="40000"/>
                          <a:lumOff val="60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BA588E" w:rsidRDefault="00BA588E" w:rsidP="00BA58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9A4B4" id="Rectangle 3" o:spid="_x0000_s1027" style="position:absolute;margin-left:123.95pt;margin-top:-25.45pt;width:407.65pt;height:6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" fillcolor="#8db3e2 [1311]" stroked="f" strokeweight="2pt">
              <v:textbox>
                <w:txbxContent>
                  <w:p w:rsidR="00BA588E" w:rsidRDefault="00BA588E" w:rsidP="00BA588E">
                    <w:pPr>
                      <w:jc w:val="center"/>
                    </w:pPr>
                  </w:p>
                </w:txbxContent>
              </v:textbox>
            </v:rect>
          </w:pict>
        </mc:Fallback>
      </mc:AlternateContent>
    </w:r>
    <w:r w:rsidR="00BA588E">
      <w:fldChar w:fldCharType="begin"/>
    </w:r>
    <w:r w:rsidR="00BA588E">
      <w:instrText xml:space="preserve"> DOCPROPERTY "DocID" \* MERGEFORMAT </w:instrText>
    </w:r>
    <w:r w:rsidR="00BA588E">
      <w:fldChar w:fldCharType="separate"/>
    </w:r>
    <w:r>
      <w:t>DCAPDX_2095322_v1</w:t>
    </w:r>
    <w:r w:rsidR="00BA588E">
      <w:fldChar w:fldCharType="end"/>
    </w:r>
  </w:p>
  <w:bookmarkStart w:id="4" w:name="_iDocIDField15e85dfb-015f-402c-86cd-861b"/>
  <w:p w:rsidR="00532807" w:rsidRDefault="00532807">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BA588E">
      <w:rPr>
        <w:noProof/>
      </w:rPr>
      <w:instrText>2</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5</w:instrText>
    </w:r>
    <w:r>
      <w:fldChar w:fldCharType="end"/>
    </w:r>
    <w:r>
      <w:fldChar w:fldCharType="separate"/>
    </w:r>
    <w:r w:rsidR="00BA588E">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BA588E">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sidR="00BA588E">
      <w:rPr>
        <w:noProof/>
      </w:rPr>
      <w:instrText>1</w:instrText>
    </w:r>
    <w:r>
      <w:fldChar w:fldCharType="end"/>
    </w:r>
    <w:r>
      <w:rPr>
        <w:noProof/>
      </w:rPr>
      <w:instrText>)</w:instrText>
    </w:r>
    <w:r>
      <w:fldChar w:fldCharType="separate"/>
    </w:r>
    <w:r w:rsidR="00BA588E">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DCAPDX\3133364.v2</w:instrText>
    </w:r>
    <w:r>
      <w:fldChar w:fldCharType="end"/>
    </w:r>
    <w:r>
      <w:fldChar w:fldCharType="end"/>
    </w:r>
    <w:bookmarkEnd w:id="4"/>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iDocIDField0a3d99f4-49d1-407a-be48-a42b"/>
  <w:p w:rsidR="00532807" w:rsidRDefault="00532807">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5</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5</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DCAPDX\3133364.v2</w:instrText>
    </w:r>
    <w:r>
      <w:fldChar w:fldCharType="end"/>
    </w:r>
    <w:r>
      <w:fldChar w:fldCharType="separate"/>
    </w:r>
    <w:r>
      <w:rPr>
        <w:noProof/>
      </w:rPr>
      <w:t>DCAPDX\3133364.v2</w:t>
    </w:r>
    <w:r>
      <w:fldChar w:fldCharType="end"/>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9BF" w:rsidRDefault="00D929BF" w:rsidP="00D929BF">
      <w:pPr>
        <w:spacing w:after="0"/>
      </w:pPr>
      <w:r>
        <w:separator/>
      </w:r>
    </w:p>
  </w:footnote>
  <w:footnote w:type="continuationSeparator" w:id="0">
    <w:p w:rsidR="00D929BF" w:rsidRDefault="00D929BF" w:rsidP="00D929B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07" w:rsidRDefault="005328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07" w:rsidRDefault="005328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807" w:rsidRDefault="00532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C7B75"/>
    <w:multiLevelType w:val="hybridMultilevel"/>
    <w:tmpl w:val="05D8B058"/>
    <w:lvl w:ilvl="0" w:tplc="AECEC2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24CA0"/>
    <w:multiLevelType w:val="hybridMultilevel"/>
    <w:tmpl w:val="C528175A"/>
    <w:lvl w:ilvl="0" w:tplc="AECEC28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19780C"/>
    <w:multiLevelType w:val="multilevel"/>
    <w:tmpl w:val="ACD600CA"/>
    <w:name w:val="General Numbering (2)"/>
    <w:lvl w:ilvl="0">
      <w:start w:val="1"/>
      <w:numFmt w:val="decimal"/>
      <w:pStyle w:val="Heading1"/>
      <w:lvlText w:val="%1."/>
      <w:lvlJc w:val="left"/>
      <w:pPr>
        <w:tabs>
          <w:tab w:val="num" w:pos="720"/>
        </w:tabs>
        <w:ind w:left="720" w:hanging="720"/>
      </w:pPr>
      <w:rPr>
        <w:rFonts w:hint="default"/>
        <w:caps w:val="0"/>
        <w:color w:val="010000"/>
        <w:u w:val="none"/>
      </w:rPr>
    </w:lvl>
    <w:lvl w:ilvl="1">
      <w:start w:val="1"/>
      <w:numFmt w:val="upperLetter"/>
      <w:pStyle w:val="Heading2"/>
      <w:lvlText w:val="%2."/>
      <w:lvlJc w:val="left"/>
      <w:pPr>
        <w:tabs>
          <w:tab w:val="num" w:pos="1440"/>
        </w:tabs>
        <w:ind w:left="1440" w:hanging="720"/>
      </w:pPr>
      <w:rPr>
        <w:rFonts w:hint="default"/>
        <w:caps w:val="0"/>
        <w:color w:val="010000"/>
        <w:u w:val="none"/>
      </w:rPr>
    </w:lvl>
    <w:lvl w:ilvl="2">
      <w:start w:val="1"/>
      <w:numFmt w:val="lowerRoman"/>
      <w:pStyle w:val="Heading3"/>
      <w:lvlText w:val="%3."/>
      <w:lvlJc w:val="left"/>
      <w:pPr>
        <w:tabs>
          <w:tab w:val="num" w:pos="2160"/>
        </w:tabs>
        <w:ind w:left="2160" w:hanging="720"/>
      </w:pPr>
      <w:rPr>
        <w:rFonts w:hint="default"/>
        <w:caps w:val="0"/>
        <w:color w:val="010000"/>
        <w:u w:val="none"/>
      </w:rPr>
    </w:lvl>
    <w:lvl w:ilvl="3">
      <w:start w:val="1"/>
      <w:numFmt w:val="decimal"/>
      <w:pStyle w:val="Heading4"/>
      <w:lvlText w:val="(%4)"/>
      <w:lvlJc w:val="left"/>
      <w:pPr>
        <w:tabs>
          <w:tab w:val="num" w:pos="2880"/>
        </w:tabs>
        <w:ind w:left="2880" w:hanging="720"/>
      </w:pPr>
      <w:rPr>
        <w:rFonts w:hint="default"/>
        <w:caps w:val="0"/>
        <w:color w:val="010000"/>
        <w:u w:val="none"/>
      </w:rPr>
    </w:lvl>
    <w:lvl w:ilvl="4">
      <w:start w:val="1"/>
      <w:numFmt w:val="upperLetter"/>
      <w:pStyle w:val="Heading5"/>
      <w:lvlText w:val="(%5)"/>
      <w:lvlJc w:val="left"/>
      <w:pPr>
        <w:tabs>
          <w:tab w:val="num" w:pos="3600"/>
        </w:tabs>
        <w:ind w:left="3600" w:hanging="720"/>
      </w:pPr>
      <w:rPr>
        <w:rFonts w:hint="default"/>
        <w:caps w:val="0"/>
        <w:color w:val="010000"/>
        <w:u w:val="none"/>
      </w:rPr>
    </w:lvl>
    <w:lvl w:ilvl="5">
      <w:start w:val="1"/>
      <w:numFmt w:val="lowerRoman"/>
      <w:pStyle w:val="Heading6"/>
      <w:lvlText w:val="(%6)"/>
      <w:lvlJc w:val="left"/>
      <w:pPr>
        <w:tabs>
          <w:tab w:val="num" w:pos="4320"/>
        </w:tabs>
        <w:ind w:left="4320" w:hanging="720"/>
      </w:pPr>
      <w:rPr>
        <w:rFonts w:hint="default"/>
        <w:caps w:val="0"/>
        <w:color w:val="010000"/>
        <w:u w:val="none"/>
      </w:rPr>
    </w:lvl>
    <w:lvl w:ilvl="6">
      <w:start w:val="1"/>
      <w:numFmt w:val="decimal"/>
      <w:pStyle w:val="Heading7"/>
      <w:lvlText w:val="%7."/>
      <w:lvlJc w:val="left"/>
      <w:pPr>
        <w:tabs>
          <w:tab w:val="num" w:pos="5040"/>
        </w:tabs>
        <w:ind w:left="5040" w:hanging="720"/>
      </w:pPr>
      <w:rPr>
        <w:rFonts w:hint="default"/>
        <w:caps w:val="0"/>
        <w:color w:val="010000"/>
        <w:u w:val="none"/>
      </w:rPr>
    </w:lvl>
    <w:lvl w:ilvl="7">
      <w:start w:val="1"/>
      <w:numFmt w:val="lowerLetter"/>
      <w:pStyle w:val="Heading8"/>
      <w:lvlText w:val="%8)"/>
      <w:lvlJc w:val="left"/>
      <w:pPr>
        <w:tabs>
          <w:tab w:val="num" w:pos="5760"/>
        </w:tabs>
        <w:ind w:left="5760" w:hanging="720"/>
      </w:pPr>
      <w:rPr>
        <w:rFonts w:hint="default"/>
        <w:caps w:val="0"/>
        <w:color w:val="010000"/>
        <w:u w:val="none"/>
      </w:rPr>
    </w:lvl>
    <w:lvl w:ilvl="8">
      <w:start w:val="1"/>
      <w:numFmt w:val="lowerRoman"/>
      <w:pStyle w:val="Heading9"/>
      <w:lvlText w:val="%9)"/>
      <w:lvlJc w:val="left"/>
      <w:pPr>
        <w:tabs>
          <w:tab w:val="num" w:pos="6480"/>
        </w:tabs>
        <w:ind w:left="6480" w:hanging="720"/>
      </w:pPr>
      <w:rPr>
        <w:rFonts w:hint="default"/>
        <w:caps w:val="0"/>
        <w:color w:val="010000"/>
        <w:u w:val="none"/>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efaultNumberOfLevelsInTOCForThisScheme" w:val="3"/>
    <w:docVar w:name="DocIDAuthor" w:val="False"/>
    <w:docVar w:name="DocIDClientMatter" w:val="False"/>
    <w:docVar w:name="DocIDDate" w:val="False"/>
    <w:docVar w:name="DocIDLibrary" w:val="True"/>
    <w:docVar w:name="DocIDType" w:val="AllPages"/>
    <w:docVar w:name="DocIDTypist" w:val="False"/>
    <w:docVar w:name="LastSchemeChoice" w:val="General Numbering (2)"/>
    <w:docVar w:name="LastSchemeUniqueID" w:val="93"/>
    <w:docVar w:name="LegacyDocIDRemoved" w:val="True"/>
    <w:docVar w:name="Option0True" w:val="False"/>
    <w:docVar w:name="Option1True" w:val="False"/>
    <w:docVar w:name="Option2True" w:val="False"/>
    <w:docVar w:name="Option3True" w:val="False"/>
    <w:docVar w:name="Option4True" w:val="False"/>
  </w:docVars>
  <w:rsids>
    <w:rsidRoot w:val="00D929BF"/>
    <w:rsid w:val="00010FD1"/>
    <w:rsid w:val="0001688E"/>
    <w:rsid w:val="00035C0E"/>
    <w:rsid w:val="00041212"/>
    <w:rsid w:val="00055885"/>
    <w:rsid w:val="00060F17"/>
    <w:rsid w:val="00074CCF"/>
    <w:rsid w:val="0008629E"/>
    <w:rsid w:val="000A0064"/>
    <w:rsid w:val="000D425E"/>
    <w:rsid w:val="00132AB2"/>
    <w:rsid w:val="0014002E"/>
    <w:rsid w:val="001451E0"/>
    <w:rsid w:val="0015285D"/>
    <w:rsid w:val="001630D5"/>
    <w:rsid w:val="00164EF8"/>
    <w:rsid w:val="0017163D"/>
    <w:rsid w:val="00173694"/>
    <w:rsid w:val="00176DAD"/>
    <w:rsid w:val="00192693"/>
    <w:rsid w:val="001F36B7"/>
    <w:rsid w:val="00213DAF"/>
    <w:rsid w:val="00216A40"/>
    <w:rsid w:val="0024220C"/>
    <w:rsid w:val="00246077"/>
    <w:rsid w:val="00294277"/>
    <w:rsid w:val="002A07C1"/>
    <w:rsid w:val="002A4E61"/>
    <w:rsid w:val="002B0CB1"/>
    <w:rsid w:val="002B15B0"/>
    <w:rsid w:val="002B2D5A"/>
    <w:rsid w:val="002B6464"/>
    <w:rsid w:val="002D2330"/>
    <w:rsid w:val="002F071A"/>
    <w:rsid w:val="002F67F1"/>
    <w:rsid w:val="00316930"/>
    <w:rsid w:val="00352DDF"/>
    <w:rsid w:val="00353EC6"/>
    <w:rsid w:val="003748E1"/>
    <w:rsid w:val="00376516"/>
    <w:rsid w:val="003A229E"/>
    <w:rsid w:val="003C28CB"/>
    <w:rsid w:val="003E30E2"/>
    <w:rsid w:val="003F6621"/>
    <w:rsid w:val="0040252A"/>
    <w:rsid w:val="004075B4"/>
    <w:rsid w:val="00410FEE"/>
    <w:rsid w:val="0041518F"/>
    <w:rsid w:val="00453903"/>
    <w:rsid w:val="00493C29"/>
    <w:rsid w:val="00497E58"/>
    <w:rsid w:val="004B24D8"/>
    <w:rsid w:val="004F4F50"/>
    <w:rsid w:val="00532807"/>
    <w:rsid w:val="0053342F"/>
    <w:rsid w:val="00553B02"/>
    <w:rsid w:val="00561370"/>
    <w:rsid w:val="00575E1B"/>
    <w:rsid w:val="005A74B4"/>
    <w:rsid w:val="0061363B"/>
    <w:rsid w:val="00632077"/>
    <w:rsid w:val="00637D9A"/>
    <w:rsid w:val="0067099C"/>
    <w:rsid w:val="00674ABC"/>
    <w:rsid w:val="00686573"/>
    <w:rsid w:val="006872CE"/>
    <w:rsid w:val="006A1605"/>
    <w:rsid w:val="006B000B"/>
    <w:rsid w:val="006C3A22"/>
    <w:rsid w:val="006D5170"/>
    <w:rsid w:val="006E05DC"/>
    <w:rsid w:val="006E35B6"/>
    <w:rsid w:val="0070232E"/>
    <w:rsid w:val="00702491"/>
    <w:rsid w:val="00710E0E"/>
    <w:rsid w:val="00722E31"/>
    <w:rsid w:val="00730CB1"/>
    <w:rsid w:val="00732FBA"/>
    <w:rsid w:val="0077303B"/>
    <w:rsid w:val="007866A0"/>
    <w:rsid w:val="007A4CC2"/>
    <w:rsid w:val="007C151D"/>
    <w:rsid w:val="007E0849"/>
    <w:rsid w:val="007E535B"/>
    <w:rsid w:val="007E6C81"/>
    <w:rsid w:val="007F5DDD"/>
    <w:rsid w:val="00802686"/>
    <w:rsid w:val="00803263"/>
    <w:rsid w:val="00842CD7"/>
    <w:rsid w:val="00845C52"/>
    <w:rsid w:val="00854107"/>
    <w:rsid w:val="008541B5"/>
    <w:rsid w:val="008752E9"/>
    <w:rsid w:val="00876084"/>
    <w:rsid w:val="008A74EC"/>
    <w:rsid w:val="008F0C5E"/>
    <w:rsid w:val="0091527D"/>
    <w:rsid w:val="00930949"/>
    <w:rsid w:val="009A64AA"/>
    <w:rsid w:val="009B33B7"/>
    <w:rsid w:val="009D717B"/>
    <w:rsid w:val="009E1F85"/>
    <w:rsid w:val="009F3D3B"/>
    <w:rsid w:val="009F4EF4"/>
    <w:rsid w:val="00A00AE9"/>
    <w:rsid w:val="00A06121"/>
    <w:rsid w:val="00A07638"/>
    <w:rsid w:val="00A31050"/>
    <w:rsid w:val="00A507D6"/>
    <w:rsid w:val="00A518DA"/>
    <w:rsid w:val="00A54EA1"/>
    <w:rsid w:val="00A64E8C"/>
    <w:rsid w:val="00A80A8E"/>
    <w:rsid w:val="00AB252D"/>
    <w:rsid w:val="00AB3939"/>
    <w:rsid w:val="00AB5E1C"/>
    <w:rsid w:val="00AC38E6"/>
    <w:rsid w:val="00AE31BC"/>
    <w:rsid w:val="00AE3D98"/>
    <w:rsid w:val="00B26890"/>
    <w:rsid w:val="00B60224"/>
    <w:rsid w:val="00BA588E"/>
    <w:rsid w:val="00BC1B98"/>
    <w:rsid w:val="00BC1FE5"/>
    <w:rsid w:val="00BC548D"/>
    <w:rsid w:val="00BF0602"/>
    <w:rsid w:val="00C037F1"/>
    <w:rsid w:val="00C04850"/>
    <w:rsid w:val="00C24B05"/>
    <w:rsid w:val="00C8252D"/>
    <w:rsid w:val="00C829FA"/>
    <w:rsid w:val="00C94473"/>
    <w:rsid w:val="00CA3CDC"/>
    <w:rsid w:val="00CA4892"/>
    <w:rsid w:val="00CD7F3A"/>
    <w:rsid w:val="00CE60FB"/>
    <w:rsid w:val="00D06D10"/>
    <w:rsid w:val="00D2720E"/>
    <w:rsid w:val="00D441D2"/>
    <w:rsid w:val="00D929BF"/>
    <w:rsid w:val="00DB3637"/>
    <w:rsid w:val="00DC1A85"/>
    <w:rsid w:val="00E02350"/>
    <w:rsid w:val="00E06F6F"/>
    <w:rsid w:val="00E310CD"/>
    <w:rsid w:val="00E32F0F"/>
    <w:rsid w:val="00EB2810"/>
    <w:rsid w:val="00ED02E4"/>
    <w:rsid w:val="00F16FCD"/>
    <w:rsid w:val="00F17918"/>
    <w:rsid w:val="00F46A53"/>
    <w:rsid w:val="00F55A9A"/>
    <w:rsid w:val="00F77485"/>
    <w:rsid w:val="00FD3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5:docId w15:val="{FF650C33-BFE4-4C88-BFF3-00DA786F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9BF"/>
  </w:style>
  <w:style w:type="paragraph" w:styleId="Heading1">
    <w:name w:val="heading 1"/>
    <w:basedOn w:val="Normal"/>
    <w:next w:val="BodyText"/>
    <w:link w:val="Heading1Char"/>
    <w:uiPriority w:val="9"/>
    <w:qFormat/>
    <w:rsid w:val="00D929BF"/>
    <w:pPr>
      <w:numPr>
        <w:numId w:val="1"/>
      </w:numPr>
      <w:outlineLvl w:val="0"/>
    </w:pPr>
    <w:rPr>
      <w:rFonts w:eastAsiaTheme="majorEastAsia" w:cs="Times New Roman"/>
      <w:bCs/>
      <w:color w:val="000000"/>
      <w:szCs w:val="28"/>
      <w:u w:color="000000"/>
    </w:rPr>
  </w:style>
  <w:style w:type="paragraph" w:styleId="Heading2">
    <w:name w:val="heading 2"/>
    <w:basedOn w:val="Normal"/>
    <w:next w:val="BodyText"/>
    <w:link w:val="Heading2Char"/>
    <w:uiPriority w:val="9"/>
    <w:unhideWhenUsed/>
    <w:qFormat/>
    <w:rsid w:val="00D929BF"/>
    <w:pPr>
      <w:numPr>
        <w:ilvl w:val="1"/>
        <w:numId w:val="1"/>
      </w:numPr>
      <w:outlineLvl w:val="1"/>
    </w:pPr>
    <w:rPr>
      <w:rFonts w:eastAsiaTheme="majorEastAsia" w:cs="Times New Roman"/>
      <w:bCs/>
      <w:color w:val="000000"/>
      <w:szCs w:val="26"/>
      <w:u w:color="000000"/>
    </w:rPr>
  </w:style>
  <w:style w:type="paragraph" w:styleId="Heading3">
    <w:name w:val="heading 3"/>
    <w:basedOn w:val="Normal"/>
    <w:next w:val="BodyText"/>
    <w:link w:val="Heading3Char"/>
    <w:uiPriority w:val="9"/>
    <w:unhideWhenUsed/>
    <w:qFormat/>
    <w:rsid w:val="00D929BF"/>
    <w:pPr>
      <w:numPr>
        <w:ilvl w:val="2"/>
        <w:numId w:val="1"/>
      </w:numPr>
      <w:outlineLvl w:val="2"/>
    </w:pPr>
    <w:rPr>
      <w:rFonts w:eastAsiaTheme="majorEastAsia" w:cs="Times New Roman"/>
      <w:bCs/>
      <w:color w:val="000000"/>
      <w:u w:color="000000"/>
    </w:rPr>
  </w:style>
  <w:style w:type="paragraph" w:styleId="Heading4">
    <w:name w:val="heading 4"/>
    <w:basedOn w:val="Normal"/>
    <w:next w:val="BodyText"/>
    <w:link w:val="Heading4Char"/>
    <w:uiPriority w:val="9"/>
    <w:unhideWhenUsed/>
    <w:qFormat/>
    <w:rsid w:val="00D929BF"/>
    <w:pPr>
      <w:numPr>
        <w:ilvl w:val="3"/>
        <w:numId w:val="1"/>
      </w:numPr>
      <w:outlineLvl w:val="3"/>
    </w:pPr>
    <w:rPr>
      <w:rFonts w:eastAsiaTheme="majorEastAsia" w:cs="Times New Roman"/>
      <w:bCs/>
      <w:iCs/>
      <w:color w:val="000000"/>
      <w:u w:color="000000"/>
    </w:rPr>
  </w:style>
  <w:style w:type="paragraph" w:styleId="Heading5">
    <w:name w:val="heading 5"/>
    <w:basedOn w:val="Normal"/>
    <w:next w:val="BodyText"/>
    <w:link w:val="Heading5Char"/>
    <w:uiPriority w:val="9"/>
    <w:unhideWhenUsed/>
    <w:qFormat/>
    <w:rsid w:val="00D929BF"/>
    <w:pPr>
      <w:numPr>
        <w:ilvl w:val="4"/>
        <w:numId w:val="1"/>
      </w:numPr>
      <w:outlineLvl w:val="4"/>
    </w:pPr>
    <w:rPr>
      <w:rFonts w:eastAsiaTheme="majorEastAsia" w:cs="Times New Roman"/>
      <w:color w:val="000000"/>
      <w:u w:color="000000"/>
    </w:rPr>
  </w:style>
  <w:style w:type="paragraph" w:styleId="Heading6">
    <w:name w:val="heading 6"/>
    <w:basedOn w:val="Normal"/>
    <w:next w:val="BodyText"/>
    <w:link w:val="Heading6Char"/>
    <w:uiPriority w:val="9"/>
    <w:semiHidden/>
    <w:unhideWhenUsed/>
    <w:qFormat/>
    <w:rsid w:val="00D929BF"/>
    <w:pPr>
      <w:numPr>
        <w:ilvl w:val="5"/>
        <w:numId w:val="1"/>
      </w:numPr>
      <w:outlineLvl w:val="5"/>
    </w:pPr>
    <w:rPr>
      <w:rFonts w:eastAsiaTheme="majorEastAsia" w:cs="Times New Roman"/>
      <w:iCs/>
      <w:color w:val="000000"/>
      <w:u w:color="000000"/>
    </w:rPr>
  </w:style>
  <w:style w:type="paragraph" w:styleId="Heading7">
    <w:name w:val="heading 7"/>
    <w:basedOn w:val="Normal"/>
    <w:next w:val="BodyText"/>
    <w:link w:val="Heading7Char"/>
    <w:uiPriority w:val="9"/>
    <w:semiHidden/>
    <w:unhideWhenUsed/>
    <w:qFormat/>
    <w:rsid w:val="00D929BF"/>
    <w:pPr>
      <w:numPr>
        <w:ilvl w:val="6"/>
        <w:numId w:val="1"/>
      </w:numPr>
      <w:outlineLvl w:val="6"/>
    </w:pPr>
    <w:rPr>
      <w:rFonts w:eastAsiaTheme="majorEastAsia" w:cs="Times New Roman"/>
      <w:iCs/>
      <w:color w:val="000000"/>
      <w:u w:color="000000"/>
    </w:rPr>
  </w:style>
  <w:style w:type="paragraph" w:styleId="Heading8">
    <w:name w:val="heading 8"/>
    <w:basedOn w:val="Normal"/>
    <w:next w:val="BodyText"/>
    <w:link w:val="Heading8Char"/>
    <w:uiPriority w:val="9"/>
    <w:semiHidden/>
    <w:unhideWhenUsed/>
    <w:qFormat/>
    <w:rsid w:val="00D929BF"/>
    <w:pPr>
      <w:numPr>
        <w:ilvl w:val="7"/>
        <w:numId w:val="1"/>
      </w:numPr>
      <w:outlineLvl w:val="7"/>
    </w:pPr>
    <w:rPr>
      <w:rFonts w:eastAsiaTheme="majorEastAsia" w:cs="Times New Roman"/>
      <w:color w:val="000000"/>
      <w:szCs w:val="20"/>
      <w:u w:color="000000"/>
    </w:rPr>
  </w:style>
  <w:style w:type="paragraph" w:styleId="Heading9">
    <w:name w:val="heading 9"/>
    <w:basedOn w:val="Normal"/>
    <w:next w:val="BodyText"/>
    <w:link w:val="Heading9Char"/>
    <w:uiPriority w:val="9"/>
    <w:semiHidden/>
    <w:unhideWhenUsed/>
    <w:qFormat/>
    <w:rsid w:val="00D929BF"/>
    <w:pPr>
      <w:numPr>
        <w:ilvl w:val="8"/>
        <w:numId w:val="1"/>
      </w:numPr>
      <w:outlineLvl w:val="8"/>
    </w:pPr>
    <w:rPr>
      <w:rFonts w:eastAsiaTheme="majorEastAsia" w:cs="Times New Roman"/>
      <w:iCs/>
      <w:color w:val="00000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BF"/>
    <w:pPr>
      <w:tabs>
        <w:tab w:val="center" w:pos="4680"/>
        <w:tab w:val="right" w:pos="9360"/>
      </w:tabs>
      <w:spacing w:after="0"/>
    </w:pPr>
  </w:style>
  <w:style w:type="character" w:customStyle="1" w:styleId="HeaderChar">
    <w:name w:val="Header Char"/>
    <w:basedOn w:val="DefaultParagraphFont"/>
    <w:link w:val="Header"/>
    <w:uiPriority w:val="99"/>
    <w:rsid w:val="00D929BF"/>
  </w:style>
  <w:style w:type="paragraph" w:styleId="Footer">
    <w:name w:val="footer"/>
    <w:basedOn w:val="Normal"/>
    <w:link w:val="FooterChar"/>
    <w:uiPriority w:val="99"/>
    <w:unhideWhenUsed/>
    <w:rsid w:val="00D929BF"/>
    <w:pPr>
      <w:tabs>
        <w:tab w:val="center" w:pos="4680"/>
        <w:tab w:val="right" w:pos="9360"/>
      </w:tabs>
      <w:spacing w:after="0"/>
    </w:pPr>
  </w:style>
  <w:style w:type="character" w:customStyle="1" w:styleId="FooterChar">
    <w:name w:val="Footer Char"/>
    <w:basedOn w:val="DefaultParagraphFont"/>
    <w:link w:val="Footer"/>
    <w:uiPriority w:val="99"/>
    <w:rsid w:val="00D929BF"/>
  </w:style>
  <w:style w:type="character" w:customStyle="1" w:styleId="Heading1Char">
    <w:name w:val="Heading 1 Char"/>
    <w:basedOn w:val="DefaultParagraphFont"/>
    <w:link w:val="Heading1"/>
    <w:uiPriority w:val="9"/>
    <w:rsid w:val="00D929BF"/>
    <w:rPr>
      <w:rFonts w:eastAsiaTheme="majorEastAsia" w:cs="Times New Roman"/>
      <w:bCs/>
      <w:color w:val="000000"/>
      <w:szCs w:val="28"/>
      <w:u w:color="000000"/>
    </w:rPr>
  </w:style>
  <w:style w:type="character" w:customStyle="1" w:styleId="Heading2Char">
    <w:name w:val="Heading 2 Char"/>
    <w:basedOn w:val="DefaultParagraphFont"/>
    <w:link w:val="Heading2"/>
    <w:uiPriority w:val="9"/>
    <w:rsid w:val="00D929BF"/>
    <w:rPr>
      <w:rFonts w:eastAsiaTheme="majorEastAsia" w:cs="Times New Roman"/>
      <w:bCs/>
      <w:color w:val="000000"/>
      <w:szCs w:val="26"/>
      <w:u w:color="000000"/>
    </w:rPr>
  </w:style>
  <w:style w:type="character" w:customStyle="1" w:styleId="Heading3Char">
    <w:name w:val="Heading 3 Char"/>
    <w:basedOn w:val="DefaultParagraphFont"/>
    <w:link w:val="Heading3"/>
    <w:uiPriority w:val="9"/>
    <w:rsid w:val="00D929BF"/>
    <w:rPr>
      <w:rFonts w:eastAsiaTheme="majorEastAsia" w:cs="Times New Roman"/>
      <w:bCs/>
      <w:color w:val="000000"/>
      <w:u w:color="000000"/>
    </w:rPr>
  </w:style>
  <w:style w:type="character" w:customStyle="1" w:styleId="Heading4Char">
    <w:name w:val="Heading 4 Char"/>
    <w:basedOn w:val="DefaultParagraphFont"/>
    <w:link w:val="Heading4"/>
    <w:uiPriority w:val="9"/>
    <w:rsid w:val="00D929BF"/>
    <w:rPr>
      <w:rFonts w:eastAsiaTheme="majorEastAsia" w:cs="Times New Roman"/>
      <w:bCs/>
      <w:iCs/>
      <w:color w:val="000000"/>
      <w:u w:color="000000"/>
    </w:rPr>
  </w:style>
  <w:style w:type="character" w:customStyle="1" w:styleId="Heading5Char">
    <w:name w:val="Heading 5 Char"/>
    <w:basedOn w:val="DefaultParagraphFont"/>
    <w:link w:val="Heading5"/>
    <w:uiPriority w:val="9"/>
    <w:rsid w:val="00D929BF"/>
    <w:rPr>
      <w:rFonts w:eastAsiaTheme="majorEastAsia" w:cs="Times New Roman"/>
      <w:color w:val="000000"/>
      <w:u w:color="000000"/>
    </w:rPr>
  </w:style>
  <w:style w:type="character" w:customStyle="1" w:styleId="Heading6Char">
    <w:name w:val="Heading 6 Char"/>
    <w:basedOn w:val="DefaultParagraphFont"/>
    <w:link w:val="Heading6"/>
    <w:uiPriority w:val="9"/>
    <w:semiHidden/>
    <w:rsid w:val="00D929BF"/>
    <w:rPr>
      <w:rFonts w:eastAsiaTheme="majorEastAsia" w:cs="Times New Roman"/>
      <w:iCs/>
      <w:color w:val="000000"/>
      <w:u w:color="000000"/>
    </w:rPr>
  </w:style>
  <w:style w:type="character" w:customStyle="1" w:styleId="Heading7Char">
    <w:name w:val="Heading 7 Char"/>
    <w:basedOn w:val="DefaultParagraphFont"/>
    <w:link w:val="Heading7"/>
    <w:uiPriority w:val="9"/>
    <w:semiHidden/>
    <w:rsid w:val="00D929BF"/>
    <w:rPr>
      <w:rFonts w:eastAsiaTheme="majorEastAsia" w:cs="Times New Roman"/>
      <w:iCs/>
      <w:color w:val="000000"/>
      <w:u w:color="000000"/>
    </w:rPr>
  </w:style>
  <w:style w:type="character" w:customStyle="1" w:styleId="Heading8Char">
    <w:name w:val="Heading 8 Char"/>
    <w:basedOn w:val="DefaultParagraphFont"/>
    <w:link w:val="Heading8"/>
    <w:uiPriority w:val="9"/>
    <w:semiHidden/>
    <w:rsid w:val="00D929BF"/>
    <w:rPr>
      <w:rFonts w:eastAsiaTheme="majorEastAsia" w:cs="Times New Roman"/>
      <w:color w:val="000000"/>
      <w:szCs w:val="20"/>
      <w:u w:color="000000"/>
    </w:rPr>
  </w:style>
  <w:style w:type="character" w:customStyle="1" w:styleId="Heading9Char">
    <w:name w:val="Heading 9 Char"/>
    <w:basedOn w:val="DefaultParagraphFont"/>
    <w:link w:val="Heading9"/>
    <w:uiPriority w:val="9"/>
    <w:semiHidden/>
    <w:rsid w:val="00D929BF"/>
    <w:rPr>
      <w:rFonts w:eastAsiaTheme="majorEastAsia" w:cs="Times New Roman"/>
      <w:iCs/>
      <w:color w:val="000000"/>
      <w:szCs w:val="20"/>
      <w:u w:color="000000"/>
    </w:rPr>
  </w:style>
  <w:style w:type="paragraph" w:styleId="BodyText">
    <w:name w:val="Body Text"/>
    <w:basedOn w:val="Normal"/>
    <w:link w:val="BodyTextChar"/>
    <w:uiPriority w:val="99"/>
    <w:unhideWhenUsed/>
    <w:rsid w:val="00D929BF"/>
    <w:pPr>
      <w:spacing w:after="120"/>
    </w:pPr>
  </w:style>
  <w:style w:type="character" w:customStyle="1" w:styleId="BodyTextChar">
    <w:name w:val="Body Text Char"/>
    <w:basedOn w:val="DefaultParagraphFont"/>
    <w:link w:val="BodyText"/>
    <w:uiPriority w:val="99"/>
    <w:rsid w:val="00D929BF"/>
  </w:style>
  <w:style w:type="paragraph" w:customStyle="1" w:styleId="DocID">
    <w:name w:val="DocID"/>
    <w:basedOn w:val="Footer"/>
    <w:next w:val="Footer"/>
    <w:link w:val="DocIDChar"/>
    <w:rsid w:val="00C04850"/>
    <w:pPr>
      <w:tabs>
        <w:tab w:val="clear" w:pos="4680"/>
        <w:tab w:val="clear" w:pos="9360"/>
      </w:tabs>
    </w:pPr>
    <w:rPr>
      <w:rFonts w:ascii="Verdana" w:eastAsia="Times New Roman" w:hAnsi="Verdana" w:cs="Times New Roman"/>
      <w:sz w:val="16"/>
      <w:szCs w:val="20"/>
    </w:rPr>
  </w:style>
  <w:style w:type="paragraph" w:styleId="BalloonText">
    <w:name w:val="Balloon Text"/>
    <w:basedOn w:val="Normal"/>
    <w:link w:val="BalloonTextChar"/>
    <w:uiPriority w:val="99"/>
    <w:semiHidden/>
    <w:unhideWhenUsed/>
    <w:rsid w:val="0008629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29E"/>
    <w:rPr>
      <w:rFonts w:ascii="Tahoma" w:hAnsi="Tahoma" w:cs="Tahoma"/>
      <w:sz w:val="16"/>
      <w:szCs w:val="16"/>
    </w:rPr>
  </w:style>
  <w:style w:type="character" w:styleId="Hyperlink">
    <w:name w:val="Hyperlink"/>
    <w:basedOn w:val="DefaultParagraphFont"/>
    <w:uiPriority w:val="99"/>
    <w:unhideWhenUsed/>
    <w:rsid w:val="00B60224"/>
    <w:rPr>
      <w:color w:val="0000FF" w:themeColor="hyperlink"/>
      <w:u w:val="single"/>
    </w:rPr>
  </w:style>
  <w:style w:type="character" w:customStyle="1" w:styleId="DocIDChar">
    <w:name w:val="DocID Char"/>
    <w:basedOn w:val="DefaultParagraphFont"/>
    <w:link w:val="DocID"/>
    <w:rsid w:val="00C04850"/>
    <w:rPr>
      <w:rFonts w:ascii="Verdana" w:eastAsia="Times New Roman" w:hAnsi="Verdana" w:cs="Times New Roman"/>
      <w:sz w:val="1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96040">
      <w:bodyDiv w:val="1"/>
      <w:marLeft w:val="0"/>
      <w:marRight w:val="0"/>
      <w:marTop w:val="0"/>
      <w:marBottom w:val="0"/>
      <w:divBdr>
        <w:top w:val="none" w:sz="0" w:space="0" w:color="auto"/>
        <w:left w:val="none" w:sz="0" w:space="0" w:color="auto"/>
        <w:bottom w:val="none" w:sz="0" w:space="0" w:color="auto"/>
        <w:right w:val="none" w:sz="0" w:space="0" w:color="auto"/>
      </w:divBdr>
    </w:div>
    <w:div w:id="12170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yperlink" Target="mailto:ddrazan@dunncarney.com" TargetMode="External" />
  <Relationship Id="rId13" Type="http://schemas.openxmlformats.org/officeDocument/2006/relationships/footer" Target="footer1.xml" />
  <Relationship Id="rId1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image" Target="https://www.dunncarney.com/wp-content/uploads/2017/01/DCA_New_Sig.png" TargetMode="External" />
  <Relationship Id="rId12" Type="http://schemas.openxmlformats.org/officeDocument/2006/relationships/header" Target="header2.xml" />
  <Relationship Id="rId17" Type="http://schemas.openxmlformats.org/officeDocument/2006/relationships/fontTable" Target="fontTable.xml" />
  <Relationship Id="rId2" Type="http://schemas.openxmlformats.org/officeDocument/2006/relationships/styles" Target="styles.xml" />
  <Relationship Id="rId16" Type="http://schemas.openxmlformats.org/officeDocument/2006/relationships/footer" Target="footer3.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header" Target="header1.xml" />
  <Relationship Id="rId5" Type="http://schemas.openxmlformats.org/officeDocument/2006/relationships/footnotes" Target="footnotes.xml" />
  <Relationship Id="rId15" Type="http://schemas.openxmlformats.org/officeDocument/2006/relationships/header" Target="header3.xml" />
  <Relationship Id="rId10" Type="http://schemas.openxmlformats.org/officeDocument/2006/relationships/hyperlink" Target="mailto:sbradleyfryer@gmail.com" TargetMode="External" />
  <Relationship Id="rId4" Type="http://schemas.openxmlformats.org/officeDocument/2006/relationships/webSettings" Target="webSettings.xml" />
  <Relationship Id="rId9" Type="http://schemas.openxmlformats.org/officeDocument/2006/relationships/hyperlink" Target="mailto:dzehntbauer@dunncarney.com" TargetMode="External" />
  <Relationship Id="rId14"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DCA</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dc:creator>
  <cp:keywords/>
  <dc:description/>
  <cp:lastModifiedBy>J. David Zehntbauer</cp:lastModifiedBy>
  <cp:revision>15</cp:revision>
  <cp:lastPrinted>2019-08-07T19:48:00Z</cp:lastPrinted>
  <dcterms:created xsi:type="dcterms:W3CDTF">2019-08-07T16:36:00Z</dcterms:created>
  <dcterms:modified xsi:type="dcterms:W3CDTF">2019-11-01T17:56:00Z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DCAPDX_2095322_v1</vt:lpwstr>
  </property>
  <property fmtid="{D5CDD505-2E9C-101B-9397-08002B2CF9AE}" pid="3" name="CUS_DocIDString">
    <vt:lpwstr>DCAPDX\3133364.v2</vt:lpwstr>
  </property>
  <property fmtid="{D5CDD505-2E9C-101B-9397-08002B2CF9AE}" pid="4" name="CUS_DocIDChunk0">
    <vt:lpwstr>DCAPDX\3133364.v2</vt:lpwstr>
  </property>
  <property fmtid="{D5CDD505-2E9C-101B-9397-08002B2CF9AE}" pid="5" name="CUS_DocIDActiveBits">
    <vt:lpwstr>100352</vt:lpwstr>
  </property>
  <property fmtid="{D5CDD505-2E9C-101B-9397-08002B2CF9AE}" pid="6" name="CUS_DocIDLocation">
    <vt:lpwstr>LAST_PAGE_ONLY</vt:lpwstr>
  </property>
  <property fmtid="{D5CDD505-2E9C-101B-9397-08002B2CF9AE}" pid="7" name="CUS_DocIDReference">
    <vt:lpwstr>lastPageOnly</vt:lpwstr>
  </property>
  <property fmtid="{D5CDD505-2E9C-101B-9397-08002B2CF9AE}" pid="8" name="CUS_DocIDEndAdjustedPageNumber">
    <vt:lpwstr>5</vt:lpwstr>
  </property>
  <property fmtid="{D5CDD505-2E9C-101B-9397-08002B2CF9AE}" pid="9" name="CUS_DocIDEndSectionNumber">
    <vt:lpwstr>1</vt:lpwstr>
  </property>
  <property fmtid="{D5CDD505-2E9C-101B-9397-08002B2CF9AE}" pid="10" name="eDOCS AutoSave">
    <vt:lpwstr/>
  </property>
</Properties>
</file>