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4349" w14:textId="77777777" w:rsidR="00361A28" w:rsidRPr="00361A28" w:rsidRDefault="00361A28" w:rsidP="00361A28">
      <w:pPr>
        <w:jc w:val="center"/>
        <w:rPr>
          <w:rFonts w:eastAsia="Calibri"/>
          <w:sz w:val="20"/>
          <w:szCs w:val="20"/>
        </w:rPr>
      </w:pPr>
      <w:bookmarkStart w:id="0" w:name="_GoBack"/>
      <w:bookmarkEnd w:id="0"/>
      <w:r w:rsidRPr="00361A28">
        <w:rPr>
          <w:rFonts w:eastAsia="Calibri"/>
          <w:sz w:val="20"/>
          <w:szCs w:val="20"/>
        </w:rPr>
        <w:t>Tax Law Update</w:t>
      </w:r>
    </w:p>
    <w:p w14:paraId="17B62841" w14:textId="77777777" w:rsidR="00361A28" w:rsidRPr="00361A28" w:rsidRDefault="00361A28" w:rsidP="00361A28">
      <w:pPr>
        <w:jc w:val="center"/>
        <w:rPr>
          <w:rFonts w:eastAsia="Calibri"/>
          <w:sz w:val="20"/>
          <w:szCs w:val="20"/>
        </w:rPr>
      </w:pPr>
    </w:p>
    <w:p w14:paraId="42330C45" w14:textId="77777777" w:rsidR="00361A28" w:rsidRPr="00361A28" w:rsidRDefault="00361A28" w:rsidP="00361A28">
      <w:pPr>
        <w:jc w:val="center"/>
        <w:rPr>
          <w:rFonts w:eastAsia="Calibri"/>
          <w:sz w:val="20"/>
          <w:szCs w:val="20"/>
        </w:rPr>
      </w:pPr>
      <w:r w:rsidRPr="00361A28">
        <w:rPr>
          <w:rFonts w:eastAsia="Calibri"/>
          <w:sz w:val="20"/>
          <w:szCs w:val="20"/>
        </w:rPr>
        <w:t>Philip E. Harris</w:t>
      </w:r>
    </w:p>
    <w:p w14:paraId="3B6A97EC" w14:textId="77777777" w:rsidR="00361A28" w:rsidRPr="00361A28" w:rsidRDefault="00361A28" w:rsidP="00361A28">
      <w:pPr>
        <w:jc w:val="center"/>
        <w:rPr>
          <w:rFonts w:eastAsia="Calibri"/>
          <w:sz w:val="20"/>
          <w:szCs w:val="20"/>
        </w:rPr>
      </w:pPr>
      <w:r w:rsidRPr="00361A28">
        <w:rPr>
          <w:rFonts w:eastAsia="Calibri"/>
          <w:sz w:val="20"/>
          <w:szCs w:val="20"/>
        </w:rPr>
        <w:t>Professor Emeritus</w:t>
      </w:r>
    </w:p>
    <w:p w14:paraId="0352FEF2" w14:textId="77777777" w:rsidR="00361A28" w:rsidRPr="00361A28" w:rsidRDefault="00361A28" w:rsidP="00361A28">
      <w:pPr>
        <w:jc w:val="center"/>
        <w:rPr>
          <w:rFonts w:eastAsia="Calibri"/>
          <w:sz w:val="20"/>
          <w:szCs w:val="20"/>
        </w:rPr>
      </w:pPr>
      <w:r w:rsidRPr="00361A28">
        <w:rPr>
          <w:rFonts w:eastAsia="Calibri"/>
          <w:sz w:val="20"/>
          <w:szCs w:val="20"/>
        </w:rPr>
        <w:t>Department of Agricultural and Applied Economics</w:t>
      </w:r>
    </w:p>
    <w:p w14:paraId="220B44F6" w14:textId="77777777" w:rsidR="00361A28" w:rsidRPr="00361A28" w:rsidRDefault="00361A28" w:rsidP="00361A28">
      <w:pPr>
        <w:jc w:val="center"/>
        <w:rPr>
          <w:rFonts w:eastAsia="Calibri"/>
          <w:sz w:val="20"/>
          <w:szCs w:val="20"/>
        </w:rPr>
      </w:pPr>
      <w:r w:rsidRPr="00361A28">
        <w:rPr>
          <w:rFonts w:eastAsia="Calibri"/>
          <w:sz w:val="20"/>
          <w:szCs w:val="20"/>
        </w:rPr>
        <w:t>University of Wisconsin-Madison</w:t>
      </w:r>
    </w:p>
    <w:p w14:paraId="256149F1" w14:textId="77777777" w:rsidR="00361A28" w:rsidRPr="00361A28" w:rsidRDefault="00361A28" w:rsidP="00361A28">
      <w:pPr>
        <w:jc w:val="center"/>
        <w:rPr>
          <w:rFonts w:eastAsia="Calibri"/>
          <w:sz w:val="20"/>
          <w:szCs w:val="20"/>
        </w:rPr>
      </w:pPr>
    </w:p>
    <w:p w14:paraId="75AE24DD" w14:textId="77777777" w:rsidR="003C1AC5" w:rsidRPr="003C1AC5" w:rsidRDefault="003C1AC5" w:rsidP="003C1AC5">
      <w:pPr>
        <w:widowControl w:val="0"/>
        <w:ind w:left="1440" w:right="1440"/>
        <w:jc w:val="center"/>
        <w:rPr>
          <w:sz w:val="20"/>
          <w:szCs w:val="20"/>
        </w:rPr>
      </w:pPr>
      <w:r w:rsidRPr="003C1AC5">
        <w:rPr>
          <w:sz w:val="20"/>
          <w:szCs w:val="20"/>
        </w:rPr>
        <w:t>Part One: Legislative Update</w:t>
      </w:r>
    </w:p>
    <w:p w14:paraId="34C93303" w14:textId="77777777" w:rsidR="003C1AC5" w:rsidRPr="003C1AC5" w:rsidRDefault="003C1AC5" w:rsidP="003C1AC5">
      <w:pPr>
        <w:tabs>
          <w:tab w:val="right" w:leader="dot" w:pos="9180"/>
        </w:tabs>
        <w:ind w:left="1440" w:right="1440"/>
        <w:rPr>
          <w:sz w:val="20"/>
          <w:szCs w:val="20"/>
        </w:rPr>
      </w:pPr>
      <w:r w:rsidRPr="003C1AC5">
        <w:rPr>
          <w:sz w:val="20"/>
          <w:szCs w:val="20"/>
        </w:rPr>
        <w:t>Introduction</w:t>
      </w:r>
      <w:r w:rsidRPr="003C1AC5">
        <w:rPr>
          <w:sz w:val="20"/>
          <w:szCs w:val="20"/>
        </w:rPr>
        <w:tab/>
        <w:t>1</w:t>
      </w:r>
    </w:p>
    <w:p w14:paraId="25B6D654" w14:textId="77777777" w:rsidR="003C1AC5" w:rsidRPr="003C1AC5" w:rsidRDefault="003C1AC5" w:rsidP="003C1AC5">
      <w:pPr>
        <w:tabs>
          <w:tab w:val="right" w:leader="dot" w:pos="9180"/>
        </w:tabs>
        <w:ind w:left="1440" w:right="1440"/>
        <w:rPr>
          <w:sz w:val="20"/>
          <w:szCs w:val="20"/>
        </w:rPr>
      </w:pPr>
      <w:r w:rsidRPr="003C1AC5">
        <w:rPr>
          <w:sz w:val="20"/>
          <w:szCs w:val="20"/>
        </w:rPr>
        <w:t>Individual Taxpayer Credits</w:t>
      </w:r>
      <w:r w:rsidRPr="003C1AC5">
        <w:rPr>
          <w:sz w:val="20"/>
          <w:szCs w:val="20"/>
        </w:rPr>
        <w:tab/>
        <w:t>1</w:t>
      </w:r>
    </w:p>
    <w:p w14:paraId="72491EFE" w14:textId="77777777" w:rsidR="003C1AC5" w:rsidRPr="003C1AC5" w:rsidRDefault="003C1AC5" w:rsidP="003C1AC5">
      <w:pPr>
        <w:tabs>
          <w:tab w:val="right" w:leader="dot" w:pos="9180"/>
        </w:tabs>
        <w:ind w:left="1440" w:right="1440"/>
        <w:rPr>
          <w:sz w:val="20"/>
          <w:szCs w:val="20"/>
        </w:rPr>
      </w:pPr>
      <w:r w:rsidRPr="003C1AC5">
        <w:rPr>
          <w:sz w:val="20"/>
          <w:szCs w:val="20"/>
        </w:rPr>
        <w:t>Individual Taxpayer Deductions and Exclusions</w:t>
      </w:r>
      <w:r w:rsidRPr="003C1AC5">
        <w:rPr>
          <w:sz w:val="20"/>
          <w:szCs w:val="20"/>
        </w:rPr>
        <w:tab/>
        <w:t>3</w:t>
      </w:r>
    </w:p>
    <w:p w14:paraId="7A36E53D" w14:textId="77777777" w:rsidR="003C1AC5" w:rsidRPr="003C1AC5" w:rsidRDefault="003C1AC5" w:rsidP="003C1AC5">
      <w:pPr>
        <w:tabs>
          <w:tab w:val="right" w:leader="dot" w:pos="9180"/>
        </w:tabs>
        <w:ind w:left="1440" w:right="1440"/>
        <w:rPr>
          <w:sz w:val="20"/>
          <w:szCs w:val="20"/>
        </w:rPr>
      </w:pPr>
      <w:r w:rsidRPr="003C1AC5">
        <w:rPr>
          <w:sz w:val="20"/>
          <w:szCs w:val="20"/>
        </w:rPr>
        <w:t>Business Deductions</w:t>
      </w:r>
      <w:r w:rsidRPr="003C1AC5">
        <w:rPr>
          <w:sz w:val="20"/>
          <w:szCs w:val="20"/>
        </w:rPr>
        <w:tab/>
        <w:t>6</w:t>
      </w:r>
    </w:p>
    <w:p w14:paraId="270555D0" w14:textId="77777777" w:rsidR="003C1AC5" w:rsidRPr="003C1AC5" w:rsidRDefault="003C1AC5" w:rsidP="003C1AC5">
      <w:pPr>
        <w:tabs>
          <w:tab w:val="right" w:leader="dot" w:pos="9180"/>
        </w:tabs>
        <w:ind w:left="1440" w:right="1440"/>
        <w:rPr>
          <w:sz w:val="20"/>
          <w:szCs w:val="20"/>
        </w:rPr>
      </w:pPr>
      <w:r w:rsidRPr="003C1AC5">
        <w:rPr>
          <w:sz w:val="20"/>
          <w:szCs w:val="20"/>
        </w:rPr>
        <w:t>Business Credits</w:t>
      </w:r>
      <w:r w:rsidRPr="003C1AC5">
        <w:rPr>
          <w:sz w:val="20"/>
          <w:szCs w:val="20"/>
        </w:rPr>
        <w:tab/>
        <w:t>15</w:t>
      </w:r>
    </w:p>
    <w:p w14:paraId="12B9E1C2" w14:textId="77777777" w:rsidR="003C1AC5" w:rsidRPr="003C1AC5" w:rsidRDefault="003C1AC5" w:rsidP="003C1AC5">
      <w:pPr>
        <w:tabs>
          <w:tab w:val="right" w:leader="dot" w:pos="9180"/>
        </w:tabs>
        <w:ind w:left="1440" w:right="1440"/>
        <w:rPr>
          <w:sz w:val="20"/>
          <w:szCs w:val="20"/>
        </w:rPr>
      </w:pPr>
      <w:r w:rsidRPr="003C1AC5">
        <w:rPr>
          <w:sz w:val="20"/>
          <w:szCs w:val="20"/>
        </w:rPr>
        <w:t>Table of Expiration Dates</w:t>
      </w:r>
      <w:r w:rsidRPr="003C1AC5">
        <w:rPr>
          <w:sz w:val="20"/>
          <w:szCs w:val="20"/>
        </w:rPr>
        <w:tab/>
        <w:t>17</w:t>
      </w:r>
    </w:p>
    <w:p w14:paraId="0016971D" w14:textId="77777777" w:rsidR="003C1AC5" w:rsidRPr="003C1AC5" w:rsidRDefault="003C1AC5" w:rsidP="003C1AC5">
      <w:pPr>
        <w:ind w:left="1440" w:right="1440"/>
        <w:jc w:val="center"/>
        <w:rPr>
          <w:rFonts w:eastAsia="Calibri"/>
          <w:sz w:val="20"/>
          <w:szCs w:val="20"/>
        </w:rPr>
      </w:pPr>
    </w:p>
    <w:p w14:paraId="7DAFD985" w14:textId="77777777" w:rsidR="003C1AC5" w:rsidRPr="003C1AC5" w:rsidRDefault="003C1AC5" w:rsidP="003C1AC5">
      <w:pPr>
        <w:widowControl w:val="0"/>
        <w:ind w:left="1440" w:right="1440"/>
        <w:jc w:val="center"/>
        <w:rPr>
          <w:sz w:val="20"/>
          <w:szCs w:val="20"/>
        </w:rPr>
      </w:pPr>
      <w:r w:rsidRPr="003C1AC5">
        <w:rPr>
          <w:sz w:val="20"/>
          <w:szCs w:val="20"/>
        </w:rPr>
        <w:t>Part Two: Regulatory Update</w:t>
      </w:r>
    </w:p>
    <w:p w14:paraId="5E38C70A" w14:textId="77777777" w:rsidR="003C1AC5" w:rsidRPr="003C1AC5" w:rsidRDefault="003C1AC5" w:rsidP="003C1AC5">
      <w:pPr>
        <w:ind w:left="1440" w:right="1440"/>
        <w:jc w:val="center"/>
        <w:rPr>
          <w:rFonts w:ascii="Times" w:hAnsi="Times" w:cs="Tms Rmn"/>
          <w:sz w:val="20"/>
          <w:szCs w:val="20"/>
        </w:rPr>
      </w:pPr>
      <w:r w:rsidRPr="003C1AC5">
        <w:rPr>
          <w:rFonts w:ascii="Times" w:hAnsi="Times" w:cs="Tms Rmn"/>
          <w:sz w:val="20"/>
          <w:szCs w:val="20"/>
        </w:rPr>
        <w:t>Tangible Property Regulations</w:t>
      </w:r>
    </w:p>
    <w:p w14:paraId="4338BEB2" w14:textId="77777777" w:rsidR="003C1AC5" w:rsidRPr="003C1AC5" w:rsidRDefault="003C1AC5" w:rsidP="003C1AC5">
      <w:pPr>
        <w:tabs>
          <w:tab w:val="right" w:leader="dot" w:pos="9180"/>
        </w:tabs>
        <w:ind w:left="1440" w:right="1440"/>
        <w:rPr>
          <w:sz w:val="20"/>
          <w:szCs w:val="20"/>
        </w:rPr>
      </w:pPr>
      <w:r w:rsidRPr="003C1AC5">
        <w:rPr>
          <w:sz w:val="20"/>
          <w:szCs w:val="20"/>
        </w:rPr>
        <w:t>Introduction</w:t>
      </w:r>
      <w:r w:rsidRPr="003C1AC5">
        <w:rPr>
          <w:sz w:val="20"/>
          <w:szCs w:val="20"/>
        </w:rPr>
        <w:tab/>
        <w:t>21</w:t>
      </w:r>
    </w:p>
    <w:p w14:paraId="72F89A5D" w14:textId="77777777" w:rsidR="003C1AC5" w:rsidRPr="003C1AC5" w:rsidRDefault="003C1AC5" w:rsidP="003C1AC5">
      <w:pPr>
        <w:tabs>
          <w:tab w:val="right" w:leader="dot" w:pos="9180"/>
        </w:tabs>
        <w:ind w:left="1440" w:right="1440"/>
        <w:rPr>
          <w:sz w:val="20"/>
          <w:szCs w:val="20"/>
        </w:rPr>
      </w:pPr>
      <w:r w:rsidRPr="003C1AC5">
        <w:rPr>
          <w:sz w:val="20"/>
          <w:szCs w:val="20"/>
        </w:rPr>
        <w:t>Background</w:t>
      </w:r>
      <w:r w:rsidRPr="003C1AC5">
        <w:rPr>
          <w:sz w:val="20"/>
          <w:szCs w:val="20"/>
        </w:rPr>
        <w:tab/>
        <w:t>21</w:t>
      </w:r>
    </w:p>
    <w:p w14:paraId="4646CA9C" w14:textId="77777777" w:rsidR="003C1AC5" w:rsidRPr="003C1AC5" w:rsidRDefault="003C1AC5" w:rsidP="003C1AC5">
      <w:pPr>
        <w:tabs>
          <w:tab w:val="right" w:leader="dot" w:pos="9180"/>
        </w:tabs>
        <w:ind w:left="1440" w:right="1440"/>
        <w:rPr>
          <w:sz w:val="20"/>
          <w:szCs w:val="20"/>
        </w:rPr>
      </w:pPr>
      <w:r w:rsidRPr="003C1AC5">
        <w:rPr>
          <w:sz w:val="20"/>
          <w:szCs w:val="20"/>
        </w:rPr>
        <w:t>De Minimis Safe Harbor</w:t>
      </w:r>
      <w:r w:rsidRPr="003C1AC5">
        <w:rPr>
          <w:sz w:val="20"/>
          <w:szCs w:val="20"/>
        </w:rPr>
        <w:tab/>
        <w:t>22</w:t>
      </w:r>
    </w:p>
    <w:p w14:paraId="16357B7F" w14:textId="77777777" w:rsidR="00361A28" w:rsidRPr="00361A28" w:rsidRDefault="00361A28" w:rsidP="00361A28">
      <w:pPr>
        <w:jc w:val="center"/>
        <w:rPr>
          <w:rFonts w:eastAsia="Calibri"/>
          <w:sz w:val="20"/>
          <w:szCs w:val="20"/>
        </w:rPr>
      </w:pPr>
    </w:p>
    <w:p w14:paraId="3B5DADCE" w14:textId="5634CC14" w:rsidR="000D6036" w:rsidRPr="00562EBB" w:rsidRDefault="00562EBB" w:rsidP="00562EBB">
      <w:pPr>
        <w:pStyle w:val="hdg1"/>
        <w:widowControl w:val="0"/>
        <w:spacing w:before="0" w:after="240"/>
        <w:rPr>
          <w:rFonts w:ascii="Times New Roman" w:hAnsi="Times New Roman" w:cs="Times New Roman"/>
          <w:sz w:val="20"/>
        </w:rPr>
      </w:pPr>
      <w:r w:rsidRPr="00562EBB">
        <w:rPr>
          <w:rFonts w:ascii="Times New Roman" w:hAnsi="Times New Roman" w:cs="Times New Roman"/>
          <w:sz w:val="20"/>
        </w:rPr>
        <w:t xml:space="preserve">Part One: </w:t>
      </w:r>
      <w:r w:rsidR="000D6036" w:rsidRPr="00562EBB">
        <w:rPr>
          <w:rFonts w:ascii="Times New Roman" w:hAnsi="Times New Roman" w:cs="Times New Roman"/>
          <w:sz w:val="20"/>
        </w:rPr>
        <w:t>Legislative Update</w:t>
      </w:r>
    </w:p>
    <w:p w14:paraId="2271040B" w14:textId="0548B3FD" w:rsidR="00562EBB" w:rsidRPr="00562EBB" w:rsidRDefault="00562EBB" w:rsidP="00D83FFD">
      <w:pPr>
        <w:pStyle w:val="ListParagraph"/>
        <w:widowControl w:val="0"/>
        <w:numPr>
          <w:ilvl w:val="0"/>
          <w:numId w:val="25"/>
        </w:numPr>
        <w:tabs>
          <w:tab w:val="decimal" w:pos="180"/>
        </w:tabs>
        <w:spacing w:before="200"/>
        <w:ind w:left="0" w:hanging="274"/>
        <w:contextualSpacing w:val="0"/>
        <w:jc w:val="both"/>
        <w:rPr>
          <w:rFonts w:ascii="Times New Roman" w:hAnsi="Times New Roman"/>
          <w:b/>
          <w:sz w:val="20"/>
          <w:szCs w:val="20"/>
        </w:rPr>
      </w:pPr>
      <w:r>
        <w:rPr>
          <w:rFonts w:ascii="Times New Roman" w:hAnsi="Times New Roman"/>
          <w:b/>
          <w:sz w:val="20"/>
          <w:szCs w:val="20"/>
        </w:rPr>
        <w:t>Introduction</w:t>
      </w:r>
    </w:p>
    <w:p w14:paraId="2D0D8EE4" w14:textId="77777777" w:rsidR="00562EBB" w:rsidRPr="00005045" w:rsidRDefault="00A758CB" w:rsidP="00D83FFD">
      <w:pPr>
        <w:pStyle w:val="Bodynoindent"/>
        <w:numPr>
          <w:ilvl w:val="0"/>
          <w:numId w:val="26"/>
        </w:numPr>
        <w:spacing w:before="200"/>
        <w:ind w:left="360"/>
        <w:rPr>
          <w:sz w:val="20"/>
          <w:szCs w:val="20"/>
        </w:rPr>
      </w:pPr>
      <w:r w:rsidRPr="00005045">
        <w:rPr>
          <w:sz w:val="20"/>
          <w:szCs w:val="20"/>
        </w:rPr>
        <w:t>Division Q of H.R. 2029, the Protecting Americans from Tax Hikes Act of 2015, (Pub. L. 114-113, December 18, 2015) (PATH Act) and Division P of H.R. 2029, the Consolidated Appropriations Act, 2016 (Pub. L. 114-113, December 18, 2015) (CAA of 2016) were passed by the House and Senate and signed by the President on December 18, 2015.</w:t>
      </w:r>
    </w:p>
    <w:p w14:paraId="4C96EBAD" w14:textId="77777777" w:rsidR="006462BE" w:rsidRPr="00005045" w:rsidRDefault="00A758CB" w:rsidP="00D83FFD">
      <w:pPr>
        <w:pStyle w:val="Bodynoindent"/>
        <w:numPr>
          <w:ilvl w:val="0"/>
          <w:numId w:val="26"/>
        </w:numPr>
        <w:spacing w:before="200"/>
        <w:ind w:left="360"/>
        <w:rPr>
          <w:sz w:val="20"/>
          <w:szCs w:val="20"/>
        </w:rPr>
      </w:pPr>
      <w:r w:rsidRPr="00005045">
        <w:rPr>
          <w:sz w:val="20"/>
          <w:szCs w:val="20"/>
        </w:rPr>
        <w:t xml:space="preserve">The legislation extends retroactively for 2015 and makes permanent, at their 2014 levels, numerous taxpayer benefits that </w:t>
      </w:r>
      <w:r w:rsidR="006462BE" w:rsidRPr="00005045">
        <w:rPr>
          <w:sz w:val="20"/>
          <w:szCs w:val="20"/>
        </w:rPr>
        <w:t>had expired at the end of 2014.</w:t>
      </w:r>
    </w:p>
    <w:p w14:paraId="2DFA1E9A" w14:textId="70284978" w:rsidR="00A758CB" w:rsidRPr="00005045" w:rsidRDefault="00A758CB" w:rsidP="00D83FFD">
      <w:pPr>
        <w:pStyle w:val="Bodynoindent"/>
        <w:numPr>
          <w:ilvl w:val="0"/>
          <w:numId w:val="26"/>
        </w:numPr>
        <w:spacing w:before="200"/>
        <w:ind w:left="360"/>
        <w:rPr>
          <w:sz w:val="20"/>
          <w:szCs w:val="20"/>
        </w:rPr>
      </w:pPr>
      <w:r w:rsidRPr="00005045">
        <w:rPr>
          <w:sz w:val="20"/>
          <w:szCs w:val="20"/>
        </w:rPr>
        <w:t xml:space="preserve">This </w:t>
      </w:r>
      <w:r w:rsidR="006462BE" w:rsidRPr="00005045">
        <w:rPr>
          <w:sz w:val="20"/>
          <w:szCs w:val="20"/>
          <w:lang w:val="en-US"/>
        </w:rPr>
        <w:t>outline</w:t>
      </w:r>
      <w:r w:rsidRPr="00005045">
        <w:rPr>
          <w:sz w:val="20"/>
          <w:szCs w:val="20"/>
        </w:rPr>
        <w:t xml:space="preserve"> summarizes selected provisions of the legislation and includes a table of tax provisions that were set to expire before this legislation was enacted. It reports whether those provisions were extended by this legislation, the new expiration date, if any, and whether the provision was modified.</w:t>
      </w:r>
    </w:p>
    <w:p w14:paraId="6F74D009" w14:textId="77777777" w:rsidR="00A758CB" w:rsidRPr="006462BE" w:rsidRDefault="00A758CB" w:rsidP="00D83FFD">
      <w:pPr>
        <w:pStyle w:val="ListParagraph"/>
        <w:numPr>
          <w:ilvl w:val="0"/>
          <w:numId w:val="25"/>
        </w:numPr>
        <w:tabs>
          <w:tab w:val="decimal" w:pos="180"/>
        </w:tabs>
        <w:spacing w:before="200"/>
        <w:ind w:left="0" w:hanging="274"/>
        <w:contextualSpacing w:val="0"/>
        <w:jc w:val="both"/>
        <w:rPr>
          <w:rFonts w:ascii="Times New Roman" w:hAnsi="Times New Roman"/>
          <w:b/>
          <w:sz w:val="20"/>
          <w:szCs w:val="20"/>
        </w:rPr>
      </w:pPr>
      <w:r w:rsidRPr="006462BE">
        <w:rPr>
          <w:rFonts w:ascii="Times New Roman" w:hAnsi="Times New Roman"/>
          <w:b/>
          <w:sz w:val="20"/>
          <w:szCs w:val="20"/>
        </w:rPr>
        <w:t>Individual Taxpayer Credits</w:t>
      </w:r>
    </w:p>
    <w:p w14:paraId="0A23E44B" w14:textId="3AFAB251" w:rsidR="00A758CB" w:rsidRPr="006462BE" w:rsidRDefault="00A758CB" w:rsidP="00D83FFD">
      <w:pPr>
        <w:pStyle w:val="Bodynoindent"/>
        <w:numPr>
          <w:ilvl w:val="0"/>
          <w:numId w:val="27"/>
        </w:numPr>
        <w:spacing w:before="200"/>
        <w:ind w:left="360"/>
        <w:rPr>
          <w:sz w:val="20"/>
          <w:szCs w:val="20"/>
          <w:lang w:val="en-US"/>
        </w:rPr>
      </w:pPr>
      <w:r w:rsidRPr="006462BE">
        <w:rPr>
          <w:sz w:val="20"/>
          <w:szCs w:val="20"/>
        </w:rPr>
        <w:t>Additional Child Tax Credit</w:t>
      </w:r>
      <w:r w:rsidR="006462BE" w:rsidRPr="006462BE">
        <w:rPr>
          <w:sz w:val="20"/>
          <w:szCs w:val="20"/>
          <w:lang w:val="en-US"/>
        </w:rPr>
        <w:t xml:space="preserve"> [</w:t>
      </w:r>
      <w:r w:rsidRPr="006462BE">
        <w:rPr>
          <w:sz w:val="20"/>
          <w:szCs w:val="20"/>
        </w:rPr>
        <w:t>I.R.C. § 24; PATH Act § 101</w:t>
      </w:r>
      <w:r w:rsidR="006462BE" w:rsidRPr="006462BE">
        <w:rPr>
          <w:sz w:val="20"/>
          <w:szCs w:val="20"/>
          <w:lang w:val="en-US"/>
        </w:rPr>
        <w:t>]</w:t>
      </w:r>
    </w:p>
    <w:p w14:paraId="1DF9DA87" w14:textId="0C0342DA" w:rsidR="00A758CB" w:rsidRPr="006462BE" w:rsidRDefault="00A758CB" w:rsidP="00D83FFD">
      <w:pPr>
        <w:pStyle w:val="Body"/>
        <w:numPr>
          <w:ilvl w:val="0"/>
          <w:numId w:val="28"/>
        </w:numPr>
        <w:spacing w:before="200"/>
        <w:rPr>
          <w:sz w:val="20"/>
          <w:szCs w:val="20"/>
        </w:rPr>
      </w:pPr>
      <w:r w:rsidRPr="006462BE">
        <w:rPr>
          <w:sz w:val="20"/>
          <w:szCs w:val="20"/>
        </w:rPr>
        <w:t>Effective for tax years beginning after December 18, 2015</w:t>
      </w:r>
      <w:r w:rsidR="00005045">
        <w:rPr>
          <w:sz w:val="20"/>
          <w:szCs w:val="20"/>
          <w:lang w:val="en-US"/>
        </w:rPr>
        <w:t>.</w:t>
      </w:r>
    </w:p>
    <w:p w14:paraId="3A35B63C" w14:textId="77777777" w:rsidR="006462BE" w:rsidRPr="006462BE" w:rsidRDefault="00A758CB" w:rsidP="00D83FFD">
      <w:pPr>
        <w:pStyle w:val="Body"/>
        <w:numPr>
          <w:ilvl w:val="0"/>
          <w:numId w:val="28"/>
        </w:numPr>
        <w:spacing w:before="200"/>
        <w:rPr>
          <w:sz w:val="20"/>
          <w:szCs w:val="20"/>
        </w:rPr>
      </w:pPr>
      <w:r w:rsidRPr="006462BE">
        <w:rPr>
          <w:sz w:val="20"/>
          <w:szCs w:val="20"/>
        </w:rPr>
        <w:t>Taxpayers generally may claim a $1,000 credit for each dependent child under age 17. It is not adjusted for inflation</w:t>
      </w:r>
      <w:r w:rsidR="006462BE" w:rsidRPr="006462BE">
        <w:rPr>
          <w:sz w:val="20"/>
          <w:szCs w:val="20"/>
          <w:lang w:val="en-US"/>
        </w:rPr>
        <w:t>.</w:t>
      </w:r>
    </w:p>
    <w:p w14:paraId="10EC15AC" w14:textId="77777777" w:rsidR="006462BE" w:rsidRPr="006462BE" w:rsidRDefault="00A758CB" w:rsidP="00D83FFD">
      <w:pPr>
        <w:pStyle w:val="Body"/>
        <w:numPr>
          <w:ilvl w:val="0"/>
          <w:numId w:val="28"/>
        </w:numPr>
        <w:spacing w:before="200"/>
        <w:rPr>
          <w:sz w:val="20"/>
          <w:szCs w:val="20"/>
        </w:rPr>
      </w:pPr>
      <w:r w:rsidRPr="006462BE">
        <w:rPr>
          <w:sz w:val="20"/>
          <w:szCs w:val="20"/>
        </w:rPr>
        <w:t>All or a portion of the child tax credit becomes refundable if the allowable credit exceeds the individual’s tax liability and he or she has earned income exceeding $3,000.</w:t>
      </w:r>
    </w:p>
    <w:p w14:paraId="1DF8C639" w14:textId="2A7AAD63" w:rsidR="00A758CB" w:rsidRPr="006462BE" w:rsidRDefault="00A758CB" w:rsidP="00D83FFD">
      <w:pPr>
        <w:pStyle w:val="Body"/>
        <w:numPr>
          <w:ilvl w:val="0"/>
          <w:numId w:val="28"/>
        </w:numPr>
        <w:spacing w:before="200"/>
        <w:rPr>
          <w:sz w:val="20"/>
          <w:szCs w:val="20"/>
        </w:rPr>
      </w:pPr>
      <w:r w:rsidRPr="006462BE">
        <w:rPr>
          <w:sz w:val="20"/>
          <w:szCs w:val="20"/>
        </w:rPr>
        <w:t>This provision was set to revert to $10,000 at the end of 2017. The PATH Act makes the $3,000 threshold permanent.</w:t>
      </w:r>
    </w:p>
    <w:p w14:paraId="050B150E" w14:textId="442888EF" w:rsidR="00A758CB" w:rsidRDefault="00A758CB" w:rsidP="00D83FFD">
      <w:pPr>
        <w:pStyle w:val="Bodynoindent"/>
        <w:keepNext/>
        <w:keepLines/>
        <w:numPr>
          <w:ilvl w:val="0"/>
          <w:numId w:val="27"/>
        </w:numPr>
        <w:spacing w:before="200"/>
        <w:ind w:left="360"/>
      </w:pPr>
      <w:r w:rsidRPr="006462BE">
        <w:rPr>
          <w:sz w:val="20"/>
          <w:szCs w:val="20"/>
        </w:rPr>
        <w:lastRenderedPageBreak/>
        <w:t>Earned Income Credit</w:t>
      </w:r>
      <w:r w:rsidR="006462BE" w:rsidRPr="006462BE">
        <w:rPr>
          <w:sz w:val="20"/>
          <w:szCs w:val="20"/>
          <w:lang w:val="en-US"/>
        </w:rPr>
        <w:t xml:space="preserve"> </w:t>
      </w:r>
      <w:r w:rsidR="006462BE">
        <w:rPr>
          <w:sz w:val="20"/>
          <w:szCs w:val="20"/>
          <w:lang w:val="en-US"/>
        </w:rPr>
        <w:t>[</w:t>
      </w:r>
      <w:r>
        <w:t>I.R.C. § 32; PATH Act § 103</w:t>
      </w:r>
      <w:r w:rsidR="006462BE">
        <w:rPr>
          <w:lang w:val="en-US"/>
        </w:rPr>
        <w:t>]</w:t>
      </w:r>
    </w:p>
    <w:p w14:paraId="1533738F" w14:textId="3D86DFF9" w:rsidR="00A758CB" w:rsidRPr="006462BE" w:rsidRDefault="00A758CB" w:rsidP="00D83FFD">
      <w:pPr>
        <w:pStyle w:val="Body"/>
        <w:keepNext/>
        <w:keepLines/>
        <w:numPr>
          <w:ilvl w:val="0"/>
          <w:numId w:val="29"/>
        </w:numPr>
        <w:spacing w:before="200"/>
        <w:rPr>
          <w:sz w:val="20"/>
          <w:szCs w:val="20"/>
        </w:rPr>
      </w:pPr>
      <w:r w:rsidRPr="006462BE">
        <w:rPr>
          <w:sz w:val="20"/>
          <w:szCs w:val="20"/>
        </w:rPr>
        <w:t>Effective for tax years beginning after December 31, 2015</w:t>
      </w:r>
      <w:r w:rsidR="00005045">
        <w:rPr>
          <w:sz w:val="20"/>
          <w:szCs w:val="20"/>
          <w:lang w:val="en-US"/>
        </w:rPr>
        <w:t>.</w:t>
      </w:r>
    </w:p>
    <w:p w14:paraId="29EC9127" w14:textId="77777777" w:rsidR="006462BE" w:rsidRDefault="00A758CB" w:rsidP="00D83FFD">
      <w:pPr>
        <w:pStyle w:val="Body"/>
        <w:keepNext/>
        <w:keepLines/>
        <w:numPr>
          <w:ilvl w:val="0"/>
          <w:numId w:val="29"/>
        </w:numPr>
        <w:spacing w:before="200"/>
        <w:rPr>
          <w:sz w:val="20"/>
          <w:szCs w:val="20"/>
        </w:rPr>
      </w:pPr>
      <w:r w:rsidRPr="006462BE">
        <w:rPr>
          <w:sz w:val="20"/>
          <w:szCs w:val="20"/>
        </w:rPr>
        <w:t>The EIC provisions that increased the income ranges for phasing out the credit on joint returns and increased the credit amount for three or more qualifying children were set to expire at the end of 2017. The PATH Act makes them permanent.</w:t>
      </w:r>
    </w:p>
    <w:p w14:paraId="7789FA30" w14:textId="1EEBD4F5" w:rsidR="00A758CB" w:rsidRPr="006462BE" w:rsidRDefault="00A758CB" w:rsidP="00D83FFD">
      <w:pPr>
        <w:pStyle w:val="Body"/>
        <w:numPr>
          <w:ilvl w:val="0"/>
          <w:numId w:val="29"/>
        </w:numPr>
        <w:spacing w:before="200"/>
        <w:rPr>
          <w:sz w:val="20"/>
          <w:szCs w:val="20"/>
        </w:rPr>
      </w:pPr>
      <w:r w:rsidRPr="006462BE">
        <w:rPr>
          <w:sz w:val="20"/>
          <w:szCs w:val="20"/>
        </w:rPr>
        <w:t xml:space="preserve">As under prior law, the income </w:t>
      </w:r>
      <w:proofErr w:type="spellStart"/>
      <w:r w:rsidRPr="006462BE">
        <w:rPr>
          <w:sz w:val="20"/>
          <w:szCs w:val="20"/>
        </w:rPr>
        <w:t>phaseout</w:t>
      </w:r>
      <w:proofErr w:type="spellEnd"/>
      <w:r w:rsidRPr="006462BE">
        <w:rPr>
          <w:sz w:val="20"/>
          <w:szCs w:val="20"/>
        </w:rPr>
        <w:t xml:space="preserve"> ranges are adjusted for inflation. Figure 1 reports the </w:t>
      </w:r>
      <w:proofErr w:type="spellStart"/>
      <w:r w:rsidRPr="006462BE">
        <w:rPr>
          <w:sz w:val="20"/>
          <w:szCs w:val="20"/>
        </w:rPr>
        <w:t>phaseout</w:t>
      </w:r>
      <w:proofErr w:type="spellEnd"/>
      <w:r w:rsidRPr="006462BE">
        <w:rPr>
          <w:sz w:val="20"/>
          <w:szCs w:val="20"/>
        </w:rPr>
        <w:t xml:space="preserve"> ranges for MFJ returns for 2015 and 2016.</w:t>
      </w:r>
    </w:p>
    <w:p w14:paraId="034FEFB7" w14:textId="4187FEA7" w:rsidR="00A758CB" w:rsidRPr="006462BE" w:rsidRDefault="00A758CB" w:rsidP="006462BE">
      <w:pPr>
        <w:pStyle w:val="FigNumber"/>
        <w:keepLines/>
        <w:rPr>
          <w:sz w:val="20"/>
          <w:szCs w:val="20"/>
        </w:rPr>
      </w:pPr>
      <w:r w:rsidRPr="006462BE">
        <w:rPr>
          <w:sz w:val="20"/>
          <w:szCs w:val="20"/>
        </w:rPr>
        <w:t>FIGURE 1</w:t>
      </w:r>
      <w:r w:rsidR="00B576ED" w:rsidRPr="006462BE">
        <w:rPr>
          <w:sz w:val="20"/>
          <w:szCs w:val="20"/>
          <w:lang w:val="en-US"/>
        </w:rPr>
        <w:t>.</w:t>
      </w:r>
      <w:r w:rsidRPr="006462BE">
        <w:rPr>
          <w:sz w:val="20"/>
          <w:szCs w:val="20"/>
        </w:rPr>
        <w:t xml:space="preserve"> Earned Income or AGI </w:t>
      </w:r>
      <w:proofErr w:type="spellStart"/>
      <w:r w:rsidRPr="006462BE">
        <w:rPr>
          <w:sz w:val="20"/>
          <w:szCs w:val="20"/>
        </w:rPr>
        <w:t>Phaseout</w:t>
      </w:r>
      <w:proofErr w:type="spellEnd"/>
      <w:r w:rsidRPr="006462BE">
        <w:rPr>
          <w:sz w:val="20"/>
          <w:szCs w:val="20"/>
        </w:rPr>
        <w:t xml:space="preserve"> Ranges for MFJ Returns</w:t>
      </w:r>
    </w:p>
    <w:tbl>
      <w:tblPr>
        <w:tblStyle w:val="TableGrid"/>
        <w:tblW w:w="0" w:type="auto"/>
        <w:jc w:val="center"/>
        <w:tblLook w:val="04A0" w:firstRow="1" w:lastRow="0" w:firstColumn="1" w:lastColumn="0" w:noHBand="0" w:noVBand="1"/>
      </w:tblPr>
      <w:tblGrid>
        <w:gridCol w:w="2163"/>
        <w:gridCol w:w="2157"/>
        <w:gridCol w:w="2160"/>
      </w:tblGrid>
      <w:tr w:rsidR="00A758CB" w:rsidRPr="006462BE" w14:paraId="503D43EF" w14:textId="77777777" w:rsidTr="00005045">
        <w:trPr>
          <w:jc w:val="center"/>
        </w:trPr>
        <w:tc>
          <w:tcPr>
            <w:tcW w:w="2163" w:type="dxa"/>
          </w:tcPr>
          <w:p w14:paraId="2CABDEBA" w14:textId="77777777" w:rsidR="00A758CB" w:rsidRPr="006462BE" w:rsidRDefault="00A758CB" w:rsidP="006462BE">
            <w:pPr>
              <w:pStyle w:val="CellHeading"/>
              <w:keepNext/>
              <w:keepLines/>
              <w:rPr>
                <w:sz w:val="20"/>
                <w:szCs w:val="20"/>
              </w:rPr>
            </w:pPr>
            <w:r w:rsidRPr="006462BE">
              <w:rPr>
                <w:sz w:val="20"/>
                <w:szCs w:val="20"/>
              </w:rPr>
              <w:t>Qualifying Children</w:t>
            </w:r>
          </w:p>
        </w:tc>
        <w:tc>
          <w:tcPr>
            <w:tcW w:w="2157" w:type="dxa"/>
          </w:tcPr>
          <w:p w14:paraId="588C5598" w14:textId="77777777" w:rsidR="00A758CB" w:rsidRPr="006462BE" w:rsidRDefault="00A758CB" w:rsidP="006462BE">
            <w:pPr>
              <w:pStyle w:val="CellHeadingC"/>
              <w:keepNext/>
              <w:keepLines/>
              <w:rPr>
                <w:sz w:val="20"/>
                <w:szCs w:val="20"/>
              </w:rPr>
            </w:pPr>
            <w:r w:rsidRPr="006462BE">
              <w:rPr>
                <w:sz w:val="20"/>
                <w:szCs w:val="20"/>
              </w:rPr>
              <w:t xml:space="preserve">2015 </w:t>
            </w:r>
            <w:proofErr w:type="spellStart"/>
            <w:r w:rsidRPr="006462BE">
              <w:rPr>
                <w:sz w:val="20"/>
                <w:szCs w:val="20"/>
              </w:rPr>
              <w:t>Phaseout</w:t>
            </w:r>
            <w:proofErr w:type="spellEnd"/>
            <w:r w:rsidRPr="006462BE">
              <w:rPr>
                <w:sz w:val="20"/>
                <w:szCs w:val="20"/>
              </w:rPr>
              <w:t xml:space="preserve"> Range</w:t>
            </w:r>
          </w:p>
        </w:tc>
        <w:tc>
          <w:tcPr>
            <w:tcW w:w="2160" w:type="dxa"/>
          </w:tcPr>
          <w:p w14:paraId="1ABC98C3" w14:textId="77777777" w:rsidR="00A758CB" w:rsidRPr="006462BE" w:rsidRDefault="00A758CB" w:rsidP="006462BE">
            <w:pPr>
              <w:pStyle w:val="CellHeadingC"/>
              <w:keepNext/>
              <w:keepLines/>
              <w:rPr>
                <w:sz w:val="20"/>
                <w:szCs w:val="20"/>
              </w:rPr>
            </w:pPr>
            <w:r w:rsidRPr="006462BE">
              <w:rPr>
                <w:sz w:val="20"/>
                <w:szCs w:val="20"/>
              </w:rPr>
              <w:t xml:space="preserve">2016 </w:t>
            </w:r>
            <w:proofErr w:type="spellStart"/>
            <w:r w:rsidRPr="006462BE">
              <w:rPr>
                <w:sz w:val="20"/>
                <w:szCs w:val="20"/>
              </w:rPr>
              <w:t>Phaseout</w:t>
            </w:r>
            <w:proofErr w:type="spellEnd"/>
            <w:r w:rsidRPr="006462BE">
              <w:rPr>
                <w:sz w:val="20"/>
                <w:szCs w:val="20"/>
              </w:rPr>
              <w:t xml:space="preserve"> Range</w:t>
            </w:r>
          </w:p>
        </w:tc>
      </w:tr>
      <w:tr w:rsidR="00A758CB" w:rsidRPr="006462BE" w14:paraId="739E91B1" w14:textId="77777777" w:rsidTr="00005045">
        <w:trPr>
          <w:jc w:val="center"/>
        </w:trPr>
        <w:tc>
          <w:tcPr>
            <w:tcW w:w="2163" w:type="dxa"/>
          </w:tcPr>
          <w:p w14:paraId="59641285" w14:textId="77777777" w:rsidR="00A758CB" w:rsidRPr="006462BE" w:rsidRDefault="00A758CB" w:rsidP="006462BE">
            <w:pPr>
              <w:pStyle w:val="CellBodyfirst"/>
              <w:keepNext/>
              <w:keepLines/>
              <w:rPr>
                <w:sz w:val="20"/>
                <w:szCs w:val="20"/>
              </w:rPr>
            </w:pPr>
            <w:r w:rsidRPr="006462BE">
              <w:rPr>
                <w:sz w:val="20"/>
                <w:szCs w:val="20"/>
              </w:rPr>
              <w:t>None</w:t>
            </w:r>
          </w:p>
        </w:tc>
        <w:tc>
          <w:tcPr>
            <w:tcW w:w="2157" w:type="dxa"/>
          </w:tcPr>
          <w:p w14:paraId="6F276B54" w14:textId="77777777" w:rsidR="00A758CB" w:rsidRPr="006462BE" w:rsidRDefault="00A758CB" w:rsidP="006462BE">
            <w:pPr>
              <w:pStyle w:val="CellBodyCfirst"/>
              <w:keepNext/>
              <w:keepLines/>
              <w:rPr>
                <w:sz w:val="20"/>
                <w:szCs w:val="20"/>
              </w:rPr>
            </w:pPr>
            <w:r w:rsidRPr="006462BE">
              <w:rPr>
                <w:sz w:val="20"/>
                <w:szCs w:val="20"/>
              </w:rPr>
              <w:t>$13,750–$20,330</w:t>
            </w:r>
          </w:p>
        </w:tc>
        <w:tc>
          <w:tcPr>
            <w:tcW w:w="2160" w:type="dxa"/>
          </w:tcPr>
          <w:p w14:paraId="564D6EC0" w14:textId="77777777" w:rsidR="00A758CB" w:rsidRPr="006462BE" w:rsidRDefault="00A758CB" w:rsidP="006462BE">
            <w:pPr>
              <w:pStyle w:val="CellBodyCfirst"/>
              <w:keepNext/>
              <w:keepLines/>
              <w:rPr>
                <w:sz w:val="20"/>
                <w:szCs w:val="20"/>
              </w:rPr>
            </w:pPr>
            <w:r w:rsidRPr="006462BE">
              <w:rPr>
                <w:sz w:val="20"/>
                <w:szCs w:val="20"/>
              </w:rPr>
              <w:t>$13,750–$20,430</w:t>
            </w:r>
          </w:p>
        </w:tc>
      </w:tr>
      <w:tr w:rsidR="00A758CB" w:rsidRPr="006462BE" w14:paraId="7D3D4491" w14:textId="77777777" w:rsidTr="00005045">
        <w:trPr>
          <w:jc w:val="center"/>
        </w:trPr>
        <w:tc>
          <w:tcPr>
            <w:tcW w:w="2163" w:type="dxa"/>
          </w:tcPr>
          <w:p w14:paraId="25481A41" w14:textId="77777777" w:rsidR="00A758CB" w:rsidRPr="006462BE" w:rsidRDefault="00A758CB" w:rsidP="006462BE">
            <w:pPr>
              <w:pStyle w:val="CellBody"/>
              <w:keepNext/>
              <w:keepLines/>
              <w:rPr>
                <w:sz w:val="20"/>
                <w:szCs w:val="20"/>
              </w:rPr>
            </w:pPr>
            <w:r w:rsidRPr="006462BE">
              <w:rPr>
                <w:sz w:val="20"/>
                <w:szCs w:val="20"/>
              </w:rPr>
              <w:t>One</w:t>
            </w:r>
          </w:p>
        </w:tc>
        <w:tc>
          <w:tcPr>
            <w:tcW w:w="2157" w:type="dxa"/>
          </w:tcPr>
          <w:p w14:paraId="5A23F944" w14:textId="77777777" w:rsidR="00A758CB" w:rsidRPr="006462BE" w:rsidRDefault="00A758CB" w:rsidP="006462BE">
            <w:pPr>
              <w:pStyle w:val="CellBodyC"/>
              <w:keepNext/>
              <w:keepLines/>
              <w:rPr>
                <w:sz w:val="20"/>
                <w:szCs w:val="20"/>
              </w:rPr>
            </w:pPr>
            <w:r w:rsidRPr="006462BE">
              <w:rPr>
                <w:sz w:val="20"/>
                <w:szCs w:val="20"/>
              </w:rPr>
              <w:t>$23,630–$44,651</w:t>
            </w:r>
          </w:p>
        </w:tc>
        <w:tc>
          <w:tcPr>
            <w:tcW w:w="2160" w:type="dxa"/>
          </w:tcPr>
          <w:p w14:paraId="311E94C0" w14:textId="77777777" w:rsidR="00A758CB" w:rsidRPr="006462BE" w:rsidRDefault="00A758CB" w:rsidP="006462BE">
            <w:pPr>
              <w:pStyle w:val="CellBodyC"/>
              <w:keepNext/>
              <w:keepLines/>
              <w:rPr>
                <w:sz w:val="20"/>
                <w:szCs w:val="20"/>
              </w:rPr>
            </w:pPr>
            <w:r w:rsidRPr="006462BE">
              <w:rPr>
                <w:sz w:val="20"/>
                <w:szCs w:val="20"/>
              </w:rPr>
              <w:t>$23,630–$44,846</w:t>
            </w:r>
          </w:p>
        </w:tc>
      </w:tr>
      <w:tr w:rsidR="00A758CB" w:rsidRPr="006462BE" w14:paraId="40C81336" w14:textId="77777777" w:rsidTr="00005045">
        <w:trPr>
          <w:jc w:val="center"/>
        </w:trPr>
        <w:tc>
          <w:tcPr>
            <w:tcW w:w="2163" w:type="dxa"/>
          </w:tcPr>
          <w:p w14:paraId="327C5F12" w14:textId="77777777" w:rsidR="00A758CB" w:rsidRPr="006462BE" w:rsidRDefault="00A758CB" w:rsidP="006462BE">
            <w:pPr>
              <w:pStyle w:val="CellBody"/>
              <w:keepNext/>
              <w:keepLines/>
              <w:rPr>
                <w:sz w:val="20"/>
                <w:szCs w:val="20"/>
              </w:rPr>
            </w:pPr>
            <w:r w:rsidRPr="006462BE">
              <w:rPr>
                <w:sz w:val="20"/>
                <w:szCs w:val="20"/>
              </w:rPr>
              <w:t>Two</w:t>
            </w:r>
          </w:p>
        </w:tc>
        <w:tc>
          <w:tcPr>
            <w:tcW w:w="2157" w:type="dxa"/>
          </w:tcPr>
          <w:p w14:paraId="6857FAB2" w14:textId="77777777" w:rsidR="00A758CB" w:rsidRPr="006462BE" w:rsidRDefault="00A758CB" w:rsidP="006462BE">
            <w:pPr>
              <w:pStyle w:val="CellBodyC"/>
              <w:keepNext/>
              <w:keepLines/>
              <w:rPr>
                <w:sz w:val="20"/>
                <w:szCs w:val="20"/>
              </w:rPr>
            </w:pPr>
            <w:r w:rsidRPr="006462BE">
              <w:rPr>
                <w:sz w:val="20"/>
                <w:szCs w:val="20"/>
              </w:rPr>
              <w:t>$23,630–$49,974</w:t>
            </w:r>
          </w:p>
        </w:tc>
        <w:tc>
          <w:tcPr>
            <w:tcW w:w="2160" w:type="dxa"/>
          </w:tcPr>
          <w:p w14:paraId="1239719B" w14:textId="77777777" w:rsidR="00A758CB" w:rsidRPr="006462BE" w:rsidRDefault="00A758CB" w:rsidP="006462BE">
            <w:pPr>
              <w:pStyle w:val="CellBodyC"/>
              <w:keepNext/>
              <w:keepLines/>
              <w:rPr>
                <w:sz w:val="20"/>
                <w:szCs w:val="20"/>
              </w:rPr>
            </w:pPr>
            <w:r w:rsidRPr="006462BE">
              <w:rPr>
                <w:sz w:val="20"/>
                <w:szCs w:val="20"/>
              </w:rPr>
              <w:t>$23,630–$50,198</w:t>
            </w:r>
          </w:p>
        </w:tc>
      </w:tr>
      <w:tr w:rsidR="00A758CB" w:rsidRPr="006462BE" w14:paraId="7FF12E16" w14:textId="77777777" w:rsidTr="00005045">
        <w:trPr>
          <w:jc w:val="center"/>
        </w:trPr>
        <w:tc>
          <w:tcPr>
            <w:tcW w:w="2163" w:type="dxa"/>
          </w:tcPr>
          <w:p w14:paraId="5695D888" w14:textId="77777777" w:rsidR="00A758CB" w:rsidRPr="006462BE" w:rsidRDefault="00A758CB" w:rsidP="006462BE">
            <w:pPr>
              <w:pStyle w:val="CellBody"/>
              <w:keepNext/>
              <w:keepLines/>
              <w:rPr>
                <w:sz w:val="20"/>
                <w:szCs w:val="20"/>
              </w:rPr>
            </w:pPr>
            <w:r w:rsidRPr="006462BE">
              <w:rPr>
                <w:sz w:val="20"/>
                <w:szCs w:val="20"/>
              </w:rPr>
              <w:t>Three or more</w:t>
            </w:r>
          </w:p>
        </w:tc>
        <w:tc>
          <w:tcPr>
            <w:tcW w:w="2157" w:type="dxa"/>
          </w:tcPr>
          <w:p w14:paraId="4DA0B20C" w14:textId="77777777" w:rsidR="00A758CB" w:rsidRPr="006462BE" w:rsidRDefault="00A758CB" w:rsidP="006462BE">
            <w:pPr>
              <w:pStyle w:val="CellBodyC"/>
              <w:keepNext/>
              <w:keepLines/>
              <w:rPr>
                <w:sz w:val="20"/>
                <w:szCs w:val="20"/>
              </w:rPr>
            </w:pPr>
            <w:r w:rsidRPr="006462BE">
              <w:rPr>
                <w:sz w:val="20"/>
                <w:szCs w:val="20"/>
              </w:rPr>
              <w:t>$23,630–$53,267</w:t>
            </w:r>
          </w:p>
        </w:tc>
        <w:tc>
          <w:tcPr>
            <w:tcW w:w="2160" w:type="dxa"/>
          </w:tcPr>
          <w:p w14:paraId="28DB4BA1" w14:textId="77777777" w:rsidR="00A758CB" w:rsidRPr="006462BE" w:rsidRDefault="00A758CB" w:rsidP="006462BE">
            <w:pPr>
              <w:pStyle w:val="CellBodyC"/>
              <w:keepNext/>
              <w:keepLines/>
              <w:rPr>
                <w:sz w:val="20"/>
                <w:szCs w:val="20"/>
              </w:rPr>
            </w:pPr>
            <w:r w:rsidRPr="006462BE">
              <w:rPr>
                <w:sz w:val="20"/>
                <w:szCs w:val="20"/>
              </w:rPr>
              <w:t>$23,630–$53,505</w:t>
            </w:r>
          </w:p>
        </w:tc>
      </w:tr>
    </w:tbl>
    <w:p w14:paraId="2DF7883B" w14:textId="15BAD7A6" w:rsidR="00A758CB" w:rsidRPr="00005045" w:rsidRDefault="00A758CB" w:rsidP="00D83FFD">
      <w:pPr>
        <w:pStyle w:val="Bodynoindent"/>
        <w:keepLines/>
        <w:numPr>
          <w:ilvl w:val="0"/>
          <w:numId w:val="27"/>
        </w:numPr>
        <w:spacing w:before="200"/>
        <w:ind w:left="360"/>
        <w:rPr>
          <w:sz w:val="20"/>
          <w:szCs w:val="20"/>
        </w:rPr>
      </w:pPr>
      <w:r w:rsidRPr="00005045">
        <w:rPr>
          <w:sz w:val="20"/>
          <w:szCs w:val="20"/>
        </w:rPr>
        <w:t>Hope Scholarship Credit</w:t>
      </w:r>
      <w:r w:rsidR="00005045" w:rsidRPr="00005045">
        <w:rPr>
          <w:sz w:val="20"/>
          <w:szCs w:val="20"/>
          <w:lang w:val="en-US"/>
        </w:rPr>
        <w:t xml:space="preserve"> [</w:t>
      </w:r>
      <w:r w:rsidRPr="00005045">
        <w:rPr>
          <w:sz w:val="20"/>
          <w:szCs w:val="20"/>
        </w:rPr>
        <w:t>I.R.C. § 25A; PATH Act § 102</w:t>
      </w:r>
      <w:r w:rsidR="00005045" w:rsidRPr="00005045">
        <w:rPr>
          <w:sz w:val="20"/>
          <w:szCs w:val="20"/>
          <w:lang w:val="en-US"/>
        </w:rPr>
        <w:t>]</w:t>
      </w:r>
    </w:p>
    <w:p w14:paraId="0C31FBD4" w14:textId="2EF9A3B5" w:rsidR="00A758CB" w:rsidRPr="00005045" w:rsidRDefault="00A758CB" w:rsidP="00D83FFD">
      <w:pPr>
        <w:pStyle w:val="Body"/>
        <w:numPr>
          <w:ilvl w:val="0"/>
          <w:numId w:val="30"/>
        </w:numPr>
        <w:spacing w:before="200"/>
        <w:rPr>
          <w:sz w:val="20"/>
          <w:szCs w:val="20"/>
        </w:rPr>
      </w:pPr>
      <w:r w:rsidRPr="00005045">
        <w:rPr>
          <w:sz w:val="20"/>
          <w:szCs w:val="20"/>
        </w:rPr>
        <w:t>Effective for tax years beginning after December 18, 2015</w:t>
      </w:r>
      <w:r w:rsidR="00005045">
        <w:rPr>
          <w:sz w:val="20"/>
          <w:szCs w:val="20"/>
          <w:lang w:val="en-US"/>
        </w:rPr>
        <w:t>.</w:t>
      </w:r>
    </w:p>
    <w:p w14:paraId="72C7BAE4" w14:textId="77777777" w:rsidR="00005045" w:rsidRDefault="00A758CB" w:rsidP="00D83FFD">
      <w:pPr>
        <w:pStyle w:val="Body"/>
        <w:numPr>
          <w:ilvl w:val="0"/>
          <w:numId w:val="30"/>
        </w:numPr>
        <w:spacing w:before="200"/>
        <w:rPr>
          <w:sz w:val="20"/>
          <w:szCs w:val="20"/>
        </w:rPr>
      </w:pPr>
      <w:r w:rsidRPr="00005045">
        <w:rPr>
          <w:sz w:val="20"/>
          <w:szCs w:val="20"/>
        </w:rPr>
        <w:t>The American opportunity credit</w:t>
      </w:r>
      <w:r w:rsidRPr="00005045">
        <w:rPr>
          <w:sz w:val="20"/>
          <w:szCs w:val="20"/>
        </w:rPr>
        <w:sym w:font="Symbol" w:char="F0BE"/>
      </w:r>
      <w:r w:rsidRPr="00005045">
        <w:rPr>
          <w:sz w:val="20"/>
          <w:szCs w:val="20"/>
        </w:rPr>
        <w:t>an enhanced Hope credit</w:t>
      </w:r>
      <w:r w:rsidRPr="00005045">
        <w:rPr>
          <w:sz w:val="20"/>
          <w:szCs w:val="20"/>
        </w:rPr>
        <w:sym w:font="Symbol" w:char="F0BE"/>
      </w:r>
      <w:r w:rsidRPr="00005045">
        <w:rPr>
          <w:sz w:val="20"/>
          <w:szCs w:val="20"/>
        </w:rPr>
        <w:t>is permanent.</w:t>
      </w:r>
    </w:p>
    <w:p w14:paraId="62E292ED" w14:textId="77777777" w:rsidR="00005045" w:rsidRDefault="00A758CB" w:rsidP="00D83FFD">
      <w:pPr>
        <w:pStyle w:val="Body"/>
        <w:numPr>
          <w:ilvl w:val="0"/>
          <w:numId w:val="30"/>
        </w:numPr>
        <w:spacing w:before="200"/>
        <w:rPr>
          <w:sz w:val="20"/>
          <w:szCs w:val="20"/>
        </w:rPr>
      </w:pPr>
      <w:r w:rsidRPr="00005045">
        <w:rPr>
          <w:sz w:val="20"/>
          <w:szCs w:val="20"/>
        </w:rPr>
        <w:t>The credit can be up to $2,500, and 40% of it can be refundable.</w:t>
      </w:r>
    </w:p>
    <w:p w14:paraId="652D1FA6" w14:textId="77777777" w:rsidR="00005045" w:rsidRDefault="00A758CB" w:rsidP="00D83FFD">
      <w:pPr>
        <w:pStyle w:val="Body"/>
        <w:numPr>
          <w:ilvl w:val="0"/>
          <w:numId w:val="30"/>
        </w:numPr>
        <w:spacing w:before="200"/>
        <w:rPr>
          <w:sz w:val="20"/>
          <w:szCs w:val="20"/>
        </w:rPr>
      </w:pPr>
      <w:r w:rsidRPr="00005045">
        <w:rPr>
          <w:sz w:val="20"/>
          <w:szCs w:val="20"/>
        </w:rPr>
        <w:t>Certain required materials and supplies continue to be eligible expenses.</w:t>
      </w:r>
    </w:p>
    <w:p w14:paraId="54F483CE" w14:textId="108DFA6C" w:rsidR="00A758CB" w:rsidRPr="00005045" w:rsidRDefault="00A758CB" w:rsidP="00D83FFD">
      <w:pPr>
        <w:pStyle w:val="Body"/>
        <w:numPr>
          <w:ilvl w:val="0"/>
          <w:numId w:val="30"/>
        </w:numPr>
        <w:spacing w:before="200"/>
        <w:rPr>
          <w:sz w:val="20"/>
          <w:szCs w:val="20"/>
        </w:rPr>
      </w:pPr>
      <w:r w:rsidRPr="00005045">
        <w:rPr>
          <w:sz w:val="20"/>
          <w:szCs w:val="20"/>
        </w:rPr>
        <w:t>The credit continues to be available with respect to an individual student for 4 years, provided that the student has not completed the first 4 years of post-secondary education before the beginning of the fourth taxable year.</w:t>
      </w:r>
    </w:p>
    <w:p w14:paraId="43714A48" w14:textId="77777777" w:rsidR="00A758CB" w:rsidRPr="00005045" w:rsidRDefault="00A758CB" w:rsidP="00D83FFD">
      <w:pPr>
        <w:pStyle w:val="Bodynoindent"/>
        <w:keepLines/>
        <w:numPr>
          <w:ilvl w:val="0"/>
          <w:numId w:val="27"/>
        </w:numPr>
        <w:spacing w:before="200"/>
        <w:ind w:left="360"/>
        <w:rPr>
          <w:sz w:val="20"/>
          <w:szCs w:val="20"/>
        </w:rPr>
      </w:pPr>
      <w:r w:rsidRPr="00005045">
        <w:rPr>
          <w:sz w:val="20"/>
          <w:szCs w:val="20"/>
        </w:rPr>
        <w:t>Residential Energy Credits</w:t>
      </w:r>
    </w:p>
    <w:p w14:paraId="40E40C94" w14:textId="14A61DBC" w:rsidR="00A758CB" w:rsidRPr="00005045" w:rsidRDefault="00A758CB" w:rsidP="00D83FFD">
      <w:pPr>
        <w:pStyle w:val="Body"/>
        <w:numPr>
          <w:ilvl w:val="0"/>
          <w:numId w:val="31"/>
        </w:numPr>
        <w:spacing w:before="200"/>
        <w:rPr>
          <w:sz w:val="20"/>
          <w:szCs w:val="20"/>
        </w:rPr>
      </w:pPr>
      <w:r w:rsidRPr="00005045">
        <w:rPr>
          <w:sz w:val="20"/>
          <w:szCs w:val="20"/>
        </w:rPr>
        <w:t>Energy Efficiency Building Envelope Component</w:t>
      </w:r>
      <w:r w:rsidR="00005045" w:rsidRPr="00005045">
        <w:rPr>
          <w:sz w:val="20"/>
          <w:szCs w:val="20"/>
          <w:lang w:val="en-US"/>
        </w:rPr>
        <w:t xml:space="preserve"> [</w:t>
      </w:r>
      <w:r w:rsidRPr="00005045">
        <w:rPr>
          <w:sz w:val="20"/>
          <w:szCs w:val="20"/>
        </w:rPr>
        <w:t>I.R.C. § 25C; PATH Act § 181</w:t>
      </w:r>
      <w:r w:rsidR="00005045">
        <w:rPr>
          <w:sz w:val="20"/>
          <w:szCs w:val="20"/>
          <w:lang w:val="en-US"/>
        </w:rPr>
        <w:t>]</w:t>
      </w:r>
    </w:p>
    <w:p w14:paraId="07C36375" w14:textId="2162D7E6" w:rsidR="00A758CB" w:rsidRPr="00005045" w:rsidRDefault="00A758CB" w:rsidP="00D83FFD">
      <w:pPr>
        <w:pStyle w:val="RandCStatute"/>
        <w:numPr>
          <w:ilvl w:val="0"/>
          <w:numId w:val="32"/>
        </w:numPr>
        <w:spacing w:before="200" w:after="0"/>
        <w:ind w:left="1080"/>
        <w:rPr>
          <w:sz w:val="20"/>
          <w:szCs w:val="20"/>
        </w:rPr>
      </w:pPr>
      <w:r w:rsidRPr="00005045">
        <w:rPr>
          <w:sz w:val="20"/>
          <w:szCs w:val="20"/>
        </w:rPr>
        <w:t>Effective for property placed in service after December 31, 2014; the modification to the credit applies to property placed in service after December 31, 2015</w:t>
      </w:r>
      <w:r w:rsidR="00005045">
        <w:rPr>
          <w:sz w:val="20"/>
          <w:szCs w:val="20"/>
          <w:lang w:val="en-US"/>
        </w:rPr>
        <w:t>.</w:t>
      </w:r>
    </w:p>
    <w:p w14:paraId="29DF5CCB" w14:textId="77777777" w:rsidR="00A758CB" w:rsidRPr="00005045" w:rsidRDefault="00A758CB" w:rsidP="00D83FFD">
      <w:pPr>
        <w:pStyle w:val="RandCStatute"/>
        <w:numPr>
          <w:ilvl w:val="0"/>
          <w:numId w:val="32"/>
        </w:numPr>
        <w:spacing w:before="200" w:after="0"/>
        <w:ind w:left="1080"/>
        <w:rPr>
          <w:sz w:val="20"/>
          <w:szCs w:val="20"/>
        </w:rPr>
      </w:pPr>
      <w:r w:rsidRPr="00005045">
        <w:rPr>
          <w:sz w:val="20"/>
          <w:szCs w:val="20"/>
        </w:rPr>
        <w:t>The 10% credit for qualified energy efficiency improvements to the taxpayer’s main home is limited to $500 for all tax years after 2005, and the credit for windows is limited to $200 for all tax years after 2005.</w:t>
      </w:r>
    </w:p>
    <w:p w14:paraId="78F7A54B" w14:textId="77777777" w:rsidR="00A758CB" w:rsidRPr="00005045" w:rsidRDefault="00A758CB" w:rsidP="00D83FFD">
      <w:pPr>
        <w:pStyle w:val="RandCStatute"/>
        <w:numPr>
          <w:ilvl w:val="0"/>
          <w:numId w:val="32"/>
        </w:numPr>
        <w:spacing w:before="200" w:after="0"/>
        <w:ind w:left="1080"/>
        <w:rPr>
          <w:sz w:val="20"/>
          <w:szCs w:val="20"/>
        </w:rPr>
      </w:pPr>
      <w:r w:rsidRPr="00005045">
        <w:rPr>
          <w:sz w:val="20"/>
          <w:szCs w:val="20"/>
        </w:rPr>
        <w:t>The PATH Act extends the credit for 2 years, through December 31, 2016. Additionally, it modifies the efficiency standard to require that windows, skylights, and doors meet Energy Star 6.0 standards.</w:t>
      </w:r>
    </w:p>
    <w:p w14:paraId="7638E3BA" w14:textId="05160299" w:rsidR="00A758CB" w:rsidRPr="00005045" w:rsidRDefault="00A758CB" w:rsidP="00D83FFD">
      <w:pPr>
        <w:pStyle w:val="Body"/>
        <w:numPr>
          <w:ilvl w:val="0"/>
          <w:numId w:val="31"/>
        </w:numPr>
        <w:spacing w:before="200"/>
        <w:rPr>
          <w:sz w:val="20"/>
          <w:szCs w:val="20"/>
        </w:rPr>
      </w:pPr>
      <w:r w:rsidRPr="00005045">
        <w:rPr>
          <w:sz w:val="20"/>
          <w:szCs w:val="20"/>
        </w:rPr>
        <w:t>Residential Energy Efficient Property Credit for Solar Property</w:t>
      </w:r>
      <w:r w:rsidR="00005045" w:rsidRPr="00005045">
        <w:rPr>
          <w:sz w:val="20"/>
          <w:szCs w:val="20"/>
        </w:rPr>
        <w:t xml:space="preserve"> [</w:t>
      </w:r>
      <w:r w:rsidRPr="00005045">
        <w:rPr>
          <w:sz w:val="20"/>
          <w:szCs w:val="20"/>
        </w:rPr>
        <w:t>I.R.C. § 25D; CAA of 2016 § 304(a)</w:t>
      </w:r>
      <w:r w:rsidR="00005045" w:rsidRPr="00005045">
        <w:rPr>
          <w:sz w:val="20"/>
          <w:szCs w:val="20"/>
        </w:rPr>
        <w:t>]</w:t>
      </w:r>
    </w:p>
    <w:p w14:paraId="7F854204" w14:textId="42DEEB29" w:rsidR="00A758CB" w:rsidRPr="00005045" w:rsidRDefault="00A758CB" w:rsidP="00D83FFD">
      <w:pPr>
        <w:pStyle w:val="RandCStatute"/>
        <w:numPr>
          <w:ilvl w:val="0"/>
          <w:numId w:val="33"/>
        </w:numPr>
        <w:spacing w:before="200" w:after="0"/>
        <w:ind w:left="1080"/>
        <w:rPr>
          <w:sz w:val="20"/>
          <w:szCs w:val="20"/>
        </w:rPr>
      </w:pPr>
      <w:r w:rsidRPr="00005045">
        <w:rPr>
          <w:sz w:val="20"/>
          <w:szCs w:val="20"/>
        </w:rPr>
        <w:t>Effective January 1, 2017</w:t>
      </w:r>
      <w:r w:rsidR="00E67CED">
        <w:rPr>
          <w:sz w:val="20"/>
          <w:szCs w:val="20"/>
          <w:lang w:val="en-US"/>
        </w:rPr>
        <w:t>.</w:t>
      </w:r>
    </w:p>
    <w:p w14:paraId="30250870" w14:textId="77777777" w:rsidR="00A758CB" w:rsidRPr="00005045" w:rsidRDefault="00A758CB" w:rsidP="00D83FFD">
      <w:pPr>
        <w:pStyle w:val="RandCStatute"/>
        <w:numPr>
          <w:ilvl w:val="0"/>
          <w:numId w:val="33"/>
        </w:numPr>
        <w:spacing w:before="200" w:after="0"/>
        <w:ind w:left="1080"/>
        <w:rPr>
          <w:sz w:val="20"/>
          <w:szCs w:val="20"/>
        </w:rPr>
      </w:pPr>
      <w:r w:rsidRPr="00005045">
        <w:rPr>
          <w:sz w:val="20"/>
          <w:szCs w:val="20"/>
        </w:rPr>
        <w:t xml:space="preserve">Individual taxpayers are allowed a personal tax credit, known as the residential energy efficient property (REEP) credit, for expenditures for installing certain energy-efficient property in the taxpayer’s residence. </w:t>
      </w:r>
    </w:p>
    <w:p w14:paraId="62013751" w14:textId="77777777" w:rsidR="00E67CED" w:rsidRDefault="00A758CB" w:rsidP="00D83FFD">
      <w:pPr>
        <w:pStyle w:val="RandCStatute"/>
        <w:numPr>
          <w:ilvl w:val="0"/>
          <w:numId w:val="33"/>
        </w:numPr>
        <w:spacing w:before="200" w:after="0"/>
        <w:ind w:left="1080"/>
        <w:rPr>
          <w:sz w:val="20"/>
          <w:szCs w:val="20"/>
        </w:rPr>
      </w:pPr>
      <w:r w:rsidRPr="00005045">
        <w:rPr>
          <w:sz w:val="20"/>
          <w:szCs w:val="20"/>
        </w:rPr>
        <w:lastRenderedPageBreak/>
        <w:t>The CAA of 2016 extends the REEP credit for 5 years, so that it applies to property placed in service before January 1, 2022, but only for qualified solar electric property expenditures and qualified solar water heating property expenditures.</w:t>
      </w:r>
    </w:p>
    <w:p w14:paraId="17C188F5" w14:textId="160C4A25" w:rsidR="00A758CB" w:rsidRPr="00005045" w:rsidRDefault="00A758CB" w:rsidP="00D83FFD">
      <w:pPr>
        <w:pStyle w:val="RandCStatute"/>
        <w:numPr>
          <w:ilvl w:val="0"/>
          <w:numId w:val="33"/>
        </w:numPr>
        <w:spacing w:before="200" w:after="0"/>
        <w:ind w:left="1080"/>
        <w:rPr>
          <w:sz w:val="20"/>
          <w:szCs w:val="20"/>
        </w:rPr>
      </w:pPr>
      <w:r w:rsidRPr="00005045">
        <w:rPr>
          <w:sz w:val="20"/>
          <w:szCs w:val="20"/>
        </w:rPr>
        <w:t>It does not extend the REEP credit for fuel cell property, wind energy property, and geothermal heat pump property, which expires for property placed in service after December 31, 2016.</w:t>
      </w:r>
    </w:p>
    <w:p w14:paraId="76AFD16D" w14:textId="77777777" w:rsidR="00A758CB" w:rsidRPr="00005045" w:rsidRDefault="00A758CB" w:rsidP="00D83FFD">
      <w:pPr>
        <w:pStyle w:val="RandCStatute"/>
        <w:numPr>
          <w:ilvl w:val="0"/>
          <w:numId w:val="33"/>
        </w:numPr>
        <w:spacing w:before="200" w:after="0"/>
        <w:ind w:left="1080"/>
        <w:rPr>
          <w:sz w:val="20"/>
          <w:szCs w:val="20"/>
        </w:rPr>
      </w:pPr>
      <w:r w:rsidRPr="00005045">
        <w:rPr>
          <w:sz w:val="20"/>
          <w:szCs w:val="20"/>
        </w:rPr>
        <w:t>The credit rate for qualified solar electric property expenditures and qualified solar water heating property expenditures remains at 30% through 2019, but is then reduced to 26% for 2020 and 22% for 2021.</w:t>
      </w:r>
    </w:p>
    <w:p w14:paraId="3D30D3FB" w14:textId="43C707CD" w:rsidR="00A758CB" w:rsidRPr="00E67CED" w:rsidRDefault="00A758CB" w:rsidP="00D83FFD">
      <w:pPr>
        <w:pStyle w:val="Bodynoindent"/>
        <w:keepLines/>
        <w:numPr>
          <w:ilvl w:val="0"/>
          <w:numId w:val="27"/>
        </w:numPr>
        <w:spacing w:before="200"/>
        <w:ind w:left="360"/>
        <w:rPr>
          <w:sz w:val="20"/>
          <w:szCs w:val="20"/>
        </w:rPr>
      </w:pPr>
      <w:r w:rsidRPr="00E67CED">
        <w:rPr>
          <w:sz w:val="20"/>
          <w:szCs w:val="20"/>
        </w:rPr>
        <w:t>Vehicle-Related Energy Credits</w:t>
      </w:r>
      <w:r w:rsidR="00E67CED" w:rsidRPr="00E67CED">
        <w:rPr>
          <w:sz w:val="20"/>
          <w:szCs w:val="20"/>
          <w:lang w:val="en-US"/>
        </w:rPr>
        <w:t xml:space="preserve"> [</w:t>
      </w:r>
      <w:r w:rsidRPr="00E67CED">
        <w:rPr>
          <w:sz w:val="20"/>
          <w:szCs w:val="20"/>
        </w:rPr>
        <w:t>I.R.C. §§ 30C and 30D; PATH Act §§ 182 and 183</w:t>
      </w:r>
      <w:r w:rsidR="00E67CED">
        <w:rPr>
          <w:sz w:val="20"/>
          <w:szCs w:val="20"/>
          <w:lang w:val="en-US"/>
        </w:rPr>
        <w:t>]</w:t>
      </w:r>
    </w:p>
    <w:p w14:paraId="15410D2B" w14:textId="43487B40" w:rsidR="00A758CB" w:rsidRPr="00E67CED" w:rsidRDefault="00A758CB" w:rsidP="00D83FFD">
      <w:pPr>
        <w:pStyle w:val="Body"/>
        <w:numPr>
          <w:ilvl w:val="0"/>
          <w:numId w:val="34"/>
        </w:numPr>
        <w:spacing w:before="200"/>
        <w:rPr>
          <w:sz w:val="20"/>
          <w:szCs w:val="20"/>
        </w:rPr>
      </w:pPr>
      <w:r w:rsidRPr="00E67CED">
        <w:rPr>
          <w:sz w:val="20"/>
          <w:szCs w:val="20"/>
        </w:rPr>
        <w:t>Effective for property placed in service in 2015 and 2016</w:t>
      </w:r>
      <w:r w:rsidR="00767A10">
        <w:rPr>
          <w:sz w:val="20"/>
          <w:szCs w:val="20"/>
          <w:lang w:val="en-US"/>
        </w:rPr>
        <w:t>.</w:t>
      </w:r>
    </w:p>
    <w:p w14:paraId="31B67C30" w14:textId="77777777" w:rsidR="00A758CB" w:rsidRPr="00E67CED" w:rsidRDefault="00A758CB" w:rsidP="00D83FFD">
      <w:pPr>
        <w:pStyle w:val="Body"/>
        <w:numPr>
          <w:ilvl w:val="0"/>
          <w:numId w:val="34"/>
        </w:numPr>
        <w:spacing w:before="200"/>
        <w:rPr>
          <w:sz w:val="20"/>
          <w:szCs w:val="20"/>
        </w:rPr>
      </w:pPr>
      <w:r w:rsidRPr="00E67CED">
        <w:rPr>
          <w:sz w:val="20"/>
          <w:szCs w:val="20"/>
        </w:rPr>
        <w:t xml:space="preserve">The 30% credit (limited to $1,000 for </w:t>
      </w:r>
      <w:proofErr w:type="spellStart"/>
      <w:r w:rsidRPr="00E67CED">
        <w:rPr>
          <w:sz w:val="20"/>
          <w:szCs w:val="20"/>
        </w:rPr>
        <w:t>nondepreciable</w:t>
      </w:r>
      <w:proofErr w:type="spellEnd"/>
      <w:r w:rsidRPr="00E67CED">
        <w:rPr>
          <w:sz w:val="20"/>
          <w:szCs w:val="20"/>
        </w:rPr>
        <w:t xml:space="preserve"> property and $30,000 for depreciable property) for the cost of non-hydrogen qualified alternative fuel vehicle refueling property is reinstated for 2015 and 2016. </w:t>
      </w:r>
    </w:p>
    <w:p w14:paraId="40C70418" w14:textId="77777777" w:rsidR="00A758CB" w:rsidRPr="00E67CED" w:rsidRDefault="00A758CB" w:rsidP="00D83FFD">
      <w:pPr>
        <w:pStyle w:val="Body"/>
        <w:numPr>
          <w:ilvl w:val="0"/>
          <w:numId w:val="34"/>
        </w:numPr>
        <w:spacing w:before="200"/>
        <w:rPr>
          <w:sz w:val="20"/>
          <w:szCs w:val="20"/>
        </w:rPr>
      </w:pPr>
      <w:r w:rsidRPr="00E67CED">
        <w:rPr>
          <w:sz w:val="20"/>
          <w:szCs w:val="20"/>
        </w:rPr>
        <w:t>The PATH Act reinstates the qualitied plug-in electric vehicles credit for electric motorcycles acquired in 2015 and 2016 (but not 2014). The credit for electric 3-wheeled vehicles is not extended.</w:t>
      </w:r>
    </w:p>
    <w:p w14:paraId="2DF4F193" w14:textId="77777777" w:rsidR="00A758CB" w:rsidRPr="00E67CED" w:rsidRDefault="00A758CB" w:rsidP="00D83FFD">
      <w:pPr>
        <w:pStyle w:val="ListParagraph"/>
        <w:widowControl w:val="0"/>
        <w:numPr>
          <w:ilvl w:val="0"/>
          <w:numId w:val="25"/>
        </w:numPr>
        <w:tabs>
          <w:tab w:val="decimal" w:pos="180"/>
        </w:tabs>
        <w:spacing w:before="200"/>
        <w:ind w:left="0" w:hanging="274"/>
        <w:contextualSpacing w:val="0"/>
        <w:jc w:val="both"/>
        <w:rPr>
          <w:rFonts w:ascii="Times New Roman" w:hAnsi="Times New Roman"/>
          <w:b/>
          <w:sz w:val="20"/>
          <w:szCs w:val="20"/>
        </w:rPr>
      </w:pPr>
      <w:r w:rsidRPr="00E67CED">
        <w:rPr>
          <w:rFonts w:ascii="Times New Roman" w:hAnsi="Times New Roman"/>
          <w:b/>
          <w:sz w:val="20"/>
          <w:szCs w:val="20"/>
        </w:rPr>
        <w:t>Individual Taxpayer Deductions and Exclusions</w:t>
      </w:r>
    </w:p>
    <w:p w14:paraId="30C48233" w14:textId="77777777" w:rsidR="00A758CB" w:rsidRPr="00E67CED" w:rsidRDefault="00A758CB" w:rsidP="00D83FFD">
      <w:pPr>
        <w:pStyle w:val="Bodynoindent"/>
        <w:keepLines/>
        <w:numPr>
          <w:ilvl w:val="0"/>
          <w:numId w:val="35"/>
        </w:numPr>
        <w:spacing w:before="200"/>
        <w:ind w:left="360"/>
        <w:rPr>
          <w:sz w:val="20"/>
          <w:szCs w:val="20"/>
        </w:rPr>
      </w:pPr>
      <w:r w:rsidRPr="00E67CED">
        <w:rPr>
          <w:sz w:val="20"/>
          <w:szCs w:val="20"/>
        </w:rPr>
        <w:t>Deductions</w:t>
      </w:r>
    </w:p>
    <w:p w14:paraId="5950D6A3" w14:textId="29D112FA" w:rsidR="00A758CB" w:rsidRPr="00E67CED" w:rsidRDefault="00A758CB" w:rsidP="00D83FFD">
      <w:pPr>
        <w:pStyle w:val="Body"/>
        <w:keepLines/>
        <w:numPr>
          <w:ilvl w:val="0"/>
          <w:numId w:val="36"/>
        </w:numPr>
        <w:spacing w:before="200"/>
        <w:rPr>
          <w:sz w:val="20"/>
          <w:szCs w:val="20"/>
        </w:rPr>
      </w:pPr>
      <w:r w:rsidRPr="00E67CED">
        <w:rPr>
          <w:sz w:val="20"/>
          <w:szCs w:val="20"/>
        </w:rPr>
        <w:t>State and Local Sales Taxes</w:t>
      </w:r>
      <w:r w:rsidR="00E67CED" w:rsidRPr="00E67CED">
        <w:rPr>
          <w:sz w:val="20"/>
          <w:szCs w:val="20"/>
          <w:lang w:val="en-US"/>
        </w:rPr>
        <w:t xml:space="preserve"> [</w:t>
      </w:r>
      <w:r w:rsidRPr="00E67CED">
        <w:rPr>
          <w:sz w:val="20"/>
          <w:szCs w:val="20"/>
        </w:rPr>
        <w:t>I.R.C. § 164; PATH Act § 106</w:t>
      </w:r>
      <w:r w:rsidR="00E67CED">
        <w:rPr>
          <w:sz w:val="20"/>
          <w:szCs w:val="20"/>
          <w:lang w:val="en-US"/>
        </w:rPr>
        <w:t>]</w:t>
      </w:r>
    </w:p>
    <w:p w14:paraId="0D4712FE" w14:textId="2800E038" w:rsidR="00A758CB" w:rsidRPr="00E67CED" w:rsidRDefault="00A758CB" w:rsidP="00D83FFD">
      <w:pPr>
        <w:pStyle w:val="RandCStatute"/>
        <w:numPr>
          <w:ilvl w:val="0"/>
          <w:numId w:val="37"/>
        </w:numPr>
        <w:spacing w:before="200" w:after="0"/>
        <w:ind w:left="1080"/>
        <w:rPr>
          <w:sz w:val="20"/>
          <w:szCs w:val="20"/>
        </w:rPr>
      </w:pPr>
      <w:r w:rsidRPr="00E67CED">
        <w:rPr>
          <w:sz w:val="20"/>
          <w:szCs w:val="20"/>
        </w:rPr>
        <w:t>Effective for tax years beginning after December 31, 2014</w:t>
      </w:r>
      <w:r w:rsidR="00E67CED">
        <w:rPr>
          <w:sz w:val="20"/>
          <w:szCs w:val="20"/>
          <w:lang w:val="en-US"/>
        </w:rPr>
        <w:t>.</w:t>
      </w:r>
    </w:p>
    <w:p w14:paraId="5BEDCA87" w14:textId="77777777" w:rsidR="00A758CB" w:rsidRPr="00E67CED" w:rsidRDefault="00A758CB" w:rsidP="00D83FFD">
      <w:pPr>
        <w:pStyle w:val="RandCStatute"/>
        <w:numPr>
          <w:ilvl w:val="0"/>
          <w:numId w:val="37"/>
        </w:numPr>
        <w:spacing w:before="200" w:after="0"/>
        <w:ind w:left="1080"/>
        <w:rPr>
          <w:sz w:val="20"/>
          <w:szCs w:val="20"/>
        </w:rPr>
      </w:pPr>
      <w:r w:rsidRPr="00E67CED">
        <w:rPr>
          <w:sz w:val="20"/>
          <w:szCs w:val="20"/>
        </w:rPr>
        <w:t>Taxpayers who itemize deductions may choose between deducting state and local general sales taxes and deducting state and local income taxes. Alaska, Florida, Nevada, South Dakota, Texas, Washington, and Wyoming do not have a state income tax, but this option can also benefit some residents of other states.</w:t>
      </w:r>
    </w:p>
    <w:p w14:paraId="53F76BA1" w14:textId="2D7E0AF6" w:rsidR="00A758CB" w:rsidRPr="00E67CED" w:rsidRDefault="00A758CB" w:rsidP="00D83FFD">
      <w:pPr>
        <w:pStyle w:val="Body"/>
        <w:keepLines/>
        <w:numPr>
          <w:ilvl w:val="0"/>
          <w:numId w:val="36"/>
        </w:numPr>
        <w:spacing w:before="200"/>
        <w:rPr>
          <w:sz w:val="20"/>
          <w:szCs w:val="20"/>
        </w:rPr>
      </w:pPr>
      <w:r w:rsidRPr="00E67CED">
        <w:rPr>
          <w:sz w:val="20"/>
          <w:szCs w:val="20"/>
        </w:rPr>
        <w:t>Mortgage Insurance Premiums</w:t>
      </w:r>
      <w:r w:rsidR="00E67CED" w:rsidRPr="00E67CED">
        <w:rPr>
          <w:sz w:val="20"/>
          <w:szCs w:val="20"/>
        </w:rPr>
        <w:t xml:space="preserve"> [</w:t>
      </w:r>
      <w:r w:rsidRPr="00E67CED">
        <w:rPr>
          <w:sz w:val="20"/>
          <w:szCs w:val="20"/>
        </w:rPr>
        <w:t>I.R.C. § 163(h)(3)(E); PATH Act § 152</w:t>
      </w:r>
      <w:r w:rsidR="00E67CED" w:rsidRPr="00E67CED">
        <w:rPr>
          <w:sz w:val="20"/>
          <w:szCs w:val="20"/>
        </w:rPr>
        <w:t>]</w:t>
      </w:r>
    </w:p>
    <w:p w14:paraId="55E8F174" w14:textId="325AE5F7" w:rsidR="00A758CB" w:rsidRPr="00E67CED" w:rsidRDefault="00A758CB" w:rsidP="00D83FFD">
      <w:pPr>
        <w:pStyle w:val="RandCStatute"/>
        <w:numPr>
          <w:ilvl w:val="0"/>
          <w:numId w:val="38"/>
        </w:numPr>
        <w:spacing w:before="200" w:after="0"/>
        <w:ind w:left="1080"/>
        <w:rPr>
          <w:sz w:val="20"/>
          <w:szCs w:val="20"/>
        </w:rPr>
      </w:pPr>
      <w:r w:rsidRPr="00E67CED">
        <w:rPr>
          <w:sz w:val="20"/>
          <w:szCs w:val="20"/>
        </w:rPr>
        <w:t>Effective for amounts paid or accrued after December 31, 2014</w:t>
      </w:r>
      <w:r w:rsidR="00E67CED">
        <w:rPr>
          <w:sz w:val="20"/>
          <w:szCs w:val="20"/>
          <w:lang w:val="en-US"/>
        </w:rPr>
        <w:t>.</w:t>
      </w:r>
    </w:p>
    <w:p w14:paraId="3057649F" w14:textId="77777777" w:rsidR="00A758CB" w:rsidRPr="00E67CED" w:rsidRDefault="00A758CB" w:rsidP="00D83FFD">
      <w:pPr>
        <w:pStyle w:val="RandCStatute"/>
        <w:numPr>
          <w:ilvl w:val="0"/>
          <w:numId w:val="38"/>
        </w:numPr>
        <w:spacing w:before="200" w:after="0"/>
        <w:ind w:left="1080"/>
        <w:rPr>
          <w:sz w:val="20"/>
          <w:szCs w:val="20"/>
        </w:rPr>
      </w:pPr>
      <w:r w:rsidRPr="00E67CED">
        <w:rPr>
          <w:sz w:val="20"/>
          <w:szCs w:val="20"/>
        </w:rPr>
        <w:t>The PATH Act extends the deduction for private mortgage insurance premiums for 2 years (with respect to contracts entered into after December 31, 2006). Thus, the extension applies to amounts paid or accrued in 2015 and 2016 (and not properly allocable to any period after 2016).</w:t>
      </w:r>
    </w:p>
    <w:p w14:paraId="7DAD6D17" w14:textId="29C0D181" w:rsidR="00A758CB" w:rsidRPr="009D6BFA" w:rsidRDefault="00A758CB" w:rsidP="00D83FFD">
      <w:pPr>
        <w:pStyle w:val="Body"/>
        <w:keepLines/>
        <w:numPr>
          <w:ilvl w:val="0"/>
          <w:numId w:val="36"/>
        </w:numPr>
        <w:spacing w:before="200"/>
        <w:rPr>
          <w:sz w:val="20"/>
          <w:szCs w:val="20"/>
        </w:rPr>
      </w:pPr>
      <w:r w:rsidRPr="009D6BFA">
        <w:rPr>
          <w:sz w:val="20"/>
          <w:szCs w:val="20"/>
        </w:rPr>
        <w:t>Qualified Conservation Easements</w:t>
      </w:r>
      <w:r w:rsidR="009D6BFA" w:rsidRPr="009D6BFA">
        <w:rPr>
          <w:sz w:val="20"/>
          <w:szCs w:val="20"/>
          <w:lang w:val="en-US"/>
        </w:rPr>
        <w:t xml:space="preserve"> </w:t>
      </w:r>
      <w:r w:rsidR="009D6BFA">
        <w:rPr>
          <w:sz w:val="20"/>
          <w:szCs w:val="20"/>
          <w:lang w:val="en-US"/>
        </w:rPr>
        <w:t>[</w:t>
      </w:r>
      <w:r w:rsidRPr="009D6BFA">
        <w:rPr>
          <w:sz w:val="20"/>
          <w:szCs w:val="20"/>
        </w:rPr>
        <w:t>I.R.C. § 170(b); PATH § 111</w:t>
      </w:r>
      <w:r w:rsidR="009D6BFA">
        <w:rPr>
          <w:sz w:val="20"/>
          <w:szCs w:val="20"/>
          <w:lang w:val="en-US"/>
        </w:rPr>
        <w:t>]</w:t>
      </w:r>
    </w:p>
    <w:p w14:paraId="013EFFA6" w14:textId="1DD2C5C5" w:rsidR="00A758CB" w:rsidRPr="009D6BFA" w:rsidRDefault="00A758CB" w:rsidP="00D83FFD">
      <w:pPr>
        <w:pStyle w:val="RandCStatute"/>
        <w:numPr>
          <w:ilvl w:val="0"/>
          <w:numId w:val="39"/>
        </w:numPr>
        <w:spacing w:before="200" w:after="0"/>
        <w:ind w:left="1080"/>
        <w:rPr>
          <w:sz w:val="20"/>
          <w:szCs w:val="20"/>
        </w:rPr>
      </w:pPr>
      <w:r w:rsidRPr="009D6BFA">
        <w:rPr>
          <w:sz w:val="20"/>
          <w:szCs w:val="20"/>
        </w:rPr>
        <w:t>Generally effective for contributions made in tax years beginning after December 31, 2014; the modification for contributions by certain Native Corporations is effective for contributions made in tax years beginning after December 31, 2015</w:t>
      </w:r>
      <w:r w:rsidR="00767A10">
        <w:rPr>
          <w:sz w:val="20"/>
          <w:szCs w:val="20"/>
          <w:lang w:val="en-US"/>
        </w:rPr>
        <w:t>.</w:t>
      </w:r>
    </w:p>
    <w:p w14:paraId="43E0DB11" w14:textId="14AE597F" w:rsidR="009E103A" w:rsidRDefault="00AB77CD" w:rsidP="00D83FFD">
      <w:pPr>
        <w:pStyle w:val="RandCStatute"/>
        <w:numPr>
          <w:ilvl w:val="0"/>
          <w:numId w:val="39"/>
        </w:numPr>
        <w:spacing w:before="200" w:after="0"/>
        <w:ind w:left="1080"/>
        <w:rPr>
          <w:sz w:val="20"/>
          <w:szCs w:val="20"/>
        </w:rPr>
      </w:pPr>
      <w:r>
        <w:rPr>
          <w:sz w:val="20"/>
          <w:szCs w:val="20"/>
          <w:lang w:val="en-US"/>
        </w:rPr>
        <w:t>Qualified f</w:t>
      </w:r>
      <w:proofErr w:type="spellStart"/>
      <w:r w:rsidR="00A758CB" w:rsidRPr="009D6BFA">
        <w:rPr>
          <w:sz w:val="20"/>
          <w:szCs w:val="20"/>
        </w:rPr>
        <w:t>armers</w:t>
      </w:r>
      <w:proofErr w:type="spellEnd"/>
      <w:r w:rsidR="00A758CB" w:rsidRPr="009D6BFA">
        <w:rPr>
          <w:sz w:val="20"/>
          <w:szCs w:val="20"/>
        </w:rPr>
        <w:t xml:space="preserve"> and ranchers who enter into qualified conservation easements continue to be eligible to deduct the easement’s value up to 100% of their contribution base (generally, their AGI), with a 15-year carryover period.</w:t>
      </w:r>
    </w:p>
    <w:p w14:paraId="68C19469" w14:textId="2EAF6B1D" w:rsidR="009E103A" w:rsidRDefault="00A758CB" w:rsidP="00D83FFD">
      <w:pPr>
        <w:pStyle w:val="RandCStatute"/>
        <w:numPr>
          <w:ilvl w:val="0"/>
          <w:numId w:val="40"/>
        </w:numPr>
        <w:spacing w:before="200" w:after="0"/>
        <w:ind w:left="1440" w:hanging="360"/>
        <w:rPr>
          <w:sz w:val="20"/>
          <w:szCs w:val="20"/>
        </w:rPr>
      </w:pPr>
      <w:r w:rsidRPr="009D6BFA">
        <w:rPr>
          <w:sz w:val="20"/>
          <w:szCs w:val="20"/>
        </w:rPr>
        <w:t>Other individuals have a 50% limitation, with the same 15-year carryover.</w:t>
      </w:r>
    </w:p>
    <w:p w14:paraId="48D26E89" w14:textId="24790E04" w:rsidR="00A758CB" w:rsidRDefault="00A758CB" w:rsidP="00D83FFD">
      <w:pPr>
        <w:pStyle w:val="RandCStatute"/>
        <w:numPr>
          <w:ilvl w:val="0"/>
          <w:numId w:val="40"/>
        </w:numPr>
        <w:spacing w:before="200" w:after="0"/>
        <w:ind w:left="1440" w:hanging="360"/>
        <w:rPr>
          <w:sz w:val="20"/>
          <w:szCs w:val="20"/>
        </w:rPr>
      </w:pPr>
      <w:r w:rsidRPr="009D6BFA">
        <w:rPr>
          <w:sz w:val="20"/>
          <w:szCs w:val="20"/>
        </w:rPr>
        <w:t>Without the PATH Act changes, all donors would have a 30% limitation and a 5-year carryover period for contributions in 2015 and thereafter.</w:t>
      </w:r>
    </w:p>
    <w:p w14:paraId="628AC596" w14:textId="44983966" w:rsidR="00AB77CD" w:rsidRPr="00AB77CD" w:rsidRDefault="00AB77CD" w:rsidP="00AB77CD">
      <w:pPr>
        <w:pStyle w:val="Example"/>
        <w:rPr>
          <w:sz w:val="20"/>
          <w:szCs w:val="20"/>
          <w:lang w:val="en-US"/>
        </w:rPr>
      </w:pPr>
      <w:r w:rsidRPr="00AB77CD">
        <w:rPr>
          <w:sz w:val="20"/>
          <w:szCs w:val="20"/>
        </w:rPr>
        <w:lastRenderedPageBreak/>
        <w:t xml:space="preserve">Example </w:t>
      </w:r>
      <w:r w:rsidR="00E24EC1">
        <w:rPr>
          <w:sz w:val="20"/>
          <w:szCs w:val="20"/>
          <w:lang w:val="en-US"/>
        </w:rPr>
        <w:t>1</w:t>
      </w:r>
      <w:r w:rsidRPr="00AB77CD">
        <w:rPr>
          <w:sz w:val="20"/>
          <w:szCs w:val="20"/>
          <w:lang w:val="en-US"/>
        </w:rPr>
        <w:t>.</w:t>
      </w:r>
      <w:r w:rsidRPr="00AB77CD">
        <w:rPr>
          <w:sz w:val="20"/>
          <w:szCs w:val="20"/>
        </w:rPr>
        <w:t xml:space="preserve"> </w:t>
      </w:r>
      <w:r>
        <w:rPr>
          <w:sz w:val="20"/>
          <w:szCs w:val="20"/>
          <w:lang w:val="en-US"/>
        </w:rPr>
        <w:t>Charitable Contribution Limit</w:t>
      </w:r>
    </w:p>
    <w:p w14:paraId="00CB0807" w14:textId="24596125" w:rsidR="00AB77CD" w:rsidRDefault="005B6BB4" w:rsidP="00AB77CD">
      <w:pPr>
        <w:pStyle w:val="Bodynoindent"/>
        <w:rPr>
          <w:sz w:val="20"/>
          <w:szCs w:val="20"/>
          <w:lang w:val="en-US"/>
        </w:rPr>
      </w:pPr>
      <w:r>
        <w:rPr>
          <w:sz w:val="20"/>
          <w:szCs w:val="20"/>
          <w:lang w:val="en-US"/>
        </w:rPr>
        <w:t>Barb and Guy Wire</w:t>
      </w:r>
      <w:r w:rsidR="00AB77CD" w:rsidRPr="00AB77CD">
        <w:rPr>
          <w:sz w:val="20"/>
          <w:szCs w:val="20"/>
        </w:rPr>
        <w:t xml:space="preserve"> are married and </w:t>
      </w:r>
      <w:r>
        <w:rPr>
          <w:sz w:val="20"/>
          <w:szCs w:val="20"/>
          <w:lang w:val="en-US"/>
        </w:rPr>
        <w:t>have $1</w:t>
      </w:r>
      <w:r w:rsidR="007B7B09">
        <w:rPr>
          <w:sz w:val="20"/>
          <w:szCs w:val="20"/>
          <w:lang w:val="en-US"/>
        </w:rPr>
        <w:t>10</w:t>
      </w:r>
      <w:r>
        <w:rPr>
          <w:sz w:val="20"/>
          <w:szCs w:val="20"/>
          <w:lang w:val="en-US"/>
        </w:rPr>
        <w:t>,000 of AGI on their</w:t>
      </w:r>
      <w:r w:rsidR="00AB77CD" w:rsidRPr="00AB77CD">
        <w:rPr>
          <w:sz w:val="20"/>
          <w:szCs w:val="20"/>
        </w:rPr>
        <w:t xml:space="preserve"> joint return </w:t>
      </w:r>
      <w:r w:rsidR="007B7B09">
        <w:rPr>
          <w:sz w:val="20"/>
          <w:szCs w:val="20"/>
          <w:lang w:val="en-US"/>
        </w:rPr>
        <w:t>every year and donate $10,000 to qualified charities every year</w:t>
      </w:r>
      <w:r w:rsidR="00AB77CD" w:rsidRPr="00AB77CD">
        <w:rPr>
          <w:sz w:val="20"/>
          <w:szCs w:val="20"/>
        </w:rPr>
        <w:t xml:space="preserve">. </w:t>
      </w:r>
      <w:r>
        <w:rPr>
          <w:sz w:val="20"/>
          <w:szCs w:val="20"/>
          <w:lang w:val="en-US"/>
        </w:rPr>
        <w:t xml:space="preserve">During 2016 they </w:t>
      </w:r>
      <w:r w:rsidR="007B7B09">
        <w:rPr>
          <w:sz w:val="20"/>
          <w:szCs w:val="20"/>
          <w:lang w:val="en-US"/>
        </w:rPr>
        <w:t xml:space="preserve">also </w:t>
      </w:r>
      <w:r>
        <w:rPr>
          <w:sz w:val="20"/>
          <w:szCs w:val="20"/>
          <w:lang w:val="en-US"/>
        </w:rPr>
        <w:t>donated a $400,000 qualified conservation easement to their local land trust commission.</w:t>
      </w:r>
    </w:p>
    <w:p w14:paraId="66EED1D0" w14:textId="1ABD4D44" w:rsidR="005B6BB4" w:rsidRPr="007B7B09" w:rsidRDefault="005B6BB4" w:rsidP="005B6BB4">
      <w:pPr>
        <w:pStyle w:val="Body"/>
        <w:rPr>
          <w:sz w:val="20"/>
          <w:szCs w:val="20"/>
          <w:lang w:val="en-US"/>
        </w:rPr>
      </w:pPr>
      <w:r w:rsidRPr="007B7B09">
        <w:rPr>
          <w:sz w:val="20"/>
          <w:szCs w:val="20"/>
          <w:lang w:val="en-US"/>
        </w:rPr>
        <w:t xml:space="preserve">If Barb and Guy are qualified farmers, they can claim </w:t>
      </w:r>
      <w:proofErr w:type="gramStart"/>
      <w:r w:rsidRPr="007B7B09">
        <w:rPr>
          <w:sz w:val="20"/>
          <w:szCs w:val="20"/>
          <w:lang w:val="en-US"/>
        </w:rPr>
        <w:t>a</w:t>
      </w:r>
      <w:proofErr w:type="gramEnd"/>
      <w:r w:rsidRPr="007B7B09">
        <w:rPr>
          <w:sz w:val="20"/>
          <w:szCs w:val="20"/>
          <w:lang w:val="en-US"/>
        </w:rPr>
        <w:t xml:space="preserve"> $1</w:t>
      </w:r>
      <w:r w:rsidR="007B7B09">
        <w:rPr>
          <w:sz w:val="20"/>
          <w:szCs w:val="20"/>
          <w:lang w:val="en-US"/>
        </w:rPr>
        <w:t>10</w:t>
      </w:r>
      <w:r w:rsidRPr="007B7B09">
        <w:rPr>
          <w:sz w:val="20"/>
          <w:szCs w:val="20"/>
          <w:lang w:val="en-US"/>
        </w:rPr>
        <w:t xml:space="preserve">,000 </w:t>
      </w:r>
      <w:r w:rsidR="007B7B09">
        <w:rPr>
          <w:sz w:val="20"/>
          <w:szCs w:val="20"/>
          <w:lang w:val="en-US"/>
        </w:rPr>
        <w:t xml:space="preserve">(100% of $110,000) </w:t>
      </w:r>
      <w:r w:rsidRPr="007B7B09">
        <w:rPr>
          <w:sz w:val="20"/>
          <w:szCs w:val="20"/>
          <w:lang w:val="en-US"/>
        </w:rPr>
        <w:t xml:space="preserve">charitable contribution deduction on their 2016 income tax return and carry the remaining $300,000 </w:t>
      </w:r>
      <w:r w:rsidR="007B7B09">
        <w:rPr>
          <w:sz w:val="20"/>
          <w:szCs w:val="20"/>
          <w:lang w:val="en-US"/>
        </w:rPr>
        <w:t xml:space="preserve">($410,000 – $110,000) </w:t>
      </w:r>
      <w:r w:rsidRPr="007B7B09">
        <w:rPr>
          <w:sz w:val="20"/>
          <w:szCs w:val="20"/>
          <w:lang w:val="en-US"/>
        </w:rPr>
        <w:t xml:space="preserve">forward for 15 years subject to the 100% of AGI limit in those years. </w:t>
      </w:r>
      <w:r w:rsidR="007B7B09">
        <w:rPr>
          <w:sz w:val="20"/>
          <w:szCs w:val="20"/>
          <w:lang w:val="en-US"/>
        </w:rPr>
        <w:t xml:space="preserve">Therefore, they can deduct their $10,000 charitable contribution and $100,000 of the carryover in each of the next 3 years. </w:t>
      </w:r>
    </w:p>
    <w:p w14:paraId="7EE3AB13" w14:textId="77777777" w:rsidR="00E8513E" w:rsidRDefault="007B7B09" w:rsidP="007B7B09">
      <w:pPr>
        <w:pStyle w:val="Body"/>
        <w:rPr>
          <w:sz w:val="20"/>
          <w:szCs w:val="20"/>
          <w:lang w:val="en-US"/>
        </w:rPr>
      </w:pPr>
      <w:r w:rsidRPr="007B7B09">
        <w:rPr>
          <w:sz w:val="20"/>
          <w:szCs w:val="20"/>
          <w:lang w:val="en-US"/>
        </w:rPr>
        <w:t xml:space="preserve">If Barb and Guy are </w:t>
      </w:r>
      <w:r>
        <w:rPr>
          <w:sz w:val="20"/>
          <w:szCs w:val="20"/>
          <w:lang w:val="en-US"/>
        </w:rPr>
        <w:t xml:space="preserve">not </w:t>
      </w:r>
      <w:r w:rsidRPr="007B7B09">
        <w:rPr>
          <w:sz w:val="20"/>
          <w:szCs w:val="20"/>
          <w:lang w:val="en-US"/>
        </w:rPr>
        <w:t>qualified farmers, they can claim a</w:t>
      </w:r>
      <w:r>
        <w:rPr>
          <w:sz w:val="20"/>
          <w:szCs w:val="20"/>
          <w:lang w:val="en-US"/>
        </w:rPr>
        <w:t xml:space="preserve"> $5</w:t>
      </w:r>
      <w:r w:rsidRPr="007B7B09">
        <w:rPr>
          <w:sz w:val="20"/>
          <w:szCs w:val="20"/>
          <w:lang w:val="en-US"/>
        </w:rPr>
        <w:t xml:space="preserve">5,000 </w:t>
      </w:r>
      <w:r w:rsidR="00E8513E">
        <w:rPr>
          <w:sz w:val="20"/>
          <w:szCs w:val="20"/>
          <w:lang w:val="en-US"/>
        </w:rPr>
        <w:t xml:space="preserve">(50% of $110,000) </w:t>
      </w:r>
      <w:r w:rsidRPr="007B7B09">
        <w:rPr>
          <w:sz w:val="20"/>
          <w:szCs w:val="20"/>
          <w:lang w:val="en-US"/>
        </w:rPr>
        <w:t>charitable contribution deduction on their 2016 income tax return and carry the remaining $3</w:t>
      </w:r>
      <w:r w:rsidR="00E8513E">
        <w:rPr>
          <w:sz w:val="20"/>
          <w:szCs w:val="20"/>
          <w:lang w:val="en-US"/>
        </w:rPr>
        <w:t>55</w:t>
      </w:r>
      <w:r w:rsidRPr="007B7B09">
        <w:rPr>
          <w:sz w:val="20"/>
          <w:szCs w:val="20"/>
          <w:lang w:val="en-US"/>
        </w:rPr>
        <w:t xml:space="preserve">,000 </w:t>
      </w:r>
      <w:r>
        <w:rPr>
          <w:sz w:val="20"/>
          <w:szCs w:val="20"/>
          <w:lang w:val="en-US"/>
        </w:rPr>
        <w:t>($4</w:t>
      </w:r>
      <w:r w:rsidR="00E8513E">
        <w:rPr>
          <w:sz w:val="20"/>
          <w:szCs w:val="20"/>
          <w:lang w:val="en-US"/>
        </w:rPr>
        <w:t>10</w:t>
      </w:r>
      <w:r>
        <w:rPr>
          <w:sz w:val="20"/>
          <w:szCs w:val="20"/>
          <w:lang w:val="en-US"/>
        </w:rPr>
        <w:t>,000 – $</w:t>
      </w:r>
      <w:r w:rsidR="00E8513E">
        <w:rPr>
          <w:sz w:val="20"/>
          <w:szCs w:val="20"/>
          <w:lang w:val="en-US"/>
        </w:rPr>
        <w:t>5</w:t>
      </w:r>
      <w:r>
        <w:rPr>
          <w:sz w:val="20"/>
          <w:szCs w:val="20"/>
          <w:lang w:val="en-US"/>
        </w:rPr>
        <w:t xml:space="preserve">5,000) </w:t>
      </w:r>
      <w:r w:rsidRPr="007B7B09">
        <w:rPr>
          <w:sz w:val="20"/>
          <w:szCs w:val="20"/>
          <w:lang w:val="en-US"/>
        </w:rPr>
        <w:t xml:space="preserve">forward for 15 years subject to the </w:t>
      </w:r>
      <w:r w:rsidR="00E8513E">
        <w:rPr>
          <w:sz w:val="20"/>
          <w:szCs w:val="20"/>
          <w:lang w:val="en-US"/>
        </w:rPr>
        <w:t>50</w:t>
      </w:r>
      <w:r w:rsidRPr="007B7B09">
        <w:rPr>
          <w:sz w:val="20"/>
          <w:szCs w:val="20"/>
          <w:lang w:val="en-US"/>
        </w:rPr>
        <w:t xml:space="preserve">% of AGI limit in those years. </w:t>
      </w:r>
      <w:r w:rsidR="00E8513E">
        <w:rPr>
          <w:sz w:val="20"/>
          <w:szCs w:val="20"/>
          <w:lang w:val="en-US"/>
        </w:rPr>
        <w:t>Therefore, they can deduct their $10,000 charitable contribution and $45,000 of the carryover in each of the next 7 years and the remaining $40,000 [$355,000 – ($45,000 × 7 years)] in the 8</w:t>
      </w:r>
      <w:r w:rsidR="00E8513E" w:rsidRPr="00E8513E">
        <w:rPr>
          <w:sz w:val="20"/>
          <w:szCs w:val="20"/>
          <w:vertAlign w:val="superscript"/>
          <w:lang w:val="en-US"/>
        </w:rPr>
        <w:t>th</w:t>
      </w:r>
      <w:r w:rsidR="00E8513E">
        <w:rPr>
          <w:sz w:val="20"/>
          <w:szCs w:val="20"/>
          <w:lang w:val="en-US"/>
        </w:rPr>
        <w:t xml:space="preserve"> year.</w:t>
      </w:r>
    </w:p>
    <w:p w14:paraId="1DAD94EE" w14:textId="0283E2FF" w:rsidR="00E8513E" w:rsidRDefault="00E8513E" w:rsidP="00E8513E">
      <w:pPr>
        <w:pStyle w:val="Body"/>
        <w:rPr>
          <w:sz w:val="20"/>
          <w:szCs w:val="20"/>
          <w:lang w:val="en-US"/>
        </w:rPr>
      </w:pPr>
      <w:r>
        <w:rPr>
          <w:sz w:val="20"/>
          <w:szCs w:val="20"/>
          <w:lang w:val="en-US"/>
        </w:rPr>
        <w:t>Without the PATH Act changes, Barb and Guy could</w:t>
      </w:r>
      <w:r w:rsidRPr="00E8513E">
        <w:rPr>
          <w:sz w:val="20"/>
          <w:szCs w:val="20"/>
          <w:lang w:val="en-US"/>
        </w:rPr>
        <w:t xml:space="preserve"> </w:t>
      </w:r>
      <w:r w:rsidRPr="007B7B09">
        <w:rPr>
          <w:sz w:val="20"/>
          <w:szCs w:val="20"/>
          <w:lang w:val="en-US"/>
        </w:rPr>
        <w:t>claim a</w:t>
      </w:r>
      <w:r>
        <w:rPr>
          <w:sz w:val="20"/>
          <w:szCs w:val="20"/>
          <w:lang w:val="en-US"/>
        </w:rPr>
        <w:t xml:space="preserve"> $33</w:t>
      </w:r>
      <w:r w:rsidRPr="007B7B09">
        <w:rPr>
          <w:sz w:val="20"/>
          <w:szCs w:val="20"/>
          <w:lang w:val="en-US"/>
        </w:rPr>
        <w:t xml:space="preserve">,000 </w:t>
      </w:r>
      <w:r>
        <w:rPr>
          <w:sz w:val="20"/>
          <w:szCs w:val="20"/>
          <w:lang w:val="en-US"/>
        </w:rPr>
        <w:t xml:space="preserve">(30% of $110,000) </w:t>
      </w:r>
      <w:r w:rsidRPr="007B7B09">
        <w:rPr>
          <w:sz w:val="20"/>
          <w:szCs w:val="20"/>
          <w:lang w:val="en-US"/>
        </w:rPr>
        <w:t>charitable contribution deduction on their 2016 income tax return and carry the remaining $3</w:t>
      </w:r>
      <w:r>
        <w:rPr>
          <w:sz w:val="20"/>
          <w:szCs w:val="20"/>
          <w:lang w:val="en-US"/>
        </w:rPr>
        <w:t>77</w:t>
      </w:r>
      <w:r w:rsidRPr="007B7B09">
        <w:rPr>
          <w:sz w:val="20"/>
          <w:szCs w:val="20"/>
          <w:lang w:val="en-US"/>
        </w:rPr>
        <w:t xml:space="preserve">,000 </w:t>
      </w:r>
      <w:r>
        <w:rPr>
          <w:sz w:val="20"/>
          <w:szCs w:val="20"/>
          <w:lang w:val="en-US"/>
        </w:rPr>
        <w:t xml:space="preserve">($410,000 – $33,000) </w:t>
      </w:r>
      <w:r w:rsidRPr="007B7B09">
        <w:rPr>
          <w:sz w:val="20"/>
          <w:szCs w:val="20"/>
          <w:lang w:val="en-US"/>
        </w:rPr>
        <w:t xml:space="preserve">forward for 5 years subject to the </w:t>
      </w:r>
      <w:r>
        <w:rPr>
          <w:sz w:val="20"/>
          <w:szCs w:val="20"/>
          <w:lang w:val="en-US"/>
        </w:rPr>
        <w:t>0</w:t>
      </w:r>
      <w:r w:rsidRPr="007B7B09">
        <w:rPr>
          <w:sz w:val="20"/>
          <w:szCs w:val="20"/>
          <w:lang w:val="en-US"/>
        </w:rPr>
        <w:t xml:space="preserve">% of AGI limit in those years. </w:t>
      </w:r>
      <w:r>
        <w:rPr>
          <w:sz w:val="20"/>
          <w:szCs w:val="20"/>
          <w:lang w:val="en-US"/>
        </w:rPr>
        <w:t>Therefore, they could deduct their $10,000 charitable contribution and $23,000 of the carryover in each of the next 5 years. They could never deduct remaining $262,000 [$377,000 – ($23,000 × 5 years)].</w:t>
      </w:r>
    </w:p>
    <w:p w14:paraId="0F143FC8" w14:textId="77777777" w:rsidR="00E8513E" w:rsidRPr="00AB77CD" w:rsidRDefault="00E8513E" w:rsidP="00E8513E">
      <w:pPr>
        <w:keepNext/>
        <w:keepLines/>
        <w:jc w:val="center"/>
        <w:rPr>
          <w:sz w:val="20"/>
          <w:szCs w:val="20"/>
        </w:rPr>
      </w:pPr>
      <w:r w:rsidRPr="00AB77CD">
        <w:rPr>
          <w:sz w:val="20"/>
          <w:szCs w:val="20"/>
        </w:rPr>
        <w:t>______________________________</w:t>
      </w:r>
    </w:p>
    <w:p w14:paraId="64BE103E" w14:textId="77777777" w:rsidR="00AB77CD" w:rsidRPr="00AB77CD" w:rsidRDefault="00AB77CD" w:rsidP="00D83FFD">
      <w:pPr>
        <w:pStyle w:val="RandCStatute"/>
        <w:numPr>
          <w:ilvl w:val="0"/>
          <w:numId w:val="39"/>
        </w:numPr>
        <w:spacing w:before="200" w:after="0"/>
        <w:ind w:left="1080"/>
        <w:rPr>
          <w:sz w:val="20"/>
          <w:szCs w:val="20"/>
          <w:lang w:val="en-US"/>
        </w:rPr>
      </w:pPr>
      <w:r w:rsidRPr="00AB77CD">
        <w:rPr>
          <w:sz w:val="20"/>
          <w:szCs w:val="20"/>
          <w:lang w:val="en-US"/>
        </w:rPr>
        <w:t xml:space="preserve">The term qualified farmer or rancher for this provision means a taxpayer whose gross income from the trade or business of farming is greater than 50% of the taxpayer’s total gross income for the tax year. Farming is defined by reference to the estate tax special-use-valuation election (Notice 2007-50, 2007-25 I.R.B. 1430). It includes </w:t>
      </w:r>
    </w:p>
    <w:p w14:paraId="6A81FFE6" w14:textId="77777777" w:rsidR="00AB77CD" w:rsidRPr="00AB77CD" w:rsidRDefault="00AB77CD" w:rsidP="00D83FFD">
      <w:pPr>
        <w:pStyle w:val="RandCStatute"/>
        <w:numPr>
          <w:ilvl w:val="0"/>
          <w:numId w:val="82"/>
        </w:numPr>
        <w:spacing w:before="200" w:after="0"/>
        <w:ind w:left="1440" w:hanging="360"/>
        <w:rPr>
          <w:sz w:val="20"/>
          <w:szCs w:val="20"/>
        </w:rPr>
      </w:pPr>
      <w:r w:rsidRPr="00AB77CD">
        <w:rPr>
          <w:sz w:val="20"/>
          <w:szCs w:val="20"/>
        </w:rPr>
        <w:t>Cultivating the soil, or raising or harvesting any agricultural or horticultural commodity (including the raising, shearing, feeding, caring for, training, and management of animals) on a farm</w:t>
      </w:r>
    </w:p>
    <w:p w14:paraId="1843118B" w14:textId="77777777" w:rsidR="00AB77CD" w:rsidRPr="00AB77CD" w:rsidRDefault="00AB77CD" w:rsidP="00D83FFD">
      <w:pPr>
        <w:pStyle w:val="RandCStatute"/>
        <w:numPr>
          <w:ilvl w:val="0"/>
          <w:numId w:val="82"/>
        </w:numPr>
        <w:spacing w:before="200" w:after="0"/>
        <w:ind w:left="1440" w:hanging="360"/>
        <w:rPr>
          <w:sz w:val="20"/>
          <w:szCs w:val="20"/>
        </w:rPr>
      </w:pPr>
      <w:r w:rsidRPr="00AB77CD">
        <w:rPr>
          <w:sz w:val="20"/>
          <w:szCs w:val="20"/>
        </w:rPr>
        <w:t>Handling, drying, packing, grading, or storing on a farm any agricultural or horticultural commodity in its unmanufactured state, but only if the owner, tenant, or operator of the farm regularly produces more than half of the commodity</w:t>
      </w:r>
    </w:p>
    <w:p w14:paraId="6004C60E" w14:textId="77777777" w:rsidR="00AB77CD" w:rsidRPr="00AB77CD" w:rsidRDefault="00AB77CD" w:rsidP="00D83FFD">
      <w:pPr>
        <w:pStyle w:val="RandCStatute"/>
        <w:numPr>
          <w:ilvl w:val="0"/>
          <w:numId w:val="82"/>
        </w:numPr>
        <w:spacing w:before="200" w:after="0"/>
        <w:ind w:left="1440" w:hanging="360"/>
        <w:rPr>
          <w:sz w:val="20"/>
          <w:szCs w:val="20"/>
        </w:rPr>
      </w:pPr>
      <w:r w:rsidRPr="00AB77CD">
        <w:rPr>
          <w:sz w:val="20"/>
          <w:szCs w:val="20"/>
        </w:rPr>
        <w:t>Planting, cultivating, caring for, or cutting trees, or the preparation (other than milling) of trees for market [I.R.C. § 2032A(e)(5)]</w:t>
      </w:r>
    </w:p>
    <w:p w14:paraId="322EE8A5" w14:textId="7BBF71D7" w:rsidR="00AB77CD" w:rsidRPr="00AB77CD" w:rsidRDefault="00AB77CD" w:rsidP="00AB77CD">
      <w:pPr>
        <w:pStyle w:val="Example"/>
        <w:rPr>
          <w:sz w:val="20"/>
          <w:szCs w:val="20"/>
        </w:rPr>
      </w:pPr>
      <w:r w:rsidRPr="00AB77CD">
        <w:rPr>
          <w:sz w:val="20"/>
          <w:szCs w:val="20"/>
        </w:rPr>
        <w:t xml:space="preserve">Example </w:t>
      </w:r>
      <w:r w:rsidR="00E24EC1">
        <w:rPr>
          <w:sz w:val="20"/>
          <w:szCs w:val="20"/>
          <w:lang w:val="en-US"/>
        </w:rPr>
        <w:t>2</w:t>
      </w:r>
      <w:r w:rsidRPr="00AB77CD">
        <w:rPr>
          <w:sz w:val="20"/>
          <w:szCs w:val="20"/>
          <w:lang w:val="en-US"/>
        </w:rPr>
        <w:t>.</w:t>
      </w:r>
      <w:r w:rsidRPr="00AB77CD">
        <w:rPr>
          <w:sz w:val="20"/>
          <w:szCs w:val="20"/>
        </w:rPr>
        <w:t xml:space="preserve"> Gross Income from Farming</w:t>
      </w:r>
    </w:p>
    <w:p w14:paraId="4C9FC873" w14:textId="234FDADF" w:rsidR="00AB77CD" w:rsidRPr="00AB77CD" w:rsidRDefault="00AB77CD" w:rsidP="00AB77CD">
      <w:pPr>
        <w:pStyle w:val="Bodynoindent"/>
        <w:rPr>
          <w:sz w:val="20"/>
          <w:szCs w:val="20"/>
        </w:rPr>
      </w:pPr>
      <w:r w:rsidRPr="00AB77CD">
        <w:rPr>
          <w:sz w:val="20"/>
          <w:szCs w:val="20"/>
        </w:rPr>
        <w:t>Hugh and Alice Ryder are married and file a joint return for 20</w:t>
      </w:r>
      <w:r w:rsidRPr="00AB77CD">
        <w:rPr>
          <w:sz w:val="20"/>
          <w:szCs w:val="20"/>
          <w:lang w:val="en-US"/>
        </w:rPr>
        <w:t>1</w:t>
      </w:r>
      <w:r>
        <w:rPr>
          <w:sz w:val="20"/>
          <w:szCs w:val="20"/>
          <w:lang w:val="en-US"/>
        </w:rPr>
        <w:t>6</w:t>
      </w:r>
      <w:r w:rsidRPr="00AB77CD">
        <w:rPr>
          <w:sz w:val="20"/>
          <w:szCs w:val="20"/>
        </w:rPr>
        <w:t xml:space="preserve">. Hugh earned a $45,000 off-farm salary, and they have $1,200 of interest income, a $2,500 capital loss on the sale of stock, a $4,000 gain on the sale of a raised mare used for breeding, and a $3,500 ordinary gain on the sale of a used tractor. Their farm income on line </w:t>
      </w:r>
      <w:r w:rsidRPr="00AB77CD">
        <w:rPr>
          <w:sz w:val="20"/>
          <w:szCs w:val="20"/>
          <w:lang w:val="en-US"/>
        </w:rPr>
        <w:t>9</w:t>
      </w:r>
      <w:r w:rsidRPr="00AB77CD">
        <w:rPr>
          <w:sz w:val="20"/>
          <w:szCs w:val="20"/>
        </w:rPr>
        <w:t xml:space="preserve"> of Schedule F (Form 1040) is $40,000 from the sale of crops from their land, and they sold $65,000 of timber. </w:t>
      </w:r>
      <w:r w:rsidRPr="00AB77CD">
        <w:rPr>
          <w:b/>
          <w:sz w:val="20"/>
          <w:szCs w:val="20"/>
        </w:rPr>
        <w:t xml:space="preserve">Figure </w:t>
      </w:r>
      <w:r w:rsidR="00E24EC1">
        <w:rPr>
          <w:b/>
          <w:sz w:val="20"/>
          <w:szCs w:val="20"/>
          <w:lang w:val="en-US"/>
        </w:rPr>
        <w:t>2</w:t>
      </w:r>
      <w:r w:rsidRPr="00AB77CD">
        <w:rPr>
          <w:sz w:val="20"/>
          <w:szCs w:val="20"/>
        </w:rPr>
        <w:t xml:space="preserve"> shows their tax return income, their total gross income, and their gross income from farming.</w:t>
      </w:r>
    </w:p>
    <w:p w14:paraId="28D9BAB2" w14:textId="7BF0DFCA" w:rsidR="00AB77CD" w:rsidRPr="00AB77CD" w:rsidRDefault="00AB77CD" w:rsidP="00AB77CD">
      <w:pPr>
        <w:ind w:firstLine="360"/>
        <w:jc w:val="both"/>
        <w:rPr>
          <w:sz w:val="20"/>
          <w:szCs w:val="20"/>
        </w:rPr>
      </w:pPr>
      <w:r w:rsidRPr="00AB77CD">
        <w:rPr>
          <w:sz w:val="20"/>
          <w:szCs w:val="20"/>
        </w:rPr>
        <w:t xml:space="preserve">As indicated in Figure </w:t>
      </w:r>
      <w:r w:rsidR="00E24EC1">
        <w:rPr>
          <w:sz w:val="20"/>
          <w:szCs w:val="20"/>
        </w:rPr>
        <w:t>2</w:t>
      </w:r>
      <w:r w:rsidRPr="00AB77CD">
        <w:rPr>
          <w:sz w:val="20"/>
          <w:szCs w:val="20"/>
        </w:rPr>
        <w:t>, the $2,500 capital loss is not included in gross income. The $3,500 I.R.C. § 1245 depreciation recapture gain from the tractor sale is included in total gross income, but it is not gross income from farming.</w:t>
      </w:r>
    </w:p>
    <w:p w14:paraId="43DC0D1D" w14:textId="77777777" w:rsidR="00AB77CD" w:rsidRPr="00AB77CD" w:rsidRDefault="00AB77CD" w:rsidP="00AB77CD">
      <w:pPr>
        <w:ind w:firstLine="360"/>
        <w:jc w:val="both"/>
        <w:rPr>
          <w:sz w:val="20"/>
          <w:szCs w:val="20"/>
        </w:rPr>
      </w:pPr>
      <w:r w:rsidRPr="00AB77CD">
        <w:rPr>
          <w:sz w:val="20"/>
          <w:szCs w:val="20"/>
        </w:rPr>
        <w:t>If the timber proceeds were not gross income from farming, Hugh and Alice would have only $44,000 of gross farm income [$40,000 from Schedule F (Form 1040) and $4,000 from the sale of the mare], and less than 50% of their total gross income would be from farming. However, I.R.C. § </w:t>
      </w:r>
      <w:proofErr w:type="gramStart"/>
      <w:r w:rsidRPr="00AB77CD">
        <w:rPr>
          <w:sz w:val="20"/>
          <w:szCs w:val="20"/>
        </w:rPr>
        <w:t>2032A(</w:t>
      </w:r>
      <w:proofErr w:type="gramEnd"/>
      <w:r w:rsidRPr="00AB77CD">
        <w:rPr>
          <w:sz w:val="20"/>
          <w:szCs w:val="20"/>
        </w:rPr>
        <w:t>e)(5) includes the $65,000 sale of timber as farm income. Therefore, more than 50% of the Ryder’s gross income is from farming ($109,000 ÷ $158,700 = 68.7%), and they are qualified farmers for purposes of I.R.C. § 170(b</w:t>
      </w:r>
      <w:proofErr w:type="gramStart"/>
      <w:r w:rsidRPr="00AB77CD">
        <w:rPr>
          <w:sz w:val="20"/>
          <w:szCs w:val="20"/>
        </w:rPr>
        <w:t>)(</w:t>
      </w:r>
      <w:proofErr w:type="gramEnd"/>
      <w:r w:rsidRPr="00AB77CD">
        <w:rPr>
          <w:sz w:val="20"/>
          <w:szCs w:val="20"/>
        </w:rPr>
        <w:t>1)(E)(iv)(I).</w:t>
      </w:r>
    </w:p>
    <w:p w14:paraId="6BEFF231" w14:textId="11A05D6F" w:rsidR="00AB77CD" w:rsidRPr="00AB77CD" w:rsidRDefault="00AB77CD" w:rsidP="00AB77CD">
      <w:pPr>
        <w:keepNext/>
        <w:keepLines/>
        <w:spacing w:before="240"/>
        <w:jc w:val="center"/>
        <w:rPr>
          <w:rFonts w:ascii="Arial Narrow" w:hAnsi="Arial Narrow"/>
          <w:b/>
          <w:caps/>
          <w:sz w:val="20"/>
          <w:szCs w:val="20"/>
        </w:rPr>
      </w:pPr>
      <w:r w:rsidRPr="00AB77CD">
        <w:rPr>
          <w:rFonts w:ascii="Arial Narrow" w:hAnsi="Arial Narrow"/>
          <w:b/>
          <w:caps/>
          <w:sz w:val="20"/>
          <w:szCs w:val="20"/>
        </w:rPr>
        <w:lastRenderedPageBreak/>
        <w:t xml:space="preserve">FIGURE </w:t>
      </w:r>
      <w:r w:rsidR="00E24EC1">
        <w:rPr>
          <w:rFonts w:ascii="Arial Narrow" w:hAnsi="Arial Narrow"/>
          <w:b/>
          <w:caps/>
          <w:sz w:val="20"/>
          <w:szCs w:val="20"/>
        </w:rPr>
        <w:t>2</w:t>
      </w:r>
      <w:r w:rsidRPr="00AB77CD">
        <w:rPr>
          <w:rFonts w:ascii="Arial Narrow" w:hAnsi="Arial Narrow"/>
          <w:b/>
          <w:caps/>
          <w:sz w:val="20"/>
          <w:szCs w:val="20"/>
        </w:rPr>
        <w:t>. Total Gross Income and Gross Income from Farming</w:t>
      </w:r>
    </w:p>
    <w:tbl>
      <w:tblPr>
        <w:tblW w:w="7821" w:type="dxa"/>
        <w:jc w:val="center"/>
        <w:tblLook w:val="0420" w:firstRow="1" w:lastRow="0" w:firstColumn="0" w:lastColumn="0" w:noHBand="0" w:noVBand="1"/>
      </w:tblPr>
      <w:tblGrid>
        <w:gridCol w:w="2741"/>
        <w:gridCol w:w="1530"/>
        <w:gridCol w:w="270"/>
        <w:gridCol w:w="1507"/>
        <w:gridCol w:w="1773"/>
      </w:tblGrid>
      <w:tr w:rsidR="00AB77CD" w:rsidRPr="00AB77CD" w14:paraId="047FDF77" w14:textId="77777777" w:rsidTr="00AA455F">
        <w:trPr>
          <w:jc w:val="center"/>
        </w:trPr>
        <w:tc>
          <w:tcPr>
            <w:tcW w:w="2741" w:type="dxa"/>
            <w:tcBorders>
              <w:top w:val="single" w:sz="12" w:space="0" w:color="auto"/>
              <w:bottom w:val="single" w:sz="4" w:space="0" w:color="auto"/>
            </w:tcBorders>
          </w:tcPr>
          <w:p w14:paraId="6F2B27C7" w14:textId="77777777" w:rsidR="00AB77CD" w:rsidRPr="00AB77CD" w:rsidRDefault="00AB77CD" w:rsidP="00AA455F">
            <w:pPr>
              <w:keepNext/>
              <w:keepLines/>
              <w:spacing w:before="120"/>
              <w:rPr>
                <w:rFonts w:ascii="Arial Narrow" w:hAnsi="Arial Narrow"/>
                <w:b/>
                <w:sz w:val="20"/>
                <w:szCs w:val="20"/>
              </w:rPr>
            </w:pPr>
            <w:r w:rsidRPr="00AB77CD">
              <w:rPr>
                <w:rFonts w:ascii="Arial Narrow" w:hAnsi="Arial Narrow"/>
                <w:b/>
                <w:sz w:val="20"/>
                <w:szCs w:val="20"/>
              </w:rPr>
              <w:t>Income Item</w:t>
            </w:r>
          </w:p>
        </w:tc>
        <w:tc>
          <w:tcPr>
            <w:tcW w:w="1800" w:type="dxa"/>
            <w:gridSpan w:val="2"/>
            <w:tcBorders>
              <w:top w:val="single" w:sz="12" w:space="0" w:color="auto"/>
              <w:bottom w:val="single" w:sz="4" w:space="0" w:color="auto"/>
            </w:tcBorders>
          </w:tcPr>
          <w:p w14:paraId="65A1DF5F" w14:textId="77777777" w:rsidR="00AB77CD" w:rsidRPr="00AB77CD" w:rsidRDefault="00AB77CD" w:rsidP="00AA455F">
            <w:pPr>
              <w:keepNext/>
              <w:keepLines/>
              <w:spacing w:before="120"/>
              <w:jc w:val="center"/>
              <w:rPr>
                <w:rFonts w:ascii="Arial Narrow" w:hAnsi="Arial Narrow"/>
                <w:b/>
                <w:sz w:val="20"/>
                <w:szCs w:val="20"/>
              </w:rPr>
            </w:pPr>
            <w:r w:rsidRPr="00AB77CD">
              <w:rPr>
                <w:rFonts w:ascii="Arial Narrow" w:hAnsi="Arial Narrow"/>
                <w:b/>
                <w:sz w:val="20"/>
                <w:szCs w:val="20"/>
              </w:rPr>
              <w:t>Tax Return Income</w:t>
            </w:r>
          </w:p>
        </w:tc>
        <w:tc>
          <w:tcPr>
            <w:tcW w:w="1507" w:type="dxa"/>
            <w:tcBorders>
              <w:top w:val="single" w:sz="12" w:space="0" w:color="auto"/>
              <w:bottom w:val="single" w:sz="4" w:space="0" w:color="auto"/>
            </w:tcBorders>
          </w:tcPr>
          <w:p w14:paraId="0E0336E0" w14:textId="77777777" w:rsidR="00AB77CD" w:rsidRPr="00AB77CD" w:rsidRDefault="00AB77CD" w:rsidP="00AA455F">
            <w:pPr>
              <w:keepNext/>
              <w:keepLines/>
              <w:spacing w:before="120"/>
              <w:jc w:val="center"/>
              <w:rPr>
                <w:rFonts w:ascii="Arial Narrow" w:hAnsi="Arial Narrow"/>
                <w:b/>
                <w:sz w:val="20"/>
                <w:szCs w:val="20"/>
              </w:rPr>
            </w:pPr>
            <w:r w:rsidRPr="00AB77CD">
              <w:rPr>
                <w:rFonts w:ascii="Arial Narrow" w:hAnsi="Arial Narrow"/>
                <w:b/>
                <w:sz w:val="20"/>
                <w:szCs w:val="20"/>
              </w:rPr>
              <w:t>Total Gross Income</w:t>
            </w:r>
          </w:p>
        </w:tc>
        <w:tc>
          <w:tcPr>
            <w:tcW w:w="1773" w:type="dxa"/>
            <w:tcBorders>
              <w:top w:val="single" w:sz="12" w:space="0" w:color="auto"/>
              <w:bottom w:val="single" w:sz="4" w:space="0" w:color="auto"/>
            </w:tcBorders>
          </w:tcPr>
          <w:p w14:paraId="2C5CF06A" w14:textId="77777777" w:rsidR="00AB77CD" w:rsidRPr="00AB77CD" w:rsidRDefault="00AB77CD" w:rsidP="00AA455F">
            <w:pPr>
              <w:keepNext/>
              <w:keepLines/>
              <w:spacing w:before="120"/>
              <w:jc w:val="center"/>
              <w:rPr>
                <w:rFonts w:ascii="Arial Narrow" w:hAnsi="Arial Narrow"/>
                <w:b/>
                <w:sz w:val="20"/>
                <w:szCs w:val="20"/>
              </w:rPr>
            </w:pPr>
            <w:r w:rsidRPr="00AB77CD">
              <w:rPr>
                <w:rFonts w:ascii="Arial Narrow" w:hAnsi="Arial Narrow"/>
                <w:b/>
                <w:sz w:val="20"/>
                <w:szCs w:val="20"/>
              </w:rPr>
              <w:t>Gross Income from Farming</w:t>
            </w:r>
          </w:p>
        </w:tc>
      </w:tr>
      <w:tr w:rsidR="00AB77CD" w:rsidRPr="00AB77CD" w14:paraId="10A55260" w14:textId="77777777" w:rsidTr="00AA455F">
        <w:trPr>
          <w:jc w:val="center"/>
        </w:trPr>
        <w:tc>
          <w:tcPr>
            <w:tcW w:w="2741" w:type="dxa"/>
            <w:tcBorders>
              <w:top w:val="single" w:sz="4" w:space="0" w:color="auto"/>
            </w:tcBorders>
          </w:tcPr>
          <w:p w14:paraId="38AC7A40" w14:textId="77777777" w:rsidR="00AB77CD" w:rsidRPr="00AB77CD" w:rsidRDefault="00AB77CD" w:rsidP="00AA455F">
            <w:pPr>
              <w:keepNext/>
              <w:keepLines/>
              <w:spacing w:before="120"/>
              <w:rPr>
                <w:rFonts w:ascii="Arial Narrow" w:hAnsi="Arial Narrow"/>
                <w:sz w:val="20"/>
                <w:szCs w:val="20"/>
              </w:rPr>
            </w:pPr>
            <w:r w:rsidRPr="00AB77CD">
              <w:rPr>
                <w:rFonts w:ascii="Arial Narrow" w:hAnsi="Arial Narrow"/>
                <w:sz w:val="20"/>
                <w:szCs w:val="20"/>
              </w:rPr>
              <w:t>Off-farm salary</w:t>
            </w:r>
          </w:p>
        </w:tc>
        <w:tc>
          <w:tcPr>
            <w:tcW w:w="1530" w:type="dxa"/>
            <w:tcBorders>
              <w:top w:val="single" w:sz="4" w:space="0" w:color="auto"/>
            </w:tcBorders>
          </w:tcPr>
          <w:p w14:paraId="4BDAAE8F" w14:textId="77777777" w:rsidR="00AB77CD" w:rsidRPr="00AB77CD" w:rsidRDefault="00AB77CD" w:rsidP="00AA455F">
            <w:pPr>
              <w:keepNext/>
              <w:keepLines/>
              <w:spacing w:before="120"/>
              <w:jc w:val="center"/>
              <w:rPr>
                <w:rFonts w:ascii="Arial Narrow" w:hAnsi="Arial Narrow"/>
                <w:sz w:val="20"/>
                <w:szCs w:val="20"/>
              </w:rPr>
            </w:pPr>
            <w:r w:rsidRPr="00AB77CD">
              <w:rPr>
                <w:rFonts w:ascii="Arial Narrow" w:hAnsi="Arial Narrow"/>
                <w:sz w:val="20"/>
                <w:szCs w:val="20"/>
              </w:rPr>
              <w:t xml:space="preserve">        $ 45,000</w:t>
            </w:r>
          </w:p>
        </w:tc>
        <w:tc>
          <w:tcPr>
            <w:tcW w:w="270" w:type="dxa"/>
            <w:tcBorders>
              <w:top w:val="single" w:sz="4" w:space="0" w:color="auto"/>
            </w:tcBorders>
          </w:tcPr>
          <w:p w14:paraId="1F677E77" w14:textId="77777777" w:rsidR="00AB77CD" w:rsidRPr="00AB77CD" w:rsidRDefault="00AB77CD" w:rsidP="00AA455F">
            <w:pPr>
              <w:keepNext/>
              <w:keepLines/>
              <w:tabs>
                <w:tab w:val="num" w:pos="720"/>
              </w:tabs>
              <w:spacing w:before="120"/>
              <w:ind w:left="720" w:hanging="360"/>
              <w:jc w:val="right"/>
              <w:rPr>
                <w:rFonts w:ascii="Arial Narrow" w:hAnsi="Arial Narrow"/>
                <w:sz w:val="20"/>
                <w:szCs w:val="20"/>
              </w:rPr>
            </w:pPr>
          </w:p>
        </w:tc>
        <w:tc>
          <w:tcPr>
            <w:tcW w:w="1507" w:type="dxa"/>
            <w:tcBorders>
              <w:top w:val="single" w:sz="4" w:space="0" w:color="auto"/>
            </w:tcBorders>
          </w:tcPr>
          <w:p w14:paraId="606B5EE4" w14:textId="77777777" w:rsidR="00AB77CD" w:rsidRPr="00AB77CD" w:rsidRDefault="00AB77CD" w:rsidP="00AA455F">
            <w:pPr>
              <w:keepNext/>
              <w:keepLines/>
              <w:spacing w:before="120"/>
              <w:jc w:val="center"/>
              <w:rPr>
                <w:rFonts w:ascii="Arial Narrow" w:hAnsi="Arial Narrow"/>
                <w:sz w:val="20"/>
                <w:szCs w:val="20"/>
              </w:rPr>
            </w:pPr>
            <w:r w:rsidRPr="00AB77CD">
              <w:rPr>
                <w:rFonts w:ascii="Arial Narrow" w:hAnsi="Arial Narrow"/>
                <w:sz w:val="20"/>
                <w:szCs w:val="20"/>
              </w:rPr>
              <w:t xml:space="preserve">         $ 45,000</w:t>
            </w:r>
          </w:p>
        </w:tc>
        <w:tc>
          <w:tcPr>
            <w:tcW w:w="1773" w:type="dxa"/>
            <w:tcBorders>
              <w:top w:val="single" w:sz="4" w:space="0" w:color="auto"/>
            </w:tcBorders>
          </w:tcPr>
          <w:p w14:paraId="12242B7F" w14:textId="77777777" w:rsidR="00AB77CD" w:rsidRPr="00AB77CD" w:rsidRDefault="00AB77CD" w:rsidP="00AA455F">
            <w:pPr>
              <w:keepNext/>
              <w:keepLines/>
              <w:spacing w:before="120"/>
              <w:jc w:val="center"/>
              <w:rPr>
                <w:rFonts w:ascii="Arial Narrow" w:hAnsi="Arial Narrow"/>
                <w:sz w:val="20"/>
                <w:szCs w:val="20"/>
              </w:rPr>
            </w:pPr>
          </w:p>
        </w:tc>
      </w:tr>
      <w:tr w:rsidR="00AB77CD" w:rsidRPr="00AB77CD" w14:paraId="7241C075" w14:textId="77777777" w:rsidTr="00AA455F">
        <w:trPr>
          <w:jc w:val="center"/>
        </w:trPr>
        <w:tc>
          <w:tcPr>
            <w:tcW w:w="2741" w:type="dxa"/>
          </w:tcPr>
          <w:p w14:paraId="3155D8EF"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Interest income</w:t>
            </w:r>
          </w:p>
        </w:tc>
        <w:tc>
          <w:tcPr>
            <w:tcW w:w="1530" w:type="dxa"/>
          </w:tcPr>
          <w:p w14:paraId="45701B2C"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1,200</w:t>
            </w:r>
          </w:p>
        </w:tc>
        <w:tc>
          <w:tcPr>
            <w:tcW w:w="270" w:type="dxa"/>
          </w:tcPr>
          <w:p w14:paraId="78CF325C" w14:textId="77777777" w:rsidR="00AB77CD" w:rsidRPr="00AB77CD" w:rsidRDefault="00AB77CD" w:rsidP="00AA455F">
            <w:pPr>
              <w:keepNext/>
              <w:keepLines/>
              <w:jc w:val="right"/>
              <w:rPr>
                <w:sz w:val="20"/>
                <w:szCs w:val="20"/>
              </w:rPr>
            </w:pPr>
          </w:p>
        </w:tc>
        <w:tc>
          <w:tcPr>
            <w:tcW w:w="1507" w:type="dxa"/>
          </w:tcPr>
          <w:p w14:paraId="3FCBE949"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1,200</w:t>
            </w:r>
          </w:p>
        </w:tc>
        <w:tc>
          <w:tcPr>
            <w:tcW w:w="1773" w:type="dxa"/>
          </w:tcPr>
          <w:p w14:paraId="0CC164B9" w14:textId="77777777" w:rsidR="00AB77CD" w:rsidRPr="00AB77CD" w:rsidRDefault="00AB77CD" w:rsidP="00AA455F">
            <w:pPr>
              <w:keepNext/>
              <w:keepLines/>
              <w:jc w:val="right"/>
              <w:rPr>
                <w:rFonts w:ascii="Arial Narrow" w:hAnsi="Arial Narrow"/>
                <w:sz w:val="20"/>
                <w:szCs w:val="20"/>
              </w:rPr>
            </w:pPr>
          </w:p>
        </w:tc>
      </w:tr>
      <w:tr w:rsidR="00AB77CD" w:rsidRPr="00AB77CD" w14:paraId="41A77406" w14:textId="77777777" w:rsidTr="00AA455F">
        <w:trPr>
          <w:jc w:val="center"/>
        </w:trPr>
        <w:tc>
          <w:tcPr>
            <w:tcW w:w="2741" w:type="dxa"/>
          </w:tcPr>
          <w:p w14:paraId="5F812BA2"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Capital loss on stock</w:t>
            </w:r>
          </w:p>
        </w:tc>
        <w:tc>
          <w:tcPr>
            <w:tcW w:w="1530" w:type="dxa"/>
          </w:tcPr>
          <w:p w14:paraId="7973CBAD"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( 2,500</w:t>
            </w:r>
          </w:p>
        </w:tc>
        <w:tc>
          <w:tcPr>
            <w:tcW w:w="270" w:type="dxa"/>
            <w:tcMar>
              <w:left w:w="29" w:type="dxa"/>
              <w:right w:w="29" w:type="dxa"/>
            </w:tcMar>
          </w:tcPr>
          <w:p w14:paraId="6A59A647"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w:t>
            </w:r>
          </w:p>
        </w:tc>
        <w:tc>
          <w:tcPr>
            <w:tcW w:w="1507" w:type="dxa"/>
          </w:tcPr>
          <w:p w14:paraId="0C4CEA82" w14:textId="77777777" w:rsidR="00AB77CD" w:rsidRPr="00AB77CD" w:rsidRDefault="00AB77CD" w:rsidP="00AA455F">
            <w:pPr>
              <w:keepNext/>
              <w:keepLines/>
              <w:jc w:val="right"/>
              <w:rPr>
                <w:rFonts w:ascii="Arial Narrow" w:hAnsi="Arial Narrow"/>
                <w:sz w:val="20"/>
                <w:szCs w:val="20"/>
              </w:rPr>
            </w:pPr>
          </w:p>
        </w:tc>
        <w:tc>
          <w:tcPr>
            <w:tcW w:w="1773" w:type="dxa"/>
          </w:tcPr>
          <w:p w14:paraId="7DCD223D" w14:textId="77777777" w:rsidR="00AB77CD" w:rsidRPr="00AB77CD" w:rsidRDefault="00AB77CD" w:rsidP="00AA455F">
            <w:pPr>
              <w:keepNext/>
              <w:keepLines/>
              <w:jc w:val="right"/>
              <w:rPr>
                <w:rFonts w:ascii="Arial Narrow" w:hAnsi="Arial Narrow"/>
                <w:sz w:val="20"/>
                <w:szCs w:val="20"/>
              </w:rPr>
            </w:pPr>
          </w:p>
        </w:tc>
      </w:tr>
      <w:tr w:rsidR="00AB77CD" w:rsidRPr="00AB77CD" w14:paraId="5D619CEB" w14:textId="77777777" w:rsidTr="00AA455F">
        <w:trPr>
          <w:jc w:val="center"/>
        </w:trPr>
        <w:tc>
          <w:tcPr>
            <w:tcW w:w="2741" w:type="dxa"/>
          </w:tcPr>
          <w:p w14:paraId="501AD961"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Farm income</w:t>
            </w:r>
          </w:p>
        </w:tc>
        <w:tc>
          <w:tcPr>
            <w:tcW w:w="1530" w:type="dxa"/>
          </w:tcPr>
          <w:p w14:paraId="311237DB"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40,000</w:t>
            </w:r>
          </w:p>
        </w:tc>
        <w:tc>
          <w:tcPr>
            <w:tcW w:w="270" w:type="dxa"/>
          </w:tcPr>
          <w:p w14:paraId="22F58954" w14:textId="77777777" w:rsidR="00AB77CD" w:rsidRPr="00AB77CD" w:rsidRDefault="00AB77CD" w:rsidP="00AA455F">
            <w:pPr>
              <w:keepNext/>
              <w:keepLines/>
              <w:jc w:val="right"/>
              <w:rPr>
                <w:sz w:val="20"/>
                <w:szCs w:val="20"/>
              </w:rPr>
            </w:pPr>
          </w:p>
        </w:tc>
        <w:tc>
          <w:tcPr>
            <w:tcW w:w="1507" w:type="dxa"/>
          </w:tcPr>
          <w:p w14:paraId="40A21AE8"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40,000</w:t>
            </w:r>
          </w:p>
        </w:tc>
        <w:tc>
          <w:tcPr>
            <w:tcW w:w="1773" w:type="dxa"/>
          </w:tcPr>
          <w:p w14:paraId="25EF0362"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$ 40,000</w:t>
            </w:r>
          </w:p>
        </w:tc>
      </w:tr>
      <w:tr w:rsidR="00AB77CD" w:rsidRPr="00AB77CD" w14:paraId="6A9D3C05" w14:textId="77777777" w:rsidTr="00AA455F">
        <w:trPr>
          <w:jc w:val="center"/>
        </w:trPr>
        <w:tc>
          <w:tcPr>
            <w:tcW w:w="2741" w:type="dxa"/>
          </w:tcPr>
          <w:p w14:paraId="04CDC6CE"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Gain on sale of mare</w:t>
            </w:r>
          </w:p>
        </w:tc>
        <w:tc>
          <w:tcPr>
            <w:tcW w:w="1530" w:type="dxa"/>
          </w:tcPr>
          <w:p w14:paraId="655081BC"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4,000</w:t>
            </w:r>
          </w:p>
        </w:tc>
        <w:tc>
          <w:tcPr>
            <w:tcW w:w="270" w:type="dxa"/>
          </w:tcPr>
          <w:p w14:paraId="5C8DEC47" w14:textId="77777777" w:rsidR="00AB77CD" w:rsidRPr="00AB77CD" w:rsidRDefault="00AB77CD" w:rsidP="00AA455F">
            <w:pPr>
              <w:keepNext/>
              <w:keepLines/>
              <w:jc w:val="right"/>
              <w:rPr>
                <w:sz w:val="20"/>
                <w:szCs w:val="20"/>
              </w:rPr>
            </w:pPr>
          </w:p>
        </w:tc>
        <w:tc>
          <w:tcPr>
            <w:tcW w:w="1507" w:type="dxa"/>
          </w:tcPr>
          <w:p w14:paraId="4BAE379C"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4,000</w:t>
            </w:r>
          </w:p>
        </w:tc>
        <w:tc>
          <w:tcPr>
            <w:tcW w:w="1773" w:type="dxa"/>
          </w:tcPr>
          <w:p w14:paraId="75983103"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4,000</w:t>
            </w:r>
          </w:p>
        </w:tc>
      </w:tr>
      <w:tr w:rsidR="00AB77CD" w:rsidRPr="00AB77CD" w14:paraId="2D8FFC94" w14:textId="77777777" w:rsidTr="00AA455F">
        <w:trPr>
          <w:jc w:val="center"/>
        </w:trPr>
        <w:tc>
          <w:tcPr>
            <w:tcW w:w="2741" w:type="dxa"/>
          </w:tcPr>
          <w:p w14:paraId="2D147671"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Gain on sale of used tractor</w:t>
            </w:r>
          </w:p>
        </w:tc>
        <w:tc>
          <w:tcPr>
            <w:tcW w:w="1530" w:type="dxa"/>
          </w:tcPr>
          <w:p w14:paraId="051092BD"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3,500</w:t>
            </w:r>
          </w:p>
        </w:tc>
        <w:tc>
          <w:tcPr>
            <w:tcW w:w="270" w:type="dxa"/>
          </w:tcPr>
          <w:p w14:paraId="67DA0D49" w14:textId="77777777" w:rsidR="00AB77CD" w:rsidRPr="00AB77CD" w:rsidRDefault="00AB77CD" w:rsidP="00AA455F">
            <w:pPr>
              <w:keepNext/>
              <w:keepLines/>
              <w:jc w:val="right"/>
              <w:rPr>
                <w:sz w:val="20"/>
                <w:szCs w:val="20"/>
              </w:rPr>
            </w:pPr>
          </w:p>
        </w:tc>
        <w:tc>
          <w:tcPr>
            <w:tcW w:w="1507" w:type="dxa"/>
          </w:tcPr>
          <w:p w14:paraId="333CA54D" w14:textId="77777777" w:rsidR="00AB77CD" w:rsidRPr="00AB77CD" w:rsidRDefault="00AB77CD" w:rsidP="00AA455F">
            <w:pPr>
              <w:keepNext/>
              <w:keepLines/>
              <w:jc w:val="right"/>
              <w:rPr>
                <w:rFonts w:ascii="Arial Narrow" w:hAnsi="Arial Narrow"/>
                <w:sz w:val="20"/>
                <w:szCs w:val="20"/>
              </w:rPr>
            </w:pPr>
            <w:r w:rsidRPr="00AB77CD">
              <w:rPr>
                <w:rFonts w:ascii="Arial Narrow" w:hAnsi="Arial Narrow"/>
                <w:sz w:val="20"/>
                <w:szCs w:val="20"/>
              </w:rPr>
              <w:t>3,500</w:t>
            </w:r>
          </w:p>
        </w:tc>
        <w:tc>
          <w:tcPr>
            <w:tcW w:w="1773" w:type="dxa"/>
          </w:tcPr>
          <w:p w14:paraId="389E5783" w14:textId="77777777" w:rsidR="00AB77CD" w:rsidRPr="00AB77CD" w:rsidRDefault="00AB77CD" w:rsidP="00AA455F">
            <w:pPr>
              <w:keepNext/>
              <w:keepLines/>
              <w:jc w:val="right"/>
              <w:rPr>
                <w:rFonts w:ascii="Arial Narrow" w:hAnsi="Arial Narrow"/>
                <w:sz w:val="20"/>
                <w:szCs w:val="20"/>
              </w:rPr>
            </w:pPr>
          </w:p>
        </w:tc>
      </w:tr>
      <w:tr w:rsidR="00AB77CD" w:rsidRPr="00AB77CD" w14:paraId="21536372" w14:textId="77777777" w:rsidTr="00AA455F">
        <w:trPr>
          <w:jc w:val="center"/>
        </w:trPr>
        <w:tc>
          <w:tcPr>
            <w:tcW w:w="2741" w:type="dxa"/>
          </w:tcPr>
          <w:p w14:paraId="07D99841"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Sale of timber</w:t>
            </w:r>
          </w:p>
        </w:tc>
        <w:tc>
          <w:tcPr>
            <w:tcW w:w="1530" w:type="dxa"/>
          </w:tcPr>
          <w:p w14:paraId="41B2AAF6" w14:textId="77777777" w:rsidR="00AB77CD" w:rsidRPr="00AB77CD" w:rsidRDefault="00AB77CD" w:rsidP="00AA455F">
            <w:pPr>
              <w:keepNext/>
              <w:keepLines/>
              <w:jc w:val="right"/>
              <w:rPr>
                <w:rFonts w:ascii="Arial Narrow" w:hAnsi="Arial Narrow"/>
                <w:sz w:val="20"/>
                <w:szCs w:val="20"/>
                <w:u w:val="single"/>
              </w:rPr>
            </w:pPr>
            <w:r w:rsidRPr="00AB77CD">
              <w:rPr>
                <w:rFonts w:ascii="Arial Narrow" w:hAnsi="Arial Narrow"/>
                <w:sz w:val="20"/>
                <w:szCs w:val="20"/>
                <w:u w:val="single"/>
              </w:rPr>
              <w:t xml:space="preserve">    65,000</w:t>
            </w:r>
          </w:p>
        </w:tc>
        <w:tc>
          <w:tcPr>
            <w:tcW w:w="270" w:type="dxa"/>
          </w:tcPr>
          <w:p w14:paraId="7E5585CA" w14:textId="77777777" w:rsidR="00AB77CD" w:rsidRPr="00AB77CD" w:rsidRDefault="00AB77CD" w:rsidP="00AA455F">
            <w:pPr>
              <w:keepNext/>
              <w:keepLines/>
              <w:jc w:val="right"/>
              <w:rPr>
                <w:rFonts w:ascii="Arial Narrow" w:hAnsi="Arial Narrow"/>
                <w:sz w:val="20"/>
                <w:szCs w:val="20"/>
              </w:rPr>
            </w:pPr>
          </w:p>
        </w:tc>
        <w:tc>
          <w:tcPr>
            <w:tcW w:w="1507" w:type="dxa"/>
          </w:tcPr>
          <w:p w14:paraId="31FAA233" w14:textId="77777777" w:rsidR="00AB77CD" w:rsidRPr="00AB77CD" w:rsidRDefault="00AB77CD" w:rsidP="00AA455F">
            <w:pPr>
              <w:keepNext/>
              <w:keepLines/>
              <w:jc w:val="right"/>
              <w:rPr>
                <w:rFonts w:ascii="Arial Narrow" w:hAnsi="Arial Narrow"/>
                <w:sz w:val="20"/>
                <w:szCs w:val="20"/>
                <w:u w:val="single"/>
              </w:rPr>
            </w:pPr>
            <w:r w:rsidRPr="00AB77CD">
              <w:rPr>
                <w:rFonts w:ascii="Arial Narrow" w:hAnsi="Arial Narrow"/>
                <w:sz w:val="20"/>
                <w:szCs w:val="20"/>
                <w:u w:val="single"/>
              </w:rPr>
              <w:t xml:space="preserve">    65,000</w:t>
            </w:r>
          </w:p>
        </w:tc>
        <w:tc>
          <w:tcPr>
            <w:tcW w:w="1773" w:type="dxa"/>
          </w:tcPr>
          <w:p w14:paraId="772D5644" w14:textId="77777777" w:rsidR="00AB77CD" w:rsidRPr="00AB77CD" w:rsidRDefault="00AB77CD" w:rsidP="00AA455F">
            <w:pPr>
              <w:keepNext/>
              <w:keepLines/>
              <w:jc w:val="right"/>
              <w:rPr>
                <w:rFonts w:ascii="Arial Narrow" w:hAnsi="Arial Narrow"/>
                <w:sz w:val="20"/>
                <w:szCs w:val="20"/>
                <w:u w:val="single"/>
              </w:rPr>
            </w:pPr>
            <w:r w:rsidRPr="00AB77CD">
              <w:rPr>
                <w:rFonts w:ascii="Arial Narrow" w:hAnsi="Arial Narrow"/>
                <w:sz w:val="20"/>
                <w:szCs w:val="20"/>
                <w:u w:val="single"/>
              </w:rPr>
              <w:t xml:space="preserve">    65,000</w:t>
            </w:r>
          </w:p>
        </w:tc>
      </w:tr>
      <w:tr w:rsidR="00AB77CD" w:rsidRPr="00AB77CD" w14:paraId="254974FA" w14:textId="77777777" w:rsidTr="00AA455F">
        <w:trPr>
          <w:jc w:val="center"/>
        </w:trPr>
        <w:tc>
          <w:tcPr>
            <w:tcW w:w="2741" w:type="dxa"/>
            <w:tcBorders>
              <w:bottom w:val="single" w:sz="12" w:space="0" w:color="auto"/>
            </w:tcBorders>
          </w:tcPr>
          <w:p w14:paraId="171ABFE5" w14:textId="77777777" w:rsidR="00AB77CD" w:rsidRPr="00AB77CD" w:rsidRDefault="00AB77CD" w:rsidP="00AA455F">
            <w:pPr>
              <w:keepNext/>
              <w:keepLines/>
              <w:rPr>
                <w:rFonts w:ascii="Arial Narrow" w:hAnsi="Arial Narrow"/>
                <w:sz w:val="20"/>
                <w:szCs w:val="20"/>
              </w:rPr>
            </w:pPr>
            <w:r w:rsidRPr="00AB77CD">
              <w:rPr>
                <w:rFonts w:ascii="Arial Narrow" w:hAnsi="Arial Narrow"/>
                <w:sz w:val="20"/>
                <w:szCs w:val="20"/>
              </w:rPr>
              <w:t>Total</w:t>
            </w:r>
          </w:p>
        </w:tc>
        <w:tc>
          <w:tcPr>
            <w:tcW w:w="1530" w:type="dxa"/>
            <w:tcBorders>
              <w:bottom w:val="single" w:sz="12" w:space="0" w:color="auto"/>
            </w:tcBorders>
          </w:tcPr>
          <w:p w14:paraId="78405F7F" w14:textId="77777777" w:rsidR="00AB77CD" w:rsidRPr="00AB77CD" w:rsidRDefault="00AB77CD" w:rsidP="00AA455F">
            <w:pPr>
              <w:keepNext/>
              <w:keepLines/>
              <w:pBdr>
                <w:top w:val="single" w:sz="4" w:space="1" w:color="auto"/>
              </w:pBdr>
              <w:jc w:val="right"/>
              <w:rPr>
                <w:rFonts w:ascii="Arial Narrow" w:hAnsi="Arial Narrow"/>
                <w:sz w:val="20"/>
                <w:szCs w:val="20"/>
                <w:u w:val="double"/>
              </w:rPr>
            </w:pPr>
            <w:r w:rsidRPr="00AB77CD">
              <w:rPr>
                <w:rFonts w:ascii="Arial Narrow" w:hAnsi="Arial Narrow"/>
                <w:sz w:val="20"/>
                <w:szCs w:val="20"/>
                <w:u w:val="double"/>
              </w:rPr>
              <w:t>$156,200</w:t>
            </w:r>
          </w:p>
        </w:tc>
        <w:tc>
          <w:tcPr>
            <w:tcW w:w="270" w:type="dxa"/>
            <w:tcBorders>
              <w:bottom w:val="single" w:sz="12" w:space="0" w:color="auto"/>
            </w:tcBorders>
          </w:tcPr>
          <w:p w14:paraId="589C8AE3" w14:textId="77777777" w:rsidR="00AB77CD" w:rsidRPr="00AB77CD" w:rsidRDefault="00AB77CD" w:rsidP="00AA455F">
            <w:pPr>
              <w:keepNext/>
              <w:keepLines/>
              <w:pBdr>
                <w:top w:val="single" w:sz="4" w:space="1" w:color="auto"/>
              </w:pBdr>
              <w:jc w:val="right"/>
              <w:rPr>
                <w:rFonts w:ascii="Arial Narrow" w:hAnsi="Arial Narrow"/>
                <w:sz w:val="20"/>
                <w:szCs w:val="20"/>
                <w:u w:val="double"/>
              </w:rPr>
            </w:pPr>
          </w:p>
        </w:tc>
        <w:tc>
          <w:tcPr>
            <w:tcW w:w="1507" w:type="dxa"/>
            <w:tcBorders>
              <w:bottom w:val="single" w:sz="12" w:space="0" w:color="auto"/>
            </w:tcBorders>
          </w:tcPr>
          <w:p w14:paraId="08891B22" w14:textId="77777777" w:rsidR="00AB77CD" w:rsidRPr="00AB77CD" w:rsidRDefault="00AB77CD" w:rsidP="00AA455F">
            <w:pPr>
              <w:keepNext/>
              <w:keepLines/>
              <w:pBdr>
                <w:top w:val="single" w:sz="4" w:space="1" w:color="auto"/>
              </w:pBdr>
              <w:jc w:val="right"/>
              <w:rPr>
                <w:rFonts w:ascii="Arial Narrow" w:hAnsi="Arial Narrow"/>
                <w:sz w:val="20"/>
                <w:szCs w:val="20"/>
                <w:u w:val="double"/>
              </w:rPr>
            </w:pPr>
            <w:r w:rsidRPr="00AB77CD">
              <w:rPr>
                <w:rFonts w:ascii="Arial Narrow" w:hAnsi="Arial Narrow"/>
                <w:sz w:val="20"/>
                <w:szCs w:val="20"/>
                <w:u w:val="double"/>
              </w:rPr>
              <w:t>$158,700</w:t>
            </w:r>
          </w:p>
        </w:tc>
        <w:tc>
          <w:tcPr>
            <w:tcW w:w="1773" w:type="dxa"/>
            <w:tcBorders>
              <w:bottom w:val="single" w:sz="12" w:space="0" w:color="auto"/>
            </w:tcBorders>
          </w:tcPr>
          <w:p w14:paraId="0EE293B6" w14:textId="77777777" w:rsidR="00AB77CD" w:rsidRPr="00AB77CD" w:rsidRDefault="00AB77CD" w:rsidP="00AA455F">
            <w:pPr>
              <w:keepNext/>
              <w:keepLines/>
              <w:pBdr>
                <w:top w:val="single" w:sz="4" w:space="1" w:color="auto"/>
              </w:pBdr>
              <w:jc w:val="right"/>
              <w:rPr>
                <w:rFonts w:ascii="Arial Narrow" w:hAnsi="Arial Narrow"/>
                <w:sz w:val="20"/>
                <w:szCs w:val="20"/>
                <w:u w:val="double"/>
              </w:rPr>
            </w:pPr>
            <w:r w:rsidRPr="00AB77CD">
              <w:rPr>
                <w:rFonts w:ascii="Arial Narrow" w:hAnsi="Arial Narrow"/>
                <w:sz w:val="20"/>
                <w:szCs w:val="20"/>
                <w:u w:val="double"/>
              </w:rPr>
              <w:t>$109,000</w:t>
            </w:r>
          </w:p>
        </w:tc>
      </w:tr>
    </w:tbl>
    <w:p w14:paraId="0E1955B8" w14:textId="77777777" w:rsidR="00AB77CD" w:rsidRPr="00AB77CD" w:rsidRDefault="00AB77CD" w:rsidP="00AB77CD">
      <w:pPr>
        <w:keepNext/>
        <w:keepLines/>
        <w:jc w:val="center"/>
        <w:rPr>
          <w:sz w:val="20"/>
          <w:szCs w:val="20"/>
        </w:rPr>
      </w:pPr>
      <w:r w:rsidRPr="00AB77CD">
        <w:rPr>
          <w:sz w:val="20"/>
          <w:szCs w:val="20"/>
        </w:rPr>
        <w:t>______________________________</w:t>
      </w:r>
    </w:p>
    <w:p w14:paraId="7CFA1E79" w14:textId="77777777" w:rsidR="00AB77CD" w:rsidRPr="00AB77CD" w:rsidRDefault="00AB77CD" w:rsidP="00AB77CD">
      <w:pPr>
        <w:ind w:firstLine="360"/>
        <w:jc w:val="center"/>
        <w:rPr>
          <w:sz w:val="20"/>
          <w:szCs w:val="20"/>
        </w:rPr>
      </w:pPr>
    </w:p>
    <w:p w14:paraId="227015B9" w14:textId="73719192" w:rsidR="00AB77CD" w:rsidRPr="00AB77CD" w:rsidRDefault="00AB77CD" w:rsidP="00AB77CD">
      <w:pPr>
        <w:pStyle w:val="Example"/>
        <w:rPr>
          <w:sz w:val="20"/>
          <w:szCs w:val="20"/>
        </w:rPr>
      </w:pPr>
      <w:r w:rsidRPr="00AB77CD">
        <w:rPr>
          <w:sz w:val="20"/>
          <w:szCs w:val="20"/>
        </w:rPr>
        <w:t xml:space="preserve">Example </w:t>
      </w:r>
      <w:r w:rsidR="00E24EC1">
        <w:rPr>
          <w:sz w:val="20"/>
          <w:szCs w:val="20"/>
          <w:lang w:val="en-US"/>
        </w:rPr>
        <w:t>3</w:t>
      </w:r>
      <w:r w:rsidRPr="00AB77CD">
        <w:rPr>
          <w:sz w:val="20"/>
          <w:szCs w:val="20"/>
          <w:lang w:val="en-US"/>
        </w:rPr>
        <w:t>.</w:t>
      </w:r>
      <w:r w:rsidRPr="00AB77CD">
        <w:rPr>
          <w:sz w:val="20"/>
          <w:szCs w:val="20"/>
        </w:rPr>
        <w:t xml:space="preserve"> Income from Training Horses</w:t>
      </w:r>
    </w:p>
    <w:p w14:paraId="40FE2729" w14:textId="51ADC60F" w:rsidR="00AB77CD" w:rsidRPr="00AB77CD" w:rsidRDefault="00AB77CD" w:rsidP="00AB77CD">
      <w:pPr>
        <w:pStyle w:val="Bodynoindent"/>
        <w:rPr>
          <w:sz w:val="20"/>
          <w:szCs w:val="20"/>
        </w:rPr>
      </w:pPr>
      <w:r w:rsidRPr="00AB77CD">
        <w:rPr>
          <w:sz w:val="20"/>
          <w:szCs w:val="20"/>
        </w:rPr>
        <w:t xml:space="preserve">Lew and Chelsea </w:t>
      </w:r>
      <w:r>
        <w:rPr>
          <w:sz w:val="20"/>
          <w:szCs w:val="20"/>
          <w:lang w:val="en-US"/>
        </w:rPr>
        <w:t>Driver</w:t>
      </w:r>
      <w:r w:rsidRPr="00AB77CD">
        <w:rPr>
          <w:sz w:val="20"/>
          <w:szCs w:val="20"/>
        </w:rPr>
        <w:t xml:space="preserve"> have the same income items that are shown in Figure </w:t>
      </w:r>
      <w:r w:rsidR="00E24EC1">
        <w:rPr>
          <w:sz w:val="20"/>
          <w:szCs w:val="20"/>
          <w:lang w:val="en-US"/>
        </w:rPr>
        <w:t>2</w:t>
      </w:r>
      <w:r w:rsidRPr="00AB77CD">
        <w:rPr>
          <w:sz w:val="20"/>
          <w:szCs w:val="20"/>
        </w:rPr>
        <w:t xml:space="preserve">, but their Schedule F (Form 1040) does not include sales of crops on line 11. Instead, Chelsea uses their farm to train horses for other individuals, resulting in $40,000 of gross </w:t>
      </w:r>
      <w:r>
        <w:rPr>
          <w:sz w:val="20"/>
          <w:szCs w:val="20"/>
        </w:rPr>
        <w:t>income in 2016</w:t>
      </w:r>
      <w:r w:rsidRPr="00AB77CD">
        <w:rPr>
          <w:sz w:val="20"/>
          <w:szCs w:val="20"/>
        </w:rPr>
        <w:t xml:space="preserve">. </w:t>
      </w:r>
    </w:p>
    <w:p w14:paraId="71311846" w14:textId="07B5B7D1" w:rsidR="00AB77CD" w:rsidRPr="00AB77CD" w:rsidRDefault="00AB77CD" w:rsidP="00AB77CD">
      <w:pPr>
        <w:pStyle w:val="Body"/>
        <w:rPr>
          <w:sz w:val="20"/>
          <w:szCs w:val="20"/>
        </w:rPr>
      </w:pPr>
      <w:r w:rsidRPr="00AB77CD">
        <w:rPr>
          <w:sz w:val="20"/>
          <w:szCs w:val="20"/>
        </w:rPr>
        <w:t xml:space="preserve">Because I.R.C. § 2032A(e)(5) defines farming as including cultivating the soil or raising or harvesting any agricultural or horticultural commodity (including raising, shearing, feeding, caring for, training, and managing animals) on a farm, the $40,000 gross income from training horses is included in gross income from farming. Thus, the </w:t>
      </w:r>
      <w:r w:rsidR="00AA455F">
        <w:rPr>
          <w:sz w:val="20"/>
          <w:szCs w:val="20"/>
          <w:lang w:val="en-US"/>
        </w:rPr>
        <w:t>Drivers</w:t>
      </w:r>
      <w:r w:rsidRPr="00AB77CD">
        <w:rPr>
          <w:sz w:val="20"/>
          <w:szCs w:val="20"/>
        </w:rPr>
        <w:t xml:space="preserve"> are qualified farmers for using the 100% contribution base for charitable contributions of conservation easements.</w:t>
      </w:r>
    </w:p>
    <w:p w14:paraId="140761A2" w14:textId="5E0674D6" w:rsidR="00AB77CD" w:rsidRDefault="00AB77CD" w:rsidP="00AB77CD">
      <w:pPr>
        <w:jc w:val="center"/>
        <w:rPr>
          <w:sz w:val="20"/>
          <w:szCs w:val="20"/>
        </w:rPr>
      </w:pPr>
      <w:r w:rsidRPr="00AB77CD">
        <w:rPr>
          <w:sz w:val="20"/>
          <w:szCs w:val="20"/>
        </w:rPr>
        <w:t>______________________________</w:t>
      </w:r>
    </w:p>
    <w:p w14:paraId="035F0D18" w14:textId="65128F11" w:rsidR="009D6BFA" w:rsidRDefault="00A758CB" w:rsidP="00D83FFD">
      <w:pPr>
        <w:pStyle w:val="RandCStatute"/>
        <w:numPr>
          <w:ilvl w:val="0"/>
          <w:numId w:val="39"/>
        </w:numPr>
        <w:spacing w:before="200" w:after="0"/>
        <w:ind w:left="1080"/>
        <w:rPr>
          <w:sz w:val="20"/>
          <w:szCs w:val="20"/>
        </w:rPr>
      </w:pPr>
      <w:r w:rsidRPr="009D6BFA">
        <w:rPr>
          <w:sz w:val="20"/>
          <w:szCs w:val="20"/>
        </w:rPr>
        <w:t>For contributions made in tax years beginning after December 31, 2015, the PATH Act also includes special rules for qualified conservation contributions by certain Native Corporations.</w:t>
      </w:r>
    </w:p>
    <w:p w14:paraId="07E98786" w14:textId="0E016DD5" w:rsidR="009D6BFA" w:rsidRDefault="00A758CB" w:rsidP="00D83FFD">
      <w:pPr>
        <w:pStyle w:val="RandCStatute"/>
        <w:numPr>
          <w:ilvl w:val="0"/>
          <w:numId w:val="81"/>
        </w:numPr>
        <w:spacing w:before="200" w:after="0"/>
        <w:ind w:left="1440" w:hanging="360"/>
        <w:rPr>
          <w:sz w:val="20"/>
          <w:szCs w:val="20"/>
        </w:rPr>
      </w:pPr>
      <w:r w:rsidRPr="009D6BFA">
        <w:rPr>
          <w:sz w:val="20"/>
          <w:szCs w:val="20"/>
        </w:rPr>
        <w:t>For this purpose, the term Native Corporation has the meaning given such term by section 3(m) of the Alaska Native Claims Settlement Act.</w:t>
      </w:r>
    </w:p>
    <w:p w14:paraId="5190C3F0" w14:textId="77777777" w:rsidR="009D6BFA" w:rsidRDefault="00A758CB" w:rsidP="00D83FFD">
      <w:pPr>
        <w:pStyle w:val="RandCStatute"/>
        <w:numPr>
          <w:ilvl w:val="0"/>
          <w:numId w:val="81"/>
        </w:numPr>
        <w:spacing w:before="200" w:after="0"/>
        <w:ind w:left="1440" w:hanging="360"/>
        <w:rPr>
          <w:sz w:val="20"/>
          <w:szCs w:val="20"/>
        </w:rPr>
      </w:pPr>
      <w:r w:rsidRPr="009D6BFA">
        <w:rPr>
          <w:sz w:val="20"/>
          <w:szCs w:val="20"/>
        </w:rPr>
        <w:t>In the case of any qualified conservation contribution that is made by a Native Corporation and is a contribution of property that was land conveyed under the Alaska Native Claims Settlement Act, a deduction for the contribution is allowed to the extent that the aggregate amount of such contributions does not exceed the excess of 100% of the taxpayer’s taxable income over the amount of all other allowable charitable contributions.</w:t>
      </w:r>
    </w:p>
    <w:p w14:paraId="19FC6016" w14:textId="77777777" w:rsidR="009D6BFA" w:rsidRDefault="00A758CB" w:rsidP="00D83FFD">
      <w:pPr>
        <w:pStyle w:val="RandCStatute"/>
        <w:numPr>
          <w:ilvl w:val="0"/>
          <w:numId w:val="81"/>
        </w:numPr>
        <w:spacing w:before="200" w:after="0"/>
        <w:ind w:left="1440" w:hanging="360"/>
        <w:rPr>
          <w:sz w:val="20"/>
          <w:szCs w:val="20"/>
        </w:rPr>
      </w:pPr>
      <w:r w:rsidRPr="009D6BFA">
        <w:rPr>
          <w:sz w:val="20"/>
          <w:szCs w:val="20"/>
        </w:rPr>
        <w:t>Any excess may be carried forward for up to 15 years as a contribution subject to the 100% limitation.</w:t>
      </w:r>
    </w:p>
    <w:p w14:paraId="4BE7689E" w14:textId="55A219C1" w:rsidR="00A758CB" w:rsidRPr="009D6BFA" w:rsidRDefault="00A758CB" w:rsidP="00D83FFD">
      <w:pPr>
        <w:pStyle w:val="RandCStatute"/>
        <w:numPr>
          <w:ilvl w:val="0"/>
          <w:numId w:val="81"/>
        </w:numPr>
        <w:spacing w:before="200" w:after="0"/>
        <w:ind w:left="1440" w:hanging="360"/>
        <w:rPr>
          <w:sz w:val="20"/>
          <w:szCs w:val="20"/>
        </w:rPr>
      </w:pPr>
      <w:r w:rsidRPr="009D6BFA">
        <w:rPr>
          <w:sz w:val="20"/>
          <w:szCs w:val="20"/>
        </w:rPr>
        <w:t>The provision shall not be construed to modify the existing property rights validly conveyed to Native Corporations under the Alaska Native Claims Settlement Act.</w:t>
      </w:r>
    </w:p>
    <w:p w14:paraId="6BFA6789" w14:textId="536831E4" w:rsidR="00A758CB" w:rsidRPr="009D6BFA" w:rsidRDefault="00A758CB" w:rsidP="00D83FFD">
      <w:pPr>
        <w:pStyle w:val="Body"/>
        <w:keepLines/>
        <w:numPr>
          <w:ilvl w:val="0"/>
          <w:numId w:val="36"/>
        </w:numPr>
        <w:spacing w:before="200"/>
        <w:rPr>
          <w:sz w:val="20"/>
          <w:szCs w:val="20"/>
        </w:rPr>
      </w:pPr>
      <w:r w:rsidRPr="009D6BFA">
        <w:rPr>
          <w:sz w:val="20"/>
          <w:szCs w:val="20"/>
        </w:rPr>
        <w:t>Qualified Tuition Deduction</w:t>
      </w:r>
      <w:r w:rsidR="009D6BFA" w:rsidRPr="009D6BFA">
        <w:rPr>
          <w:sz w:val="20"/>
          <w:szCs w:val="20"/>
          <w:lang w:val="en-US"/>
        </w:rPr>
        <w:t xml:space="preserve"> [</w:t>
      </w:r>
      <w:r w:rsidRPr="009D6BFA">
        <w:rPr>
          <w:sz w:val="20"/>
          <w:szCs w:val="20"/>
        </w:rPr>
        <w:t>I.R.C. § 222; PATH Act § 153</w:t>
      </w:r>
      <w:r w:rsidR="009D6BFA">
        <w:rPr>
          <w:sz w:val="20"/>
          <w:szCs w:val="20"/>
          <w:lang w:val="en-US"/>
        </w:rPr>
        <w:t>]</w:t>
      </w:r>
    </w:p>
    <w:p w14:paraId="0062EFAE" w14:textId="17591E35" w:rsidR="00A758CB" w:rsidRPr="009D6BFA" w:rsidRDefault="00A758CB" w:rsidP="00D83FFD">
      <w:pPr>
        <w:pStyle w:val="RandCStatute"/>
        <w:numPr>
          <w:ilvl w:val="0"/>
          <w:numId w:val="41"/>
        </w:numPr>
        <w:spacing w:before="200" w:after="0"/>
        <w:ind w:left="1080"/>
        <w:rPr>
          <w:sz w:val="20"/>
          <w:szCs w:val="20"/>
        </w:rPr>
      </w:pPr>
      <w:r w:rsidRPr="009D6BFA">
        <w:rPr>
          <w:sz w:val="20"/>
          <w:szCs w:val="20"/>
        </w:rPr>
        <w:t>Effective for tax years beginning after December 31, 2014</w:t>
      </w:r>
      <w:r w:rsidR="009D6BFA">
        <w:rPr>
          <w:sz w:val="20"/>
          <w:szCs w:val="20"/>
          <w:lang w:val="en-US"/>
        </w:rPr>
        <w:t>.</w:t>
      </w:r>
    </w:p>
    <w:p w14:paraId="6196D40F" w14:textId="77777777" w:rsidR="00A758CB" w:rsidRPr="009D6BFA" w:rsidRDefault="00A758CB" w:rsidP="00D83FFD">
      <w:pPr>
        <w:pStyle w:val="RandCStatute"/>
        <w:numPr>
          <w:ilvl w:val="0"/>
          <w:numId w:val="41"/>
        </w:numPr>
        <w:spacing w:before="200" w:after="0"/>
        <w:ind w:left="1080"/>
        <w:rPr>
          <w:sz w:val="20"/>
          <w:szCs w:val="20"/>
        </w:rPr>
      </w:pPr>
      <w:r w:rsidRPr="009D6BFA">
        <w:rPr>
          <w:sz w:val="20"/>
          <w:szCs w:val="20"/>
        </w:rPr>
        <w:t>The qualified tuition deduction for up to $4,000 of tuition and fees paid for attendance at any level of post-secondary education is extended to amounts paid before 2017.</w:t>
      </w:r>
    </w:p>
    <w:p w14:paraId="725231D1" w14:textId="77777777" w:rsidR="00A758CB" w:rsidRPr="009D6BFA" w:rsidRDefault="00A758CB" w:rsidP="00D83FFD">
      <w:pPr>
        <w:pStyle w:val="Bodynoindent"/>
        <w:keepNext/>
        <w:keepLines/>
        <w:numPr>
          <w:ilvl w:val="0"/>
          <w:numId w:val="35"/>
        </w:numPr>
        <w:spacing w:before="200"/>
        <w:ind w:left="360"/>
        <w:rPr>
          <w:sz w:val="20"/>
          <w:szCs w:val="20"/>
        </w:rPr>
      </w:pPr>
      <w:r w:rsidRPr="009D6BFA">
        <w:rPr>
          <w:sz w:val="20"/>
          <w:szCs w:val="20"/>
        </w:rPr>
        <w:lastRenderedPageBreak/>
        <w:t>Exclusions from Gross Income</w:t>
      </w:r>
    </w:p>
    <w:p w14:paraId="5C55759A" w14:textId="6BB8F723" w:rsidR="00A758CB" w:rsidRPr="001E3442" w:rsidRDefault="00A758CB" w:rsidP="00D83FFD">
      <w:pPr>
        <w:pStyle w:val="Body"/>
        <w:keepNext/>
        <w:keepLines/>
        <w:numPr>
          <w:ilvl w:val="0"/>
          <w:numId w:val="44"/>
        </w:numPr>
        <w:spacing w:before="200"/>
        <w:rPr>
          <w:sz w:val="20"/>
          <w:szCs w:val="20"/>
        </w:rPr>
      </w:pPr>
      <w:r w:rsidRPr="001E3442">
        <w:rPr>
          <w:sz w:val="20"/>
          <w:szCs w:val="20"/>
        </w:rPr>
        <w:t>Cancellation of Home Mortgage Debt</w:t>
      </w:r>
      <w:r w:rsidR="001E3442" w:rsidRPr="001E3442">
        <w:rPr>
          <w:sz w:val="20"/>
          <w:szCs w:val="20"/>
          <w:lang w:val="en-US"/>
        </w:rPr>
        <w:t xml:space="preserve"> [</w:t>
      </w:r>
      <w:r w:rsidRPr="001E3442">
        <w:rPr>
          <w:sz w:val="20"/>
          <w:szCs w:val="20"/>
        </w:rPr>
        <w:t>I.R.C. § 108; PATH Act § 151</w:t>
      </w:r>
      <w:r w:rsidR="001E3442">
        <w:rPr>
          <w:sz w:val="20"/>
          <w:szCs w:val="20"/>
          <w:lang w:val="en-US"/>
        </w:rPr>
        <w:t>]</w:t>
      </w:r>
    </w:p>
    <w:p w14:paraId="558D8137" w14:textId="77777777" w:rsidR="00A758CB" w:rsidRPr="001E3442" w:rsidRDefault="00A758CB" w:rsidP="00D83FFD">
      <w:pPr>
        <w:pStyle w:val="RandCStatute"/>
        <w:keepNext/>
        <w:keepLines/>
        <w:numPr>
          <w:ilvl w:val="0"/>
          <w:numId w:val="42"/>
        </w:numPr>
        <w:spacing w:before="200" w:after="0"/>
        <w:ind w:left="1080"/>
        <w:rPr>
          <w:sz w:val="20"/>
          <w:szCs w:val="20"/>
        </w:rPr>
      </w:pPr>
      <w:r w:rsidRPr="001E3442">
        <w:rPr>
          <w:sz w:val="20"/>
          <w:szCs w:val="20"/>
        </w:rPr>
        <w:t>Generally applies to discharges of indebtedness after December 31, 2014. The provision relating to discharges pursuant to a binding written agreement applies to discharges of indebtedness after December 31, 2015.</w:t>
      </w:r>
    </w:p>
    <w:p w14:paraId="794BAECA" w14:textId="77777777" w:rsidR="00A758CB" w:rsidRPr="001E3442" w:rsidRDefault="00A758CB" w:rsidP="00D83FFD">
      <w:pPr>
        <w:pStyle w:val="RandCStatute"/>
        <w:numPr>
          <w:ilvl w:val="0"/>
          <w:numId w:val="42"/>
        </w:numPr>
        <w:spacing w:before="200" w:after="0"/>
        <w:ind w:left="1080"/>
        <w:rPr>
          <w:sz w:val="20"/>
          <w:szCs w:val="20"/>
        </w:rPr>
      </w:pPr>
      <w:r w:rsidRPr="001E3442">
        <w:rPr>
          <w:sz w:val="20"/>
          <w:szCs w:val="20"/>
        </w:rPr>
        <w:t>The PATH Act extends the exclusion from gross income for discharges of qualified principal residence indebtedness for 2 additional years (through December 31, 2016). It also provides for an exclusion from gross income for taxpayers whose qualified principal residence indebtedness was discharged on or after January 1, 2017, if the discharge was pursuant to a binding written agreement entered into prior to January 1, 2017.</w:t>
      </w:r>
    </w:p>
    <w:p w14:paraId="548D94B8" w14:textId="493C0EFA" w:rsidR="00A758CB" w:rsidRPr="001E3442" w:rsidRDefault="00A758CB" w:rsidP="00D83FFD">
      <w:pPr>
        <w:pStyle w:val="Body"/>
        <w:keepLines/>
        <w:numPr>
          <w:ilvl w:val="0"/>
          <w:numId w:val="44"/>
        </w:numPr>
        <w:spacing w:before="200"/>
        <w:rPr>
          <w:sz w:val="20"/>
          <w:szCs w:val="20"/>
        </w:rPr>
      </w:pPr>
      <w:r w:rsidRPr="001E3442">
        <w:rPr>
          <w:sz w:val="20"/>
          <w:szCs w:val="20"/>
        </w:rPr>
        <w:t>Charitable Donations from IRAs</w:t>
      </w:r>
      <w:r w:rsidR="001E3442" w:rsidRPr="001E3442">
        <w:rPr>
          <w:sz w:val="20"/>
          <w:szCs w:val="20"/>
        </w:rPr>
        <w:t xml:space="preserve"> [</w:t>
      </w:r>
      <w:r w:rsidRPr="001E3442">
        <w:rPr>
          <w:sz w:val="20"/>
          <w:szCs w:val="20"/>
        </w:rPr>
        <w:t>I.R.C. § 408(d)(8); PATH Act § 112</w:t>
      </w:r>
      <w:r w:rsidR="001E3442" w:rsidRPr="001E3442">
        <w:rPr>
          <w:sz w:val="20"/>
          <w:szCs w:val="20"/>
        </w:rPr>
        <w:t>]</w:t>
      </w:r>
    </w:p>
    <w:p w14:paraId="568F2BD0" w14:textId="0137559A" w:rsidR="00A758CB" w:rsidRPr="001E3442" w:rsidRDefault="00A758CB" w:rsidP="00D83FFD">
      <w:pPr>
        <w:pStyle w:val="RandCStatute"/>
        <w:numPr>
          <w:ilvl w:val="0"/>
          <w:numId w:val="43"/>
        </w:numPr>
        <w:spacing w:before="200" w:after="0"/>
        <w:ind w:left="1080"/>
        <w:rPr>
          <w:sz w:val="20"/>
          <w:szCs w:val="20"/>
        </w:rPr>
      </w:pPr>
      <w:r w:rsidRPr="001E3442">
        <w:rPr>
          <w:sz w:val="20"/>
          <w:szCs w:val="20"/>
        </w:rPr>
        <w:t>Effective for distributions made in tax years beginning after December 31, 2014</w:t>
      </w:r>
      <w:r w:rsidR="00767A10">
        <w:rPr>
          <w:sz w:val="20"/>
          <w:szCs w:val="20"/>
          <w:lang w:val="en-US"/>
        </w:rPr>
        <w:t>.</w:t>
      </w:r>
    </w:p>
    <w:p w14:paraId="40E31662" w14:textId="77777777" w:rsidR="00A758CB" w:rsidRPr="001E3442" w:rsidRDefault="00A758CB" w:rsidP="00D83FFD">
      <w:pPr>
        <w:pStyle w:val="RandCStatute"/>
        <w:numPr>
          <w:ilvl w:val="0"/>
          <w:numId w:val="43"/>
        </w:numPr>
        <w:spacing w:before="200" w:after="0"/>
        <w:ind w:left="1080"/>
        <w:rPr>
          <w:sz w:val="20"/>
          <w:szCs w:val="20"/>
        </w:rPr>
      </w:pPr>
      <w:r w:rsidRPr="001E3442">
        <w:rPr>
          <w:sz w:val="20"/>
          <w:szCs w:val="20"/>
        </w:rPr>
        <w:t>Otherwise taxable IRA distributions from a traditional or Roth IRA are excluded from gross income to the extent they are qualified charitable distributions. The exclusion may not exceed $100,000 per taxpayer per tax year.</w:t>
      </w:r>
    </w:p>
    <w:p w14:paraId="0E5AC796" w14:textId="36B6E4F3" w:rsidR="00A758CB" w:rsidRPr="001E3442" w:rsidRDefault="00A758CB" w:rsidP="00D83FFD">
      <w:pPr>
        <w:pStyle w:val="Body"/>
        <w:keepLines/>
        <w:numPr>
          <w:ilvl w:val="0"/>
          <w:numId w:val="44"/>
        </w:numPr>
        <w:spacing w:before="200"/>
        <w:rPr>
          <w:sz w:val="20"/>
          <w:szCs w:val="20"/>
        </w:rPr>
      </w:pPr>
      <w:r w:rsidRPr="001E3442">
        <w:rPr>
          <w:sz w:val="20"/>
          <w:szCs w:val="20"/>
        </w:rPr>
        <w:t>Transit Assistance</w:t>
      </w:r>
      <w:r w:rsidR="001E3442" w:rsidRPr="001E3442">
        <w:rPr>
          <w:sz w:val="20"/>
          <w:szCs w:val="20"/>
          <w:lang w:val="en-US"/>
        </w:rPr>
        <w:t xml:space="preserve"> </w:t>
      </w:r>
      <w:r w:rsidR="001E3442">
        <w:rPr>
          <w:sz w:val="20"/>
          <w:szCs w:val="20"/>
          <w:lang w:val="en-US"/>
        </w:rPr>
        <w:t>[</w:t>
      </w:r>
      <w:r w:rsidRPr="001E3442">
        <w:rPr>
          <w:sz w:val="20"/>
          <w:szCs w:val="20"/>
        </w:rPr>
        <w:t>I.R.C. § 132(f); PATH Act § 105</w:t>
      </w:r>
      <w:r w:rsidR="001E3442">
        <w:rPr>
          <w:sz w:val="20"/>
          <w:szCs w:val="20"/>
          <w:lang w:val="en-US"/>
        </w:rPr>
        <w:t>]</w:t>
      </w:r>
    </w:p>
    <w:p w14:paraId="4BA78E19" w14:textId="28D6B53A" w:rsidR="00A758CB" w:rsidRPr="001E3442" w:rsidRDefault="00A758CB" w:rsidP="00D83FFD">
      <w:pPr>
        <w:pStyle w:val="RandCStatute"/>
        <w:numPr>
          <w:ilvl w:val="0"/>
          <w:numId w:val="45"/>
        </w:numPr>
        <w:spacing w:before="200" w:after="0"/>
        <w:ind w:left="1080"/>
        <w:rPr>
          <w:sz w:val="20"/>
          <w:szCs w:val="20"/>
        </w:rPr>
      </w:pPr>
      <w:r w:rsidRPr="001E3442">
        <w:rPr>
          <w:sz w:val="20"/>
          <w:szCs w:val="20"/>
        </w:rPr>
        <w:t>Effective for months after December 31, 2014</w:t>
      </w:r>
      <w:r w:rsidR="001E3442">
        <w:rPr>
          <w:sz w:val="20"/>
          <w:szCs w:val="20"/>
          <w:lang w:val="en-US"/>
        </w:rPr>
        <w:t>.</w:t>
      </w:r>
    </w:p>
    <w:p w14:paraId="733A44C2" w14:textId="77777777" w:rsidR="00A758CB" w:rsidRPr="001E3442" w:rsidRDefault="00A758CB" w:rsidP="00D83FFD">
      <w:pPr>
        <w:pStyle w:val="RandCStatute"/>
        <w:numPr>
          <w:ilvl w:val="0"/>
          <w:numId w:val="45"/>
        </w:numPr>
        <w:spacing w:before="200" w:after="0"/>
        <w:ind w:left="1080"/>
        <w:rPr>
          <w:sz w:val="20"/>
          <w:szCs w:val="20"/>
        </w:rPr>
      </w:pPr>
      <w:r w:rsidRPr="001E3442">
        <w:rPr>
          <w:sz w:val="20"/>
          <w:szCs w:val="20"/>
        </w:rPr>
        <w:t>The PATH Act reinstates parity in the exclusion for combined employer-provided transit pass and vanpool benefits and for employer-provided parking benefits and makes parity permanent. Thus, for 2015, the monthly limit on the exclusion for combined transit pass and vanpool benefits is $250, the same as the monthly limit on the exclusion for qualified parking benefits. Similarly, for 2016 and later years, the same monthly limit will apply on the exclusion for combined transit pass and vanpool benefits and the exclusion for qualified parking benefits.</w:t>
      </w:r>
    </w:p>
    <w:p w14:paraId="2EA67F98" w14:textId="77777777" w:rsidR="001E3442" w:rsidRPr="001E3442" w:rsidRDefault="00A758CB" w:rsidP="00D83FFD">
      <w:pPr>
        <w:pStyle w:val="RandCStatute"/>
        <w:numPr>
          <w:ilvl w:val="0"/>
          <w:numId w:val="45"/>
        </w:numPr>
        <w:spacing w:before="200" w:after="0"/>
        <w:ind w:left="1080"/>
      </w:pPr>
      <w:r w:rsidRPr="001E3442">
        <w:rPr>
          <w:sz w:val="20"/>
          <w:szCs w:val="20"/>
        </w:rPr>
        <w:t>In order for the extension to be effective retroactive to January 1, 2015, expenses incurred</w:t>
      </w:r>
      <w:r w:rsidR="001E3442" w:rsidRPr="001E3442">
        <w:rPr>
          <w:sz w:val="20"/>
          <w:szCs w:val="20"/>
          <w:lang w:val="en-US"/>
        </w:rPr>
        <w:t xml:space="preserve"> </w:t>
      </w:r>
      <w:r w:rsidRPr="001E3442">
        <w:rPr>
          <w:sz w:val="20"/>
          <w:szCs w:val="20"/>
        </w:rPr>
        <w:t>for months beginning after December 31, 2014, and before December 18, 2015, by an employee for employer-provided vanpool and transit benefits may be reimbursed (under a bona fide reimbursement arrangement) by employers on a tax-free basis to the extent they exceed $130 per month and are no more than $250 per month.</w:t>
      </w:r>
    </w:p>
    <w:p w14:paraId="0EEA8D28" w14:textId="77777777" w:rsidR="001E3442" w:rsidRPr="001E3442" w:rsidRDefault="00A758CB" w:rsidP="00D83FFD">
      <w:pPr>
        <w:pStyle w:val="RandCStatute"/>
        <w:numPr>
          <w:ilvl w:val="0"/>
          <w:numId w:val="45"/>
        </w:numPr>
        <w:spacing w:before="200" w:after="0"/>
        <w:ind w:left="1080"/>
      </w:pPr>
      <w:r w:rsidRPr="001E3442">
        <w:rPr>
          <w:sz w:val="20"/>
          <w:szCs w:val="20"/>
        </w:rPr>
        <w:t>It is intended that the rule that an employer reimbursement is excludible only if vouchers are not available to provide the benefit continues to apply, except in the case of reimbursements for vanpool or transit benefits between $130 and $250 for months beginning after December 31, 2014, and before December 18, 2015.</w:t>
      </w:r>
    </w:p>
    <w:p w14:paraId="6DE9F72B" w14:textId="228560D7" w:rsidR="00A758CB" w:rsidRPr="001E3442" w:rsidRDefault="00A758CB" w:rsidP="00D83FFD">
      <w:pPr>
        <w:pStyle w:val="RandCStatute"/>
        <w:numPr>
          <w:ilvl w:val="0"/>
          <w:numId w:val="45"/>
        </w:numPr>
        <w:spacing w:before="200" w:after="0"/>
        <w:ind w:left="1080"/>
        <w:rPr>
          <w:sz w:val="20"/>
          <w:szCs w:val="20"/>
        </w:rPr>
      </w:pPr>
      <w:r w:rsidRPr="001E3442">
        <w:rPr>
          <w:sz w:val="20"/>
          <w:szCs w:val="20"/>
        </w:rPr>
        <w:t>Further, it is intended that reimbursements of the additional amount for expenses incurred for months beginning after December 31, 2014, and before December 18, 2015, may be made in addition to the provision of benefits or reimbursements of up to the applicable monthly limit for expenses incurred for months beginning after December 18, 2015.</w:t>
      </w:r>
    </w:p>
    <w:p w14:paraId="43BC0FFA" w14:textId="77777777" w:rsidR="00A758CB" w:rsidRPr="001E3442" w:rsidRDefault="00A758CB" w:rsidP="00D83FFD">
      <w:pPr>
        <w:pStyle w:val="ListParagraph"/>
        <w:keepNext/>
        <w:keepLines/>
        <w:widowControl w:val="0"/>
        <w:numPr>
          <w:ilvl w:val="0"/>
          <w:numId w:val="25"/>
        </w:numPr>
        <w:tabs>
          <w:tab w:val="decimal" w:pos="180"/>
        </w:tabs>
        <w:spacing w:before="200"/>
        <w:ind w:left="0" w:hanging="274"/>
        <w:contextualSpacing w:val="0"/>
        <w:jc w:val="both"/>
        <w:rPr>
          <w:rFonts w:ascii="Times New Roman" w:hAnsi="Times New Roman"/>
          <w:b/>
          <w:sz w:val="20"/>
          <w:szCs w:val="20"/>
        </w:rPr>
      </w:pPr>
      <w:r w:rsidRPr="001E3442">
        <w:rPr>
          <w:rFonts w:ascii="Times New Roman" w:hAnsi="Times New Roman"/>
          <w:b/>
          <w:sz w:val="20"/>
          <w:szCs w:val="20"/>
        </w:rPr>
        <w:lastRenderedPageBreak/>
        <w:t>Business Deductions</w:t>
      </w:r>
    </w:p>
    <w:p w14:paraId="6890296F" w14:textId="77777777" w:rsidR="00A758CB" w:rsidRPr="001E3442" w:rsidRDefault="00A758CB" w:rsidP="00D83FFD">
      <w:pPr>
        <w:pStyle w:val="Bodynoindent"/>
        <w:keepNext/>
        <w:keepLines/>
        <w:numPr>
          <w:ilvl w:val="0"/>
          <w:numId w:val="47"/>
        </w:numPr>
        <w:spacing w:before="200"/>
        <w:ind w:left="360"/>
        <w:rPr>
          <w:sz w:val="20"/>
          <w:szCs w:val="20"/>
        </w:rPr>
      </w:pPr>
      <w:r w:rsidRPr="001E3442">
        <w:rPr>
          <w:sz w:val="20"/>
          <w:szCs w:val="20"/>
        </w:rPr>
        <w:t>Cost Recovery Deductions</w:t>
      </w:r>
    </w:p>
    <w:p w14:paraId="11D56347" w14:textId="5D1E351B" w:rsidR="00A758CB" w:rsidRPr="001E3442" w:rsidRDefault="00A758CB" w:rsidP="00D83FFD">
      <w:pPr>
        <w:pStyle w:val="Body"/>
        <w:keepNext/>
        <w:keepLines/>
        <w:numPr>
          <w:ilvl w:val="0"/>
          <w:numId w:val="46"/>
        </w:numPr>
        <w:spacing w:before="200"/>
        <w:rPr>
          <w:sz w:val="20"/>
          <w:szCs w:val="20"/>
        </w:rPr>
      </w:pPr>
      <w:r w:rsidRPr="001E3442">
        <w:rPr>
          <w:sz w:val="20"/>
          <w:szCs w:val="20"/>
        </w:rPr>
        <w:t>I.R.C. § 179 Expensing</w:t>
      </w:r>
      <w:r w:rsidR="001E3442" w:rsidRPr="001E3442">
        <w:rPr>
          <w:sz w:val="20"/>
          <w:szCs w:val="20"/>
          <w:lang w:val="en-US"/>
        </w:rPr>
        <w:t xml:space="preserve"> </w:t>
      </w:r>
      <w:r w:rsidR="001E3442">
        <w:rPr>
          <w:sz w:val="20"/>
          <w:szCs w:val="20"/>
          <w:lang w:val="en-US"/>
        </w:rPr>
        <w:t>[</w:t>
      </w:r>
      <w:r w:rsidRPr="001E3442">
        <w:rPr>
          <w:sz w:val="20"/>
          <w:szCs w:val="20"/>
        </w:rPr>
        <w:t>I.R.C. § 179; PATH Act § 124</w:t>
      </w:r>
      <w:r w:rsidR="001E3442">
        <w:rPr>
          <w:sz w:val="20"/>
          <w:szCs w:val="20"/>
          <w:lang w:val="en-US"/>
        </w:rPr>
        <w:t>]</w:t>
      </w:r>
    </w:p>
    <w:p w14:paraId="424E4893" w14:textId="4038616C" w:rsidR="00A758CB" w:rsidRPr="001E3442" w:rsidRDefault="00A758CB" w:rsidP="00D83FFD">
      <w:pPr>
        <w:pStyle w:val="RandCStatute"/>
        <w:keepNext/>
        <w:keepLines/>
        <w:numPr>
          <w:ilvl w:val="0"/>
          <w:numId w:val="48"/>
        </w:numPr>
        <w:spacing w:before="200" w:after="0"/>
        <w:ind w:left="1080"/>
        <w:rPr>
          <w:sz w:val="20"/>
          <w:szCs w:val="20"/>
        </w:rPr>
      </w:pPr>
      <w:r w:rsidRPr="001E3442">
        <w:rPr>
          <w:sz w:val="20"/>
          <w:szCs w:val="20"/>
        </w:rPr>
        <w:t>Generally effective for tax years beginning after December 31, 2014; the modifications apply to tax years beginning after December 31, 2015</w:t>
      </w:r>
      <w:r w:rsidR="001E3442">
        <w:rPr>
          <w:sz w:val="20"/>
          <w:szCs w:val="20"/>
          <w:lang w:val="en-US"/>
        </w:rPr>
        <w:t>.</w:t>
      </w:r>
    </w:p>
    <w:p w14:paraId="07E18EEE" w14:textId="77777777" w:rsidR="001E3442" w:rsidRDefault="00A758CB" w:rsidP="00D83FFD">
      <w:pPr>
        <w:pStyle w:val="RandCStatute"/>
        <w:keepNext/>
        <w:keepLines/>
        <w:numPr>
          <w:ilvl w:val="0"/>
          <w:numId w:val="48"/>
        </w:numPr>
        <w:spacing w:before="200" w:after="0"/>
        <w:ind w:left="1080"/>
        <w:rPr>
          <w:sz w:val="20"/>
          <w:szCs w:val="20"/>
        </w:rPr>
      </w:pPr>
      <w:r w:rsidRPr="001E3442">
        <w:rPr>
          <w:sz w:val="20"/>
          <w:szCs w:val="20"/>
        </w:rPr>
        <w:t>The PATH Act provides that the maximum amount a taxpayer may expense, for tax years beginning after 2014, is $500,000 of the cost of qualifying property placed in service for the tax year.</w:t>
      </w:r>
    </w:p>
    <w:p w14:paraId="1C19EEDC" w14:textId="77777777" w:rsidR="001E3442" w:rsidRDefault="00A758CB" w:rsidP="00D83FFD">
      <w:pPr>
        <w:pStyle w:val="RandCStatute"/>
        <w:numPr>
          <w:ilvl w:val="0"/>
          <w:numId w:val="48"/>
        </w:numPr>
        <w:spacing w:before="200" w:after="0"/>
        <w:ind w:left="1080"/>
        <w:rPr>
          <w:sz w:val="20"/>
          <w:szCs w:val="20"/>
        </w:rPr>
      </w:pPr>
      <w:r w:rsidRPr="001E3442">
        <w:rPr>
          <w:sz w:val="20"/>
          <w:szCs w:val="20"/>
        </w:rPr>
        <w:t>The $500,000 amount is reduced (but not below zero) by the amount by which the cost of qualifying property placed in service during the tax year exceeds $2,000,000.</w:t>
      </w:r>
    </w:p>
    <w:p w14:paraId="36AC825C" w14:textId="080A76DD" w:rsidR="00A758CB" w:rsidRPr="001E3442" w:rsidRDefault="00A758CB" w:rsidP="00D83FFD">
      <w:pPr>
        <w:pStyle w:val="RandCStatute"/>
        <w:numPr>
          <w:ilvl w:val="0"/>
          <w:numId w:val="48"/>
        </w:numPr>
        <w:spacing w:before="200" w:after="0"/>
        <w:ind w:left="1080"/>
        <w:rPr>
          <w:sz w:val="20"/>
          <w:szCs w:val="20"/>
        </w:rPr>
      </w:pPr>
      <w:r w:rsidRPr="001E3442">
        <w:rPr>
          <w:sz w:val="20"/>
          <w:szCs w:val="20"/>
        </w:rPr>
        <w:t>The $500,000 and $2,000,000 amounts are indexed for inflation for tax years beginning after 2015.</w:t>
      </w:r>
    </w:p>
    <w:p w14:paraId="278BCB9C" w14:textId="77777777" w:rsidR="001E3442" w:rsidRDefault="00A758CB" w:rsidP="00D83FFD">
      <w:pPr>
        <w:pStyle w:val="RandCStatute"/>
        <w:numPr>
          <w:ilvl w:val="0"/>
          <w:numId w:val="48"/>
        </w:numPr>
        <w:spacing w:before="200" w:after="0"/>
        <w:ind w:left="1080"/>
        <w:rPr>
          <w:sz w:val="20"/>
          <w:szCs w:val="20"/>
        </w:rPr>
      </w:pPr>
      <w:r w:rsidRPr="001E3442">
        <w:rPr>
          <w:sz w:val="20"/>
          <w:szCs w:val="20"/>
        </w:rPr>
        <w:t>In addition, the PATH Act makes permanent the treatment of off-the-shelf computer software as qualifying property.</w:t>
      </w:r>
    </w:p>
    <w:p w14:paraId="59757B01" w14:textId="7944D10E" w:rsidR="001E3442" w:rsidRDefault="00A758CB" w:rsidP="00D83FFD">
      <w:pPr>
        <w:pStyle w:val="RandCStatute"/>
        <w:numPr>
          <w:ilvl w:val="0"/>
          <w:numId w:val="48"/>
        </w:numPr>
        <w:spacing w:before="200" w:after="0"/>
        <w:ind w:left="1080"/>
        <w:rPr>
          <w:sz w:val="20"/>
          <w:szCs w:val="20"/>
        </w:rPr>
      </w:pPr>
      <w:r w:rsidRPr="001E3442">
        <w:rPr>
          <w:sz w:val="20"/>
          <w:szCs w:val="20"/>
        </w:rPr>
        <w:t>It also makes permanent the treatment of qualified real property as eligible section 179 property.</w:t>
      </w:r>
    </w:p>
    <w:p w14:paraId="1311DB8A" w14:textId="3AD086E3" w:rsidR="00A758CB" w:rsidRPr="001E3442" w:rsidRDefault="00EE28BA" w:rsidP="00D83FFD">
      <w:pPr>
        <w:pStyle w:val="RandCStatute"/>
        <w:numPr>
          <w:ilvl w:val="0"/>
          <w:numId w:val="48"/>
        </w:numPr>
        <w:spacing w:before="200" w:after="0"/>
        <w:ind w:left="1080"/>
        <w:rPr>
          <w:sz w:val="20"/>
          <w:szCs w:val="20"/>
        </w:rPr>
      </w:pPr>
      <w:r>
        <w:rPr>
          <w:sz w:val="20"/>
          <w:szCs w:val="20"/>
          <w:lang w:val="en-US"/>
        </w:rPr>
        <w:t>F</w:t>
      </w:r>
      <w:r w:rsidR="00A758CB" w:rsidRPr="001E3442">
        <w:rPr>
          <w:sz w:val="20"/>
          <w:szCs w:val="20"/>
        </w:rPr>
        <w:t>or tax years beginning after 2015, the PATH Act strikes the flush language in I.R.C. § 179(d</w:t>
      </w:r>
      <w:proofErr w:type="gramStart"/>
      <w:r w:rsidR="00A758CB" w:rsidRPr="001E3442">
        <w:rPr>
          <w:sz w:val="20"/>
          <w:szCs w:val="20"/>
        </w:rPr>
        <w:t>)(</w:t>
      </w:r>
      <w:proofErr w:type="gramEnd"/>
      <w:r w:rsidR="00A758CB" w:rsidRPr="001E3442">
        <w:rPr>
          <w:sz w:val="20"/>
          <w:szCs w:val="20"/>
        </w:rPr>
        <w:t>1) that excludes air conditioning and heating units from the definition of qualifying property.</w:t>
      </w:r>
    </w:p>
    <w:p w14:paraId="2F2007FD" w14:textId="77777777" w:rsidR="00A758CB" w:rsidRPr="001E3442" w:rsidRDefault="00A758CB" w:rsidP="00D83FFD">
      <w:pPr>
        <w:pStyle w:val="RandCStatute"/>
        <w:numPr>
          <w:ilvl w:val="0"/>
          <w:numId w:val="48"/>
        </w:numPr>
        <w:spacing w:before="200" w:after="0"/>
        <w:ind w:left="1080"/>
        <w:rPr>
          <w:sz w:val="20"/>
          <w:szCs w:val="20"/>
        </w:rPr>
      </w:pPr>
      <w:r w:rsidRPr="001E3442">
        <w:rPr>
          <w:sz w:val="20"/>
          <w:szCs w:val="20"/>
        </w:rPr>
        <w:t>The PATH Act also makes permanent the rule that allows a taxpayer to revoke any election, and any specification of property to be expensed contained therein, made under I.R.C. § 179 without the consent of the Commissioner.</w:t>
      </w:r>
    </w:p>
    <w:p w14:paraId="60C0B13E" w14:textId="193CCB9C" w:rsidR="00A758CB" w:rsidRPr="00EE28BA" w:rsidRDefault="00C7646C" w:rsidP="00D83FFD">
      <w:pPr>
        <w:pStyle w:val="Body"/>
        <w:keepLines/>
        <w:numPr>
          <w:ilvl w:val="0"/>
          <w:numId w:val="46"/>
        </w:numPr>
        <w:spacing w:before="200"/>
        <w:rPr>
          <w:sz w:val="20"/>
          <w:szCs w:val="20"/>
        </w:rPr>
      </w:pPr>
      <w:r w:rsidRPr="00EE28BA">
        <w:rPr>
          <w:sz w:val="20"/>
          <w:szCs w:val="20"/>
        </w:rPr>
        <w:t>Bonus</w:t>
      </w:r>
      <w:r w:rsidR="00A758CB" w:rsidRPr="00EE28BA">
        <w:rPr>
          <w:sz w:val="20"/>
          <w:szCs w:val="20"/>
        </w:rPr>
        <w:t xml:space="preserve"> Depreciation</w:t>
      </w:r>
      <w:r w:rsidR="00EE28BA" w:rsidRPr="00EE28BA">
        <w:rPr>
          <w:sz w:val="20"/>
          <w:szCs w:val="20"/>
        </w:rPr>
        <w:t xml:space="preserve"> [</w:t>
      </w:r>
      <w:r w:rsidR="00A758CB" w:rsidRPr="00EE28BA">
        <w:rPr>
          <w:sz w:val="20"/>
          <w:szCs w:val="20"/>
        </w:rPr>
        <w:t>I.R.C. § 168(k); PATH Act § 143</w:t>
      </w:r>
      <w:r w:rsidR="00EE28BA" w:rsidRPr="00EE28BA">
        <w:rPr>
          <w:sz w:val="20"/>
          <w:szCs w:val="20"/>
        </w:rPr>
        <w:t>]</w:t>
      </w:r>
    </w:p>
    <w:p w14:paraId="6654657E" w14:textId="77777777" w:rsidR="005A2657" w:rsidRDefault="00A758CB" w:rsidP="00D83FFD">
      <w:pPr>
        <w:pStyle w:val="RandCStatute"/>
        <w:numPr>
          <w:ilvl w:val="0"/>
          <w:numId w:val="49"/>
        </w:numPr>
        <w:spacing w:before="200" w:after="0"/>
        <w:ind w:left="1080"/>
        <w:rPr>
          <w:sz w:val="20"/>
          <w:szCs w:val="20"/>
        </w:rPr>
      </w:pPr>
      <w:r w:rsidRPr="00EE28BA">
        <w:rPr>
          <w:sz w:val="20"/>
          <w:szCs w:val="20"/>
        </w:rPr>
        <w:t>Generally effective for property placed in service after December 31, 2014. In tax years ending after such date; the modifications relating to bonus depreciation apply to property placed in service after December 31, 2015, in tax years ending after such date; the modifications relating to the election to accelerate AMT credits in lieu of claiming bonus depreciation generally apply to tax years ending after December 31, 2015.</w:t>
      </w:r>
    </w:p>
    <w:p w14:paraId="5B5C8DFC" w14:textId="4E1D51DA" w:rsidR="00A758CB" w:rsidRPr="00EE28BA" w:rsidRDefault="00A758CB" w:rsidP="00D83FFD">
      <w:pPr>
        <w:pStyle w:val="RandCStatute"/>
        <w:numPr>
          <w:ilvl w:val="0"/>
          <w:numId w:val="50"/>
        </w:numPr>
        <w:spacing w:before="200" w:after="0"/>
        <w:ind w:left="1440" w:hanging="360"/>
        <w:rPr>
          <w:sz w:val="20"/>
          <w:szCs w:val="20"/>
        </w:rPr>
      </w:pPr>
      <w:r w:rsidRPr="00EE28BA">
        <w:rPr>
          <w:sz w:val="20"/>
          <w:szCs w:val="20"/>
        </w:rPr>
        <w:t>For a tax year beginning before January 1, 2016, and ending after December 31, 2015, a transitional rule applies for purposes of determining the amount eligible for the election to claim additional AMT credits. The transitional rule applies the present-law limitations to property placed in service in 2015 and the revised limitations to property placed in service in 2016.</w:t>
      </w:r>
    </w:p>
    <w:p w14:paraId="08BFDD0F" w14:textId="77777777" w:rsidR="00A758CB" w:rsidRPr="00EE28BA" w:rsidRDefault="00A758CB" w:rsidP="00D83FFD">
      <w:pPr>
        <w:pStyle w:val="RandCStatute"/>
        <w:numPr>
          <w:ilvl w:val="0"/>
          <w:numId w:val="50"/>
        </w:numPr>
        <w:spacing w:before="200" w:after="0"/>
        <w:ind w:left="1440" w:hanging="360"/>
        <w:rPr>
          <w:sz w:val="20"/>
          <w:szCs w:val="20"/>
        </w:rPr>
      </w:pPr>
      <w:r w:rsidRPr="00EE28BA">
        <w:rPr>
          <w:sz w:val="20"/>
          <w:szCs w:val="20"/>
        </w:rPr>
        <w:t>The provision relating to certain plants bearing fruits and nuts is effective for specified plants planted or grafted after December 31, 2015.</w:t>
      </w:r>
    </w:p>
    <w:p w14:paraId="0F12C7E0" w14:textId="77777777" w:rsidR="00A758CB" w:rsidRPr="005A2657" w:rsidRDefault="00A758CB" w:rsidP="00D83FFD">
      <w:pPr>
        <w:pStyle w:val="RandCStatute"/>
        <w:numPr>
          <w:ilvl w:val="0"/>
          <w:numId w:val="49"/>
        </w:numPr>
        <w:spacing w:before="200" w:after="0"/>
        <w:ind w:left="1080"/>
        <w:rPr>
          <w:sz w:val="20"/>
          <w:szCs w:val="20"/>
        </w:rPr>
      </w:pPr>
      <w:r w:rsidRPr="005A2657">
        <w:rPr>
          <w:sz w:val="20"/>
          <w:szCs w:val="20"/>
        </w:rPr>
        <w:t>Additional first-year depreciation</w:t>
      </w:r>
    </w:p>
    <w:p w14:paraId="5E8AA594" w14:textId="77777777" w:rsidR="00A758CB" w:rsidRPr="005A2657" w:rsidRDefault="00A758CB" w:rsidP="00D83FFD">
      <w:pPr>
        <w:pStyle w:val="RandCStatute"/>
        <w:numPr>
          <w:ilvl w:val="0"/>
          <w:numId w:val="51"/>
        </w:numPr>
        <w:spacing w:before="200" w:after="0"/>
        <w:ind w:left="1440" w:hanging="360"/>
        <w:rPr>
          <w:sz w:val="20"/>
          <w:szCs w:val="20"/>
        </w:rPr>
      </w:pPr>
      <w:r w:rsidRPr="005A2657">
        <w:rPr>
          <w:sz w:val="20"/>
          <w:szCs w:val="20"/>
        </w:rPr>
        <w:t>The PATH Act extends and modifies the additional first-year depreciation deduction for 5 years, generally through 2019 (through 2020 for certain longer-lived and transportation property). The percentage is phased down from 50% by 10% per calendar year beginning in 2018 (2019 for certain longer-lived and transportation property). Thus, for qualified property (other than certain longer-lived and transportation property) the percentage for property placed in service in 2018 is 40% and for 2019 is 30%. These percentages apply to certain longer-lived and transportation property placed in service 1 year later.</w:t>
      </w:r>
    </w:p>
    <w:p w14:paraId="07FF0A5E" w14:textId="77777777" w:rsidR="00A758CB" w:rsidRPr="005A2657" w:rsidRDefault="00A758CB" w:rsidP="00D83FFD">
      <w:pPr>
        <w:pStyle w:val="RandCStatute"/>
        <w:numPr>
          <w:ilvl w:val="0"/>
          <w:numId w:val="51"/>
        </w:numPr>
        <w:spacing w:before="200" w:after="0"/>
        <w:ind w:left="1440" w:hanging="360"/>
        <w:rPr>
          <w:sz w:val="20"/>
          <w:szCs w:val="20"/>
        </w:rPr>
      </w:pPr>
      <w:r w:rsidRPr="005A2657">
        <w:rPr>
          <w:sz w:val="20"/>
          <w:szCs w:val="20"/>
        </w:rPr>
        <w:lastRenderedPageBreak/>
        <w:t>The $8,000 increase amount in the limitation on the depreciation deductions allowed with respect to certain passenger automobiles is phased down from $8,000 by $1,600 per calendar year beginning in 2018. Thus, the I.R.C. § 280F increase amount for property placed in service in 2018 is $6,400, and for 2019 is $4,800. The increase does not apply to a taxpayer who elects to accelerate AMT credits in lieu of bonus depreciation for a tax year.</w:t>
      </w:r>
    </w:p>
    <w:p w14:paraId="5E3D6554" w14:textId="77777777" w:rsidR="00A758CB" w:rsidRPr="005A2657" w:rsidRDefault="00A758CB" w:rsidP="00D83FFD">
      <w:pPr>
        <w:pStyle w:val="RandCStatute"/>
        <w:numPr>
          <w:ilvl w:val="0"/>
          <w:numId w:val="51"/>
        </w:numPr>
        <w:spacing w:before="200" w:after="0"/>
        <w:ind w:left="1440" w:hanging="360"/>
        <w:rPr>
          <w:sz w:val="20"/>
          <w:szCs w:val="20"/>
        </w:rPr>
      </w:pPr>
      <w:r w:rsidRPr="005A2657">
        <w:rPr>
          <w:sz w:val="20"/>
          <w:szCs w:val="20"/>
        </w:rPr>
        <w:t>After 2015, the PATH Act allows additional first-year depreciation for qualified improvement property without regard to whether the improvements are property subject to a lease, and also removes the requirement that the improvement must be placed in service more than 3 years after the date the building was first placed in service.</w:t>
      </w:r>
    </w:p>
    <w:p w14:paraId="746535A8" w14:textId="77777777" w:rsidR="00A758CB" w:rsidRPr="005A2657" w:rsidRDefault="00A758CB" w:rsidP="00D83FFD">
      <w:pPr>
        <w:pStyle w:val="RandCStatute"/>
        <w:numPr>
          <w:ilvl w:val="0"/>
          <w:numId w:val="51"/>
        </w:numPr>
        <w:spacing w:before="200" w:after="0"/>
        <w:ind w:left="1440" w:hanging="360"/>
        <w:rPr>
          <w:sz w:val="20"/>
          <w:szCs w:val="20"/>
        </w:rPr>
      </w:pPr>
      <w:r w:rsidRPr="005A2657">
        <w:rPr>
          <w:sz w:val="20"/>
          <w:szCs w:val="20"/>
        </w:rPr>
        <w:t>The PATH Act also extends the special rule for the allocation of bonus depreciation to a long-term contract for 5 years to property placed in service before January 1, 2020 (January 1, 2021, in the case of certain longer-lived and transportation property).</w:t>
      </w:r>
    </w:p>
    <w:p w14:paraId="0B8778A0" w14:textId="77777777" w:rsidR="00A758CB" w:rsidRPr="005A2657" w:rsidRDefault="00A758CB" w:rsidP="00D83FFD">
      <w:pPr>
        <w:pStyle w:val="RandCStatute"/>
        <w:numPr>
          <w:ilvl w:val="0"/>
          <w:numId w:val="49"/>
        </w:numPr>
        <w:spacing w:before="200" w:after="0"/>
        <w:ind w:left="1080"/>
        <w:rPr>
          <w:sz w:val="20"/>
          <w:szCs w:val="20"/>
        </w:rPr>
      </w:pPr>
      <w:r w:rsidRPr="005A2657">
        <w:rPr>
          <w:sz w:val="20"/>
          <w:szCs w:val="20"/>
        </w:rPr>
        <w:t>Special rules for certain plants</w:t>
      </w:r>
    </w:p>
    <w:p w14:paraId="77FEEAE2" w14:textId="77777777" w:rsidR="005A2657" w:rsidRDefault="00A758CB" w:rsidP="00D83FFD">
      <w:pPr>
        <w:pStyle w:val="RandCStatute"/>
        <w:numPr>
          <w:ilvl w:val="0"/>
          <w:numId w:val="52"/>
        </w:numPr>
        <w:spacing w:before="200" w:after="0"/>
        <w:ind w:left="1440" w:hanging="360"/>
        <w:rPr>
          <w:sz w:val="20"/>
          <w:szCs w:val="20"/>
        </w:rPr>
      </w:pPr>
      <w:r w:rsidRPr="005A2657">
        <w:rPr>
          <w:sz w:val="20"/>
          <w:szCs w:val="20"/>
        </w:rPr>
        <w:t>The PATH Act provides an election for certain plants bearing fruits and nuts.</w:t>
      </w:r>
    </w:p>
    <w:p w14:paraId="7240DCF5" w14:textId="77777777" w:rsidR="005A2657" w:rsidRDefault="00A758CB" w:rsidP="00D83FFD">
      <w:pPr>
        <w:pStyle w:val="RandCStatute"/>
        <w:numPr>
          <w:ilvl w:val="0"/>
          <w:numId w:val="52"/>
        </w:numPr>
        <w:spacing w:before="200" w:after="0"/>
        <w:ind w:left="1440" w:hanging="360"/>
        <w:rPr>
          <w:sz w:val="20"/>
          <w:szCs w:val="20"/>
        </w:rPr>
      </w:pPr>
      <w:r w:rsidRPr="005A2657">
        <w:rPr>
          <w:sz w:val="20"/>
          <w:szCs w:val="20"/>
        </w:rPr>
        <w:t>Under the election, the applicable percentage of the adjusted basis of a specified plant that is planted or grafted after December 31, 2015 and before January 1, 2020, is deductible for regular tax and AMT purposes in the year planted or grafted by the taxpayer, and the adjusted basis is reduced by the amount of the deduction.</w:t>
      </w:r>
    </w:p>
    <w:p w14:paraId="2334C1E1" w14:textId="77777777" w:rsidR="005A2657" w:rsidRDefault="00A758CB" w:rsidP="00D83FFD">
      <w:pPr>
        <w:pStyle w:val="RandCStatute"/>
        <w:numPr>
          <w:ilvl w:val="0"/>
          <w:numId w:val="52"/>
        </w:numPr>
        <w:spacing w:before="200" w:after="0"/>
        <w:ind w:left="1440" w:hanging="360"/>
        <w:rPr>
          <w:sz w:val="20"/>
          <w:szCs w:val="20"/>
        </w:rPr>
      </w:pPr>
      <w:r w:rsidRPr="005A2657">
        <w:rPr>
          <w:sz w:val="20"/>
          <w:szCs w:val="20"/>
        </w:rPr>
        <w:t>The percentage is 50% for 2016, and then is phased down by 10% per calendar year beginning in 2018. Thus, the percentage for 2018 is 40%, and for 2019 is 30%.</w:t>
      </w:r>
    </w:p>
    <w:p w14:paraId="78072091" w14:textId="77777777" w:rsidR="005A2657" w:rsidRDefault="00A758CB" w:rsidP="00D83FFD">
      <w:pPr>
        <w:pStyle w:val="RandCStatute"/>
        <w:numPr>
          <w:ilvl w:val="0"/>
          <w:numId w:val="52"/>
        </w:numPr>
        <w:spacing w:before="200" w:after="0"/>
        <w:ind w:left="1440" w:hanging="360"/>
        <w:rPr>
          <w:sz w:val="20"/>
          <w:szCs w:val="20"/>
        </w:rPr>
      </w:pPr>
      <w:r w:rsidRPr="005A2657">
        <w:rPr>
          <w:sz w:val="20"/>
          <w:szCs w:val="20"/>
        </w:rPr>
        <w:t xml:space="preserve">A specified plant is any tree or vine that bears fruits or nuts, and any other plant that will have more than one yield of fruits or nuts and generally has a </w:t>
      </w:r>
      <w:proofErr w:type="spellStart"/>
      <w:r w:rsidRPr="005A2657">
        <w:rPr>
          <w:sz w:val="20"/>
          <w:szCs w:val="20"/>
        </w:rPr>
        <w:t>preproductive</w:t>
      </w:r>
      <w:proofErr w:type="spellEnd"/>
      <w:r w:rsidRPr="005A2657">
        <w:rPr>
          <w:sz w:val="20"/>
          <w:szCs w:val="20"/>
        </w:rPr>
        <w:t xml:space="preserve"> period of more than 2 years from planting or grafting to the time it begins bearing fruits or nuts.</w:t>
      </w:r>
    </w:p>
    <w:p w14:paraId="64D08BF9" w14:textId="6C509F53" w:rsidR="004B69DF" w:rsidRDefault="00A758CB" w:rsidP="00D83FFD">
      <w:pPr>
        <w:pStyle w:val="RandCStatute"/>
        <w:numPr>
          <w:ilvl w:val="0"/>
          <w:numId w:val="52"/>
        </w:numPr>
        <w:spacing w:before="200" w:after="0"/>
        <w:ind w:left="1440" w:hanging="360"/>
        <w:rPr>
          <w:sz w:val="20"/>
          <w:szCs w:val="20"/>
        </w:rPr>
      </w:pPr>
      <w:r w:rsidRPr="005A2657">
        <w:rPr>
          <w:sz w:val="20"/>
          <w:szCs w:val="20"/>
        </w:rPr>
        <w:t>The election is revocable only with the consent of the Secretary, and if the election is made with respect to any specified plant, such plant is not treated as qualified property eligible for bonus depreciation in the subsequent tax year in which it is placed in service.</w:t>
      </w:r>
    </w:p>
    <w:p w14:paraId="1BEB8F86" w14:textId="77777777" w:rsidR="00AA455F" w:rsidRPr="00AA455F" w:rsidRDefault="00AA455F" w:rsidP="00D83FFD">
      <w:pPr>
        <w:pStyle w:val="RandCStatute"/>
        <w:numPr>
          <w:ilvl w:val="0"/>
          <w:numId w:val="49"/>
        </w:numPr>
        <w:spacing w:before="200" w:after="0"/>
        <w:ind w:left="1080"/>
        <w:rPr>
          <w:sz w:val="20"/>
          <w:szCs w:val="20"/>
        </w:rPr>
      </w:pPr>
      <w:r w:rsidRPr="00AA455F">
        <w:rPr>
          <w:sz w:val="20"/>
          <w:szCs w:val="20"/>
        </w:rPr>
        <w:t>Benefits of the New Legislation</w:t>
      </w:r>
    </w:p>
    <w:p w14:paraId="36EDC0A0" w14:textId="77777777" w:rsidR="00AA455F" w:rsidRPr="00AA455F" w:rsidRDefault="00AA455F" w:rsidP="00D83FFD">
      <w:pPr>
        <w:pStyle w:val="RandCStatute"/>
        <w:numPr>
          <w:ilvl w:val="0"/>
          <w:numId w:val="83"/>
        </w:numPr>
        <w:spacing w:before="200" w:after="0"/>
        <w:ind w:left="1440" w:hanging="360"/>
        <w:rPr>
          <w:sz w:val="20"/>
          <w:szCs w:val="20"/>
        </w:rPr>
      </w:pPr>
      <w:r w:rsidRPr="00AA455F">
        <w:rPr>
          <w:sz w:val="20"/>
          <w:szCs w:val="20"/>
        </w:rPr>
        <w:t>The new legislation not only allows farmers who elect out of the UNICAP rules to claim bonus depreciation they previously could not claim; it also allows farmers (whether or not they elect out of the UNICAP rules) to claim the bonus depreciation in the year the plants are planted instead of the year the plants are placed in service.</w:t>
      </w:r>
    </w:p>
    <w:p w14:paraId="5A0395C3" w14:textId="77777777" w:rsidR="00AA455F" w:rsidRPr="00AA455F" w:rsidRDefault="00AA455F" w:rsidP="00D83FFD">
      <w:pPr>
        <w:pStyle w:val="RandCStatute"/>
        <w:numPr>
          <w:ilvl w:val="0"/>
          <w:numId w:val="83"/>
        </w:numPr>
        <w:spacing w:before="200" w:after="0"/>
        <w:ind w:left="1440" w:hanging="360"/>
        <w:rPr>
          <w:sz w:val="20"/>
          <w:szCs w:val="20"/>
        </w:rPr>
      </w:pPr>
      <w:r w:rsidRPr="00AA455F">
        <w:rPr>
          <w:sz w:val="20"/>
          <w:szCs w:val="20"/>
        </w:rPr>
        <w:t>Deducting the bonus depreciation in an earlier year has two benefits.</w:t>
      </w:r>
    </w:p>
    <w:p w14:paraId="5695394C" w14:textId="77777777" w:rsidR="00AA455F" w:rsidRPr="00AA455F" w:rsidRDefault="00AA455F" w:rsidP="00D83FFD">
      <w:pPr>
        <w:pStyle w:val="RandCStatute"/>
        <w:numPr>
          <w:ilvl w:val="1"/>
          <w:numId w:val="64"/>
        </w:numPr>
        <w:spacing w:before="200" w:after="0"/>
        <w:ind w:left="1800"/>
        <w:rPr>
          <w:sz w:val="20"/>
          <w:szCs w:val="20"/>
        </w:rPr>
      </w:pPr>
      <w:r w:rsidRPr="00AA455F">
        <w:rPr>
          <w:sz w:val="20"/>
          <w:szCs w:val="20"/>
        </w:rPr>
        <w:t>As with any deduction allowed in an earlier year, it allows the taxpayer to reap the benefit of the deduction in an earlier year, which postpones paying taxes in most cases.</w:t>
      </w:r>
    </w:p>
    <w:p w14:paraId="35C4022F" w14:textId="77777777" w:rsidR="00AA455F" w:rsidRPr="00AA455F" w:rsidRDefault="00AA455F" w:rsidP="00D83FFD">
      <w:pPr>
        <w:pStyle w:val="RandCStatute"/>
        <w:numPr>
          <w:ilvl w:val="1"/>
          <w:numId w:val="64"/>
        </w:numPr>
        <w:spacing w:before="200" w:after="0"/>
        <w:ind w:left="1800"/>
        <w:rPr>
          <w:sz w:val="20"/>
          <w:szCs w:val="20"/>
        </w:rPr>
      </w:pPr>
      <w:r w:rsidRPr="00AA455F">
        <w:rPr>
          <w:sz w:val="20"/>
          <w:szCs w:val="20"/>
        </w:rPr>
        <w:t>Deducting bonus depreciation in an earlier year also allows farmers to avoid the phase-out of the bonus depreciation for plants that were planted before 2018 but will not be placed in service until 2018 or a later year.</w:t>
      </w:r>
    </w:p>
    <w:p w14:paraId="3B949C4B" w14:textId="51ABE9F8" w:rsidR="00AA455F" w:rsidRPr="000276CA" w:rsidRDefault="00AA455F" w:rsidP="00AA455F">
      <w:pPr>
        <w:keepNext/>
        <w:spacing w:before="240" w:after="120"/>
        <w:jc w:val="both"/>
        <w:rPr>
          <w:rFonts w:ascii="Arial Narrow" w:hAnsi="Arial Narrow"/>
          <w:b/>
          <w:sz w:val="20"/>
          <w:szCs w:val="20"/>
          <w:lang w:eastAsia="x-none"/>
        </w:rPr>
      </w:pPr>
      <w:r w:rsidRPr="000276CA">
        <w:rPr>
          <w:rFonts w:ascii="Arial Narrow" w:hAnsi="Arial Narrow"/>
          <w:b/>
          <w:sz w:val="20"/>
          <w:szCs w:val="20"/>
          <w:lang w:val="x-none" w:eastAsia="x-none"/>
        </w:rPr>
        <w:t xml:space="preserve">Example </w:t>
      </w:r>
      <w:r w:rsidR="00E24EC1">
        <w:rPr>
          <w:rFonts w:ascii="Arial Narrow" w:hAnsi="Arial Narrow"/>
          <w:b/>
          <w:sz w:val="20"/>
          <w:szCs w:val="20"/>
          <w:lang w:eastAsia="x-none"/>
        </w:rPr>
        <w:t>4</w:t>
      </w:r>
      <w:r w:rsidRPr="000276CA">
        <w:rPr>
          <w:rFonts w:ascii="Arial Narrow" w:hAnsi="Arial Narrow"/>
          <w:b/>
          <w:sz w:val="20"/>
          <w:szCs w:val="20"/>
          <w:lang w:eastAsia="x-none"/>
        </w:rPr>
        <w:t>.</w:t>
      </w:r>
      <w:r w:rsidRPr="000276CA">
        <w:rPr>
          <w:rFonts w:ascii="Arial Narrow" w:hAnsi="Arial Narrow"/>
          <w:b/>
          <w:sz w:val="20"/>
          <w:szCs w:val="20"/>
          <w:lang w:val="x-none" w:eastAsia="x-none"/>
        </w:rPr>
        <w:t xml:space="preserve"> </w:t>
      </w:r>
      <w:r w:rsidRPr="000276CA">
        <w:rPr>
          <w:rFonts w:ascii="Arial Narrow" w:hAnsi="Arial Narrow"/>
          <w:b/>
          <w:sz w:val="20"/>
          <w:szCs w:val="20"/>
          <w:lang w:eastAsia="x-none"/>
        </w:rPr>
        <w:t>Elected Out of UNICAP</w:t>
      </w:r>
    </w:p>
    <w:p w14:paraId="4F3CAD35" w14:textId="715A21E9" w:rsidR="00AA455F" w:rsidRPr="000276CA" w:rsidRDefault="00AA455F" w:rsidP="00AA455F">
      <w:pPr>
        <w:jc w:val="both"/>
        <w:rPr>
          <w:sz w:val="20"/>
          <w:szCs w:val="20"/>
          <w:lang w:val="x-none" w:eastAsia="x-none"/>
        </w:rPr>
      </w:pPr>
      <w:r w:rsidRPr="000276CA">
        <w:rPr>
          <w:sz w:val="20"/>
          <w:szCs w:val="20"/>
          <w:lang w:eastAsia="x-none"/>
        </w:rPr>
        <w:t>Franny Smith</w:t>
      </w:r>
      <w:r w:rsidRPr="000276CA">
        <w:rPr>
          <w:sz w:val="20"/>
          <w:szCs w:val="20"/>
          <w:lang w:val="x-none" w:eastAsia="x-none"/>
        </w:rPr>
        <w:t xml:space="preserve"> </w:t>
      </w:r>
      <w:r w:rsidRPr="000276CA">
        <w:rPr>
          <w:sz w:val="20"/>
          <w:szCs w:val="20"/>
          <w:lang w:eastAsia="x-none"/>
        </w:rPr>
        <w:t xml:space="preserve">elected out of the UNICAP rules in the first year she planted fruit trees because she </w:t>
      </w:r>
      <w:r w:rsidRPr="000276CA">
        <w:rPr>
          <w:sz w:val="20"/>
          <w:szCs w:val="20"/>
          <w:lang w:val="x-none" w:eastAsia="x-none"/>
        </w:rPr>
        <w:t>did not w</w:t>
      </w:r>
      <w:r w:rsidRPr="000276CA">
        <w:rPr>
          <w:sz w:val="20"/>
          <w:szCs w:val="20"/>
          <w:lang w:eastAsia="x-none"/>
        </w:rPr>
        <w:t>ant</w:t>
      </w:r>
      <w:r w:rsidRPr="000276CA">
        <w:rPr>
          <w:sz w:val="20"/>
          <w:szCs w:val="20"/>
          <w:lang w:val="x-none" w:eastAsia="x-none"/>
        </w:rPr>
        <w:t xml:space="preserve"> to bother with accounting for h</w:t>
      </w:r>
      <w:r w:rsidRPr="000276CA">
        <w:rPr>
          <w:sz w:val="20"/>
          <w:szCs w:val="20"/>
          <w:lang w:eastAsia="x-none"/>
        </w:rPr>
        <w:t>er</w:t>
      </w:r>
      <w:r w:rsidRPr="000276CA">
        <w:rPr>
          <w:sz w:val="20"/>
          <w:szCs w:val="20"/>
          <w:lang w:val="x-none" w:eastAsia="x-none"/>
        </w:rPr>
        <w:t xml:space="preserve"> </w:t>
      </w:r>
      <w:proofErr w:type="spellStart"/>
      <w:r w:rsidRPr="000276CA">
        <w:rPr>
          <w:sz w:val="20"/>
          <w:szCs w:val="20"/>
          <w:lang w:val="x-none" w:eastAsia="x-none"/>
        </w:rPr>
        <w:t>preproductive</w:t>
      </w:r>
      <w:proofErr w:type="spellEnd"/>
      <w:r w:rsidRPr="000276CA">
        <w:rPr>
          <w:sz w:val="20"/>
          <w:szCs w:val="20"/>
          <w:lang w:val="x-none" w:eastAsia="x-none"/>
        </w:rPr>
        <w:t xml:space="preserve"> </w:t>
      </w:r>
      <w:r w:rsidRPr="000276CA">
        <w:rPr>
          <w:sz w:val="20"/>
          <w:szCs w:val="20"/>
          <w:lang w:eastAsia="x-none"/>
        </w:rPr>
        <w:t xml:space="preserve">period </w:t>
      </w:r>
      <w:r w:rsidRPr="000276CA">
        <w:rPr>
          <w:sz w:val="20"/>
          <w:szCs w:val="20"/>
          <w:lang w:val="x-none" w:eastAsia="x-none"/>
        </w:rPr>
        <w:t xml:space="preserve">expenses. </w:t>
      </w:r>
      <w:r w:rsidRPr="000276CA">
        <w:rPr>
          <w:sz w:val="20"/>
          <w:szCs w:val="20"/>
          <w:lang w:eastAsia="x-none"/>
        </w:rPr>
        <w:t>Consequently, she must</w:t>
      </w:r>
      <w:r w:rsidRPr="000276CA">
        <w:rPr>
          <w:sz w:val="20"/>
          <w:szCs w:val="20"/>
          <w:lang w:val="x-none" w:eastAsia="x-none"/>
        </w:rPr>
        <w:t xml:space="preserve"> use </w:t>
      </w:r>
      <w:r w:rsidRPr="000276CA">
        <w:rPr>
          <w:sz w:val="20"/>
          <w:szCs w:val="20"/>
          <w:lang w:eastAsia="x-none"/>
        </w:rPr>
        <w:t xml:space="preserve">the </w:t>
      </w:r>
      <w:r w:rsidRPr="000276CA">
        <w:rPr>
          <w:sz w:val="20"/>
          <w:szCs w:val="20"/>
          <w:lang w:val="x-none" w:eastAsia="x-none"/>
        </w:rPr>
        <w:t>ADS</w:t>
      </w:r>
      <w:r w:rsidRPr="000276CA">
        <w:rPr>
          <w:sz w:val="20"/>
          <w:szCs w:val="20"/>
          <w:lang w:eastAsia="x-none"/>
        </w:rPr>
        <w:t xml:space="preserve"> to depreciate all of her depreciable assets used in farming</w:t>
      </w:r>
      <w:r w:rsidRPr="000276CA">
        <w:rPr>
          <w:sz w:val="20"/>
          <w:szCs w:val="20"/>
          <w:lang w:val="x-none" w:eastAsia="x-none"/>
        </w:rPr>
        <w:t xml:space="preserve">. </w:t>
      </w:r>
      <w:r w:rsidRPr="000276CA">
        <w:rPr>
          <w:b/>
          <w:sz w:val="20"/>
          <w:szCs w:val="20"/>
          <w:lang w:eastAsia="x-none"/>
        </w:rPr>
        <w:t xml:space="preserve">Figure </w:t>
      </w:r>
      <w:r w:rsidR="00E24EC1">
        <w:rPr>
          <w:b/>
          <w:sz w:val="20"/>
          <w:szCs w:val="20"/>
          <w:lang w:eastAsia="x-none"/>
        </w:rPr>
        <w:t>3</w:t>
      </w:r>
      <w:r w:rsidRPr="000276CA">
        <w:rPr>
          <w:sz w:val="20"/>
          <w:szCs w:val="20"/>
          <w:lang w:eastAsia="x-none"/>
        </w:rPr>
        <w:t xml:space="preserve"> reports the cost of planting and maintaining fruit trees that she planted </w:t>
      </w:r>
      <w:proofErr w:type="spellStart"/>
      <w:r w:rsidRPr="000276CA">
        <w:rPr>
          <w:sz w:val="20"/>
          <w:szCs w:val="20"/>
          <w:lang w:eastAsia="x-none"/>
        </w:rPr>
        <w:t>i</w:t>
      </w:r>
      <w:proofErr w:type="spellEnd"/>
      <w:r w:rsidRPr="000276CA">
        <w:rPr>
          <w:sz w:val="20"/>
          <w:szCs w:val="20"/>
          <w:lang w:val="x-none" w:eastAsia="x-none"/>
        </w:rPr>
        <w:t>n May 2016</w:t>
      </w:r>
      <w:r w:rsidRPr="000276CA">
        <w:rPr>
          <w:sz w:val="20"/>
          <w:szCs w:val="20"/>
          <w:lang w:eastAsia="x-none"/>
        </w:rPr>
        <w:t xml:space="preserve"> and that will be placed in service in October 2018.</w:t>
      </w:r>
    </w:p>
    <w:p w14:paraId="65CD9A6D" w14:textId="427AA313" w:rsidR="00AA455F" w:rsidRPr="000276CA" w:rsidRDefault="00AA455F" w:rsidP="00AA455F">
      <w:pPr>
        <w:keepNext/>
        <w:keepLines/>
        <w:spacing w:before="240" w:after="120"/>
        <w:jc w:val="center"/>
        <w:rPr>
          <w:rFonts w:ascii="Arial Narrow" w:hAnsi="Arial Narrow"/>
          <w:b/>
          <w:i/>
          <w:sz w:val="20"/>
          <w:szCs w:val="20"/>
        </w:rPr>
      </w:pPr>
      <w:r w:rsidRPr="000276CA">
        <w:rPr>
          <w:rFonts w:ascii="Arial Narrow" w:hAnsi="Arial Narrow"/>
          <w:b/>
          <w:i/>
          <w:sz w:val="20"/>
          <w:szCs w:val="20"/>
        </w:rPr>
        <w:lastRenderedPageBreak/>
        <w:t xml:space="preserve">FIGURE </w:t>
      </w:r>
      <w:r w:rsidR="00E24EC1">
        <w:rPr>
          <w:rFonts w:ascii="Arial Narrow" w:hAnsi="Arial Narrow"/>
          <w:b/>
          <w:i/>
          <w:sz w:val="20"/>
          <w:szCs w:val="20"/>
        </w:rPr>
        <w:t>3</w:t>
      </w:r>
      <w:r w:rsidRPr="000276CA">
        <w:rPr>
          <w:rFonts w:ascii="Arial Narrow" w:hAnsi="Arial Narrow"/>
          <w:b/>
          <w:i/>
          <w:sz w:val="20"/>
          <w:szCs w:val="20"/>
        </w:rPr>
        <w:t>. Costs for New Fruit Trees</w:t>
      </w:r>
    </w:p>
    <w:tbl>
      <w:tblPr>
        <w:tblStyle w:val="TableGrid8"/>
        <w:tblW w:w="0" w:type="auto"/>
        <w:jc w:val="center"/>
        <w:tblLook w:val="04A0" w:firstRow="1" w:lastRow="0" w:firstColumn="1" w:lastColumn="0" w:noHBand="0" w:noVBand="1"/>
      </w:tblPr>
      <w:tblGrid>
        <w:gridCol w:w="3150"/>
        <w:gridCol w:w="1170"/>
        <w:gridCol w:w="1170"/>
      </w:tblGrid>
      <w:tr w:rsidR="00AA455F" w:rsidRPr="000276CA" w14:paraId="723067C3" w14:textId="77777777" w:rsidTr="00AA455F">
        <w:trPr>
          <w:jc w:val="center"/>
        </w:trPr>
        <w:tc>
          <w:tcPr>
            <w:tcW w:w="3150" w:type="dxa"/>
          </w:tcPr>
          <w:p w14:paraId="1BAA2F13" w14:textId="77777777" w:rsidR="00AA455F" w:rsidRPr="000276CA" w:rsidRDefault="00AA455F" w:rsidP="00AA455F">
            <w:pPr>
              <w:keepNext/>
              <w:keepLines/>
              <w:jc w:val="both"/>
              <w:rPr>
                <w:rFonts w:ascii="Arial Narrow" w:hAnsi="Arial Narrow"/>
                <w:b/>
                <w:sz w:val="20"/>
                <w:szCs w:val="20"/>
              </w:rPr>
            </w:pPr>
            <w:r w:rsidRPr="000276CA">
              <w:rPr>
                <w:rFonts w:ascii="Arial Narrow" w:hAnsi="Arial Narrow"/>
                <w:b/>
                <w:sz w:val="20"/>
                <w:szCs w:val="20"/>
              </w:rPr>
              <w:t>Amounts paid in 2016</w:t>
            </w:r>
          </w:p>
        </w:tc>
        <w:tc>
          <w:tcPr>
            <w:tcW w:w="1170" w:type="dxa"/>
          </w:tcPr>
          <w:p w14:paraId="6ADCBFD2" w14:textId="77777777" w:rsidR="00AA455F" w:rsidRPr="000276CA" w:rsidRDefault="00AA455F" w:rsidP="00AA455F">
            <w:pPr>
              <w:keepNext/>
              <w:keepLines/>
              <w:jc w:val="right"/>
              <w:rPr>
                <w:rFonts w:ascii="Arial Narrow" w:hAnsi="Arial Narrow"/>
                <w:sz w:val="20"/>
                <w:szCs w:val="20"/>
              </w:rPr>
            </w:pPr>
          </w:p>
        </w:tc>
        <w:tc>
          <w:tcPr>
            <w:tcW w:w="1170" w:type="dxa"/>
          </w:tcPr>
          <w:p w14:paraId="31B7C5EA" w14:textId="77777777" w:rsidR="00AA455F" w:rsidRPr="000276CA" w:rsidRDefault="00AA455F" w:rsidP="00AA455F">
            <w:pPr>
              <w:keepNext/>
              <w:keepLines/>
              <w:jc w:val="right"/>
              <w:rPr>
                <w:rFonts w:ascii="Arial Narrow" w:hAnsi="Arial Narrow"/>
                <w:sz w:val="20"/>
                <w:szCs w:val="20"/>
              </w:rPr>
            </w:pPr>
          </w:p>
        </w:tc>
      </w:tr>
      <w:tr w:rsidR="00AA455F" w:rsidRPr="000276CA" w14:paraId="078916E7" w14:textId="77777777" w:rsidTr="00AA455F">
        <w:trPr>
          <w:jc w:val="center"/>
        </w:trPr>
        <w:tc>
          <w:tcPr>
            <w:tcW w:w="3150" w:type="dxa"/>
          </w:tcPr>
          <w:p w14:paraId="4609A82A"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Cost of planting trees</w:t>
            </w:r>
          </w:p>
        </w:tc>
        <w:tc>
          <w:tcPr>
            <w:tcW w:w="1170" w:type="dxa"/>
          </w:tcPr>
          <w:p w14:paraId="7B8524B4" w14:textId="77777777" w:rsidR="00AA455F" w:rsidRPr="000276CA" w:rsidRDefault="00AA455F" w:rsidP="00AA455F">
            <w:pPr>
              <w:keepNext/>
              <w:keepLines/>
              <w:jc w:val="right"/>
              <w:rPr>
                <w:rFonts w:ascii="Arial Narrow" w:hAnsi="Arial Narrow"/>
                <w:sz w:val="20"/>
                <w:szCs w:val="20"/>
              </w:rPr>
            </w:pPr>
          </w:p>
        </w:tc>
        <w:tc>
          <w:tcPr>
            <w:tcW w:w="1170" w:type="dxa"/>
          </w:tcPr>
          <w:p w14:paraId="3DDDF83D" w14:textId="77777777" w:rsidR="00AA455F" w:rsidRPr="000276CA" w:rsidRDefault="00AA455F" w:rsidP="00AA455F">
            <w:pPr>
              <w:keepNext/>
              <w:keepLines/>
              <w:jc w:val="right"/>
              <w:rPr>
                <w:rFonts w:ascii="Arial Narrow" w:hAnsi="Arial Narrow"/>
                <w:sz w:val="20"/>
                <w:szCs w:val="20"/>
              </w:rPr>
            </w:pPr>
          </w:p>
        </w:tc>
      </w:tr>
      <w:tr w:rsidR="00AA455F" w:rsidRPr="000276CA" w14:paraId="7EA35D1F" w14:textId="77777777" w:rsidTr="00AA455F">
        <w:trPr>
          <w:jc w:val="center"/>
        </w:trPr>
        <w:tc>
          <w:tcPr>
            <w:tcW w:w="3150" w:type="dxa"/>
          </w:tcPr>
          <w:p w14:paraId="31404E1F"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Cost of trees</w:t>
            </w:r>
          </w:p>
        </w:tc>
        <w:tc>
          <w:tcPr>
            <w:tcW w:w="1170" w:type="dxa"/>
          </w:tcPr>
          <w:p w14:paraId="0B01C991"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$32,000</w:t>
            </w:r>
          </w:p>
        </w:tc>
        <w:tc>
          <w:tcPr>
            <w:tcW w:w="1170" w:type="dxa"/>
          </w:tcPr>
          <w:p w14:paraId="5E9E6C08" w14:textId="77777777" w:rsidR="00AA455F" w:rsidRPr="000276CA" w:rsidRDefault="00AA455F" w:rsidP="00AA455F">
            <w:pPr>
              <w:keepNext/>
              <w:keepLines/>
              <w:jc w:val="right"/>
              <w:rPr>
                <w:rFonts w:ascii="Arial Narrow" w:hAnsi="Arial Narrow"/>
                <w:sz w:val="20"/>
                <w:szCs w:val="20"/>
              </w:rPr>
            </w:pPr>
          </w:p>
        </w:tc>
      </w:tr>
      <w:tr w:rsidR="00AA455F" w:rsidRPr="000276CA" w14:paraId="7CB933ED" w14:textId="77777777" w:rsidTr="00AA455F">
        <w:trPr>
          <w:jc w:val="center"/>
        </w:trPr>
        <w:tc>
          <w:tcPr>
            <w:tcW w:w="3150" w:type="dxa"/>
          </w:tcPr>
          <w:p w14:paraId="5C3875E1"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Cost of support posts</w:t>
            </w:r>
          </w:p>
        </w:tc>
        <w:tc>
          <w:tcPr>
            <w:tcW w:w="1170" w:type="dxa"/>
          </w:tcPr>
          <w:p w14:paraId="7D0F303F"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8,000</w:t>
            </w:r>
          </w:p>
        </w:tc>
        <w:tc>
          <w:tcPr>
            <w:tcW w:w="1170" w:type="dxa"/>
          </w:tcPr>
          <w:p w14:paraId="4ABAD639" w14:textId="77777777" w:rsidR="00AA455F" w:rsidRPr="000276CA" w:rsidRDefault="00AA455F" w:rsidP="00AA455F">
            <w:pPr>
              <w:keepNext/>
              <w:keepLines/>
              <w:jc w:val="right"/>
              <w:rPr>
                <w:rFonts w:ascii="Arial Narrow" w:hAnsi="Arial Narrow"/>
                <w:sz w:val="20"/>
                <w:szCs w:val="20"/>
              </w:rPr>
            </w:pPr>
          </w:p>
        </w:tc>
      </w:tr>
      <w:tr w:rsidR="00AA455F" w:rsidRPr="000276CA" w14:paraId="062FD863" w14:textId="77777777" w:rsidTr="00AA455F">
        <w:trPr>
          <w:jc w:val="center"/>
        </w:trPr>
        <w:tc>
          <w:tcPr>
            <w:tcW w:w="3150" w:type="dxa"/>
          </w:tcPr>
          <w:p w14:paraId="680A0887"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Spray and fertilizer</w:t>
            </w:r>
          </w:p>
        </w:tc>
        <w:tc>
          <w:tcPr>
            <w:tcW w:w="1170" w:type="dxa"/>
          </w:tcPr>
          <w:p w14:paraId="63F5FF94"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3,000</w:t>
            </w:r>
          </w:p>
        </w:tc>
        <w:tc>
          <w:tcPr>
            <w:tcW w:w="1170" w:type="dxa"/>
          </w:tcPr>
          <w:p w14:paraId="6F5AB71D" w14:textId="77777777" w:rsidR="00AA455F" w:rsidRPr="000276CA" w:rsidRDefault="00AA455F" w:rsidP="00AA455F">
            <w:pPr>
              <w:keepNext/>
              <w:keepLines/>
              <w:jc w:val="right"/>
              <w:rPr>
                <w:rFonts w:ascii="Arial Narrow" w:hAnsi="Arial Narrow"/>
                <w:sz w:val="20"/>
                <w:szCs w:val="20"/>
              </w:rPr>
            </w:pPr>
          </w:p>
        </w:tc>
      </w:tr>
      <w:tr w:rsidR="00AA455F" w:rsidRPr="000276CA" w14:paraId="17F1B015" w14:textId="77777777" w:rsidTr="00AA455F">
        <w:trPr>
          <w:jc w:val="center"/>
        </w:trPr>
        <w:tc>
          <w:tcPr>
            <w:tcW w:w="3150" w:type="dxa"/>
          </w:tcPr>
          <w:p w14:paraId="748D0363"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Labor for planting</w:t>
            </w:r>
          </w:p>
        </w:tc>
        <w:tc>
          <w:tcPr>
            <w:tcW w:w="1170" w:type="dxa"/>
          </w:tcPr>
          <w:p w14:paraId="60C7DA5C" w14:textId="77777777" w:rsidR="00AA455F" w:rsidRPr="000276CA" w:rsidRDefault="00AA455F" w:rsidP="00AA455F">
            <w:pPr>
              <w:keepNext/>
              <w:keepLines/>
              <w:jc w:val="right"/>
              <w:rPr>
                <w:rFonts w:ascii="Arial Narrow" w:hAnsi="Arial Narrow"/>
                <w:sz w:val="20"/>
                <w:szCs w:val="20"/>
                <w:u w:val="single"/>
              </w:rPr>
            </w:pPr>
            <w:r w:rsidRPr="000276CA">
              <w:rPr>
                <w:rFonts w:ascii="Arial Narrow" w:hAnsi="Arial Narrow"/>
                <w:sz w:val="20"/>
                <w:szCs w:val="20"/>
                <w:u w:val="single"/>
              </w:rPr>
              <w:t>4,000</w:t>
            </w:r>
          </w:p>
        </w:tc>
        <w:tc>
          <w:tcPr>
            <w:tcW w:w="1170" w:type="dxa"/>
          </w:tcPr>
          <w:p w14:paraId="6E10DCC0" w14:textId="77777777" w:rsidR="00AA455F" w:rsidRPr="000276CA" w:rsidRDefault="00AA455F" w:rsidP="00AA455F">
            <w:pPr>
              <w:keepNext/>
              <w:keepLines/>
              <w:jc w:val="right"/>
              <w:rPr>
                <w:rFonts w:ascii="Arial Narrow" w:hAnsi="Arial Narrow"/>
                <w:sz w:val="20"/>
                <w:szCs w:val="20"/>
              </w:rPr>
            </w:pPr>
          </w:p>
        </w:tc>
      </w:tr>
      <w:tr w:rsidR="00AA455F" w:rsidRPr="000276CA" w14:paraId="64A35B14" w14:textId="77777777" w:rsidTr="00AA455F">
        <w:trPr>
          <w:jc w:val="center"/>
        </w:trPr>
        <w:tc>
          <w:tcPr>
            <w:tcW w:w="3150" w:type="dxa"/>
          </w:tcPr>
          <w:p w14:paraId="2DFCD2B2"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Total cost of planting trees</w:t>
            </w:r>
          </w:p>
        </w:tc>
        <w:tc>
          <w:tcPr>
            <w:tcW w:w="1170" w:type="dxa"/>
          </w:tcPr>
          <w:p w14:paraId="572BD1ED" w14:textId="77777777" w:rsidR="00AA455F" w:rsidRPr="000276CA" w:rsidRDefault="00AA455F" w:rsidP="00AA455F">
            <w:pPr>
              <w:keepNext/>
              <w:keepLines/>
              <w:jc w:val="right"/>
              <w:rPr>
                <w:rFonts w:ascii="Arial Narrow" w:hAnsi="Arial Narrow"/>
                <w:sz w:val="20"/>
                <w:szCs w:val="20"/>
              </w:rPr>
            </w:pPr>
          </w:p>
        </w:tc>
        <w:tc>
          <w:tcPr>
            <w:tcW w:w="1170" w:type="dxa"/>
          </w:tcPr>
          <w:p w14:paraId="47215414"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$47,000</w:t>
            </w:r>
          </w:p>
        </w:tc>
      </w:tr>
      <w:tr w:rsidR="00AA455F" w:rsidRPr="000276CA" w14:paraId="0A1277C8" w14:textId="77777777" w:rsidTr="00AA455F">
        <w:trPr>
          <w:jc w:val="center"/>
        </w:trPr>
        <w:tc>
          <w:tcPr>
            <w:tcW w:w="3150" w:type="dxa"/>
          </w:tcPr>
          <w:p w14:paraId="69EA09F8"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Maintenance cost after planting</w:t>
            </w:r>
          </w:p>
        </w:tc>
        <w:tc>
          <w:tcPr>
            <w:tcW w:w="1170" w:type="dxa"/>
          </w:tcPr>
          <w:p w14:paraId="528D6B06" w14:textId="77777777" w:rsidR="00AA455F" w:rsidRPr="000276CA" w:rsidRDefault="00AA455F" w:rsidP="00AA455F">
            <w:pPr>
              <w:keepNext/>
              <w:keepLines/>
              <w:jc w:val="right"/>
              <w:rPr>
                <w:rFonts w:ascii="Arial Narrow" w:hAnsi="Arial Narrow"/>
                <w:sz w:val="20"/>
                <w:szCs w:val="20"/>
              </w:rPr>
            </w:pPr>
          </w:p>
        </w:tc>
        <w:tc>
          <w:tcPr>
            <w:tcW w:w="1170" w:type="dxa"/>
          </w:tcPr>
          <w:p w14:paraId="164FAFA8"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7,000</w:t>
            </w:r>
          </w:p>
        </w:tc>
      </w:tr>
      <w:tr w:rsidR="00AA455F" w:rsidRPr="000276CA" w14:paraId="20EDE95E" w14:textId="77777777" w:rsidTr="00AA455F">
        <w:trPr>
          <w:jc w:val="center"/>
        </w:trPr>
        <w:tc>
          <w:tcPr>
            <w:tcW w:w="3150" w:type="dxa"/>
          </w:tcPr>
          <w:p w14:paraId="0189EC88" w14:textId="77777777" w:rsidR="00AA455F" w:rsidRPr="000276CA" w:rsidRDefault="00AA455F" w:rsidP="00AA455F">
            <w:pPr>
              <w:keepNext/>
              <w:keepLines/>
              <w:jc w:val="both"/>
              <w:rPr>
                <w:rFonts w:ascii="Arial Narrow" w:hAnsi="Arial Narrow"/>
                <w:sz w:val="20"/>
                <w:szCs w:val="20"/>
              </w:rPr>
            </w:pPr>
          </w:p>
        </w:tc>
        <w:tc>
          <w:tcPr>
            <w:tcW w:w="1170" w:type="dxa"/>
          </w:tcPr>
          <w:p w14:paraId="2343CBB7" w14:textId="77777777" w:rsidR="00AA455F" w:rsidRPr="000276CA" w:rsidRDefault="00AA455F" w:rsidP="00AA455F">
            <w:pPr>
              <w:keepNext/>
              <w:keepLines/>
              <w:jc w:val="right"/>
              <w:rPr>
                <w:rFonts w:ascii="Arial Narrow" w:hAnsi="Arial Narrow"/>
                <w:sz w:val="20"/>
                <w:szCs w:val="20"/>
              </w:rPr>
            </w:pPr>
          </w:p>
        </w:tc>
        <w:tc>
          <w:tcPr>
            <w:tcW w:w="1170" w:type="dxa"/>
          </w:tcPr>
          <w:p w14:paraId="7AEAE8B2" w14:textId="77777777" w:rsidR="00AA455F" w:rsidRPr="000276CA" w:rsidRDefault="00AA455F" w:rsidP="00AA455F">
            <w:pPr>
              <w:keepNext/>
              <w:keepLines/>
              <w:jc w:val="right"/>
              <w:rPr>
                <w:rFonts w:ascii="Arial Narrow" w:hAnsi="Arial Narrow"/>
                <w:sz w:val="20"/>
                <w:szCs w:val="20"/>
              </w:rPr>
            </w:pPr>
          </w:p>
        </w:tc>
      </w:tr>
      <w:tr w:rsidR="00AA455F" w:rsidRPr="000276CA" w14:paraId="63138EE6" w14:textId="77777777" w:rsidTr="00AA455F">
        <w:trPr>
          <w:jc w:val="center"/>
        </w:trPr>
        <w:tc>
          <w:tcPr>
            <w:tcW w:w="3150" w:type="dxa"/>
          </w:tcPr>
          <w:p w14:paraId="621E7E35" w14:textId="77777777" w:rsidR="00AA455F" w:rsidRPr="000276CA" w:rsidRDefault="00AA455F" w:rsidP="00AA455F">
            <w:pPr>
              <w:keepNext/>
              <w:keepLines/>
              <w:jc w:val="both"/>
              <w:rPr>
                <w:rFonts w:ascii="Arial Narrow" w:hAnsi="Arial Narrow"/>
                <w:b/>
                <w:sz w:val="20"/>
                <w:szCs w:val="20"/>
              </w:rPr>
            </w:pPr>
            <w:r w:rsidRPr="000276CA">
              <w:rPr>
                <w:rFonts w:ascii="Arial Narrow" w:hAnsi="Arial Narrow"/>
                <w:b/>
                <w:sz w:val="20"/>
                <w:szCs w:val="20"/>
              </w:rPr>
              <w:t>2017 maintenance costs</w:t>
            </w:r>
          </w:p>
        </w:tc>
        <w:tc>
          <w:tcPr>
            <w:tcW w:w="1170" w:type="dxa"/>
          </w:tcPr>
          <w:p w14:paraId="46DCA6E6" w14:textId="77777777" w:rsidR="00AA455F" w:rsidRPr="000276CA" w:rsidRDefault="00AA455F" w:rsidP="00AA455F">
            <w:pPr>
              <w:keepNext/>
              <w:keepLines/>
              <w:jc w:val="right"/>
              <w:rPr>
                <w:rFonts w:ascii="Arial Narrow" w:hAnsi="Arial Narrow"/>
                <w:sz w:val="20"/>
                <w:szCs w:val="20"/>
              </w:rPr>
            </w:pPr>
          </w:p>
        </w:tc>
        <w:tc>
          <w:tcPr>
            <w:tcW w:w="1170" w:type="dxa"/>
          </w:tcPr>
          <w:p w14:paraId="19FB91C2"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12,000</w:t>
            </w:r>
          </w:p>
        </w:tc>
      </w:tr>
      <w:tr w:rsidR="00AA455F" w:rsidRPr="000276CA" w14:paraId="374F2EEC" w14:textId="77777777" w:rsidTr="00AA455F">
        <w:trPr>
          <w:jc w:val="center"/>
        </w:trPr>
        <w:tc>
          <w:tcPr>
            <w:tcW w:w="3150" w:type="dxa"/>
          </w:tcPr>
          <w:p w14:paraId="005DFC14" w14:textId="77777777" w:rsidR="00AA455F" w:rsidRPr="000276CA" w:rsidRDefault="00AA455F" w:rsidP="00AA455F">
            <w:pPr>
              <w:keepNext/>
              <w:keepLines/>
              <w:jc w:val="both"/>
              <w:rPr>
                <w:rFonts w:ascii="Arial Narrow" w:hAnsi="Arial Narrow"/>
                <w:sz w:val="20"/>
                <w:szCs w:val="20"/>
              </w:rPr>
            </w:pPr>
          </w:p>
        </w:tc>
        <w:tc>
          <w:tcPr>
            <w:tcW w:w="1170" w:type="dxa"/>
          </w:tcPr>
          <w:p w14:paraId="309C3BAC" w14:textId="77777777" w:rsidR="00AA455F" w:rsidRPr="000276CA" w:rsidRDefault="00AA455F" w:rsidP="00AA455F">
            <w:pPr>
              <w:keepNext/>
              <w:keepLines/>
              <w:jc w:val="right"/>
              <w:rPr>
                <w:rFonts w:ascii="Arial Narrow" w:hAnsi="Arial Narrow"/>
                <w:sz w:val="20"/>
                <w:szCs w:val="20"/>
              </w:rPr>
            </w:pPr>
          </w:p>
        </w:tc>
        <w:tc>
          <w:tcPr>
            <w:tcW w:w="1170" w:type="dxa"/>
          </w:tcPr>
          <w:p w14:paraId="74A9F5FF" w14:textId="77777777" w:rsidR="00AA455F" w:rsidRPr="000276CA" w:rsidRDefault="00AA455F" w:rsidP="00AA455F">
            <w:pPr>
              <w:keepNext/>
              <w:keepLines/>
              <w:jc w:val="right"/>
              <w:rPr>
                <w:rFonts w:ascii="Arial Narrow" w:hAnsi="Arial Narrow"/>
                <w:sz w:val="20"/>
                <w:szCs w:val="20"/>
              </w:rPr>
            </w:pPr>
          </w:p>
        </w:tc>
      </w:tr>
      <w:tr w:rsidR="00AA455F" w:rsidRPr="000276CA" w14:paraId="211A090F" w14:textId="77777777" w:rsidTr="00AA455F">
        <w:trPr>
          <w:jc w:val="center"/>
        </w:trPr>
        <w:tc>
          <w:tcPr>
            <w:tcW w:w="3150" w:type="dxa"/>
          </w:tcPr>
          <w:p w14:paraId="73C7F42A" w14:textId="77777777" w:rsidR="00AA455F" w:rsidRPr="000276CA" w:rsidRDefault="00AA455F" w:rsidP="00AA455F">
            <w:pPr>
              <w:keepNext/>
              <w:keepLines/>
              <w:jc w:val="both"/>
              <w:rPr>
                <w:rFonts w:ascii="Arial Narrow" w:hAnsi="Arial Narrow"/>
                <w:b/>
                <w:sz w:val="20"/>
                <w:szCs w:val="20"/>
              </w:rPr>
            </w:pPr>
            <w:r w:rsidRPr="000276CA">
              <w:rPr>
                <w:rFonts w:ascii="Arial Narrow" w:hAnsi="Arial Narrow"/>
                <w:b/>
                <w:sz w:val="20"/>
                <w:szCs w:val="20"/>
              </w:rPr>
              <w:t>2018 maintenance costs</w:t>
            </w:r>
          </w:p>
        </w:tc>
        <w:tc>
          <w:tcPr>
            <w:tcW w:w="1170" w:type="dxa"/>
          </w:tcPr>
          <w:p w14:paraId="58EEE6B1" w14:textId="77777777" w:rsidR="00AA455F" w:rsidRPr="000276CA" w:rsidRDefault="00AA455F" w:rsidP="00AA455F">
            <w:pPr>
              <w:keepNext/>
              <w:keepLines/>
              <w:jc w:val="right"/>
              <w:rPr>
                <w:rFonts w:ascii="Arial Narrow" w:hAnsi="Arial Narrow"/>
                <w:sz w:val="20"/>
                <w:szCs w:val="20"/>
              </w:rPr>
            </w:pPr>
          </w:p>
        </w:tc>
        <w:tc>
          <w:tcPr>
            <w:tcW w:w="1170" w:type="dxa"/>
          </w:tcPr>
          <w:p w14:paraId="601502D2" w14:textId="77777777" w:rsidR="00AA455F" w:rsidRPr="000276CA" w:rsidRDefault="00AA455F" w:rsidP="00AA455F">
            <w:pPr>
              <w:keepNext/>
              <w:keepLines/>
              <w:jc w:val="right"/>
              <w:rPr>
                <w:rFonts w:ascii="Arial Narrow" w:hAnsi="Arial Narrow"/>
                <w:sz w:val="20"/>
                <w:szCs w:val="20"/>
              </w:rPr>
            </w:pPr>
          </w:p>
        </w:tc>
      </w:tr>
      <w:tr w:rsidR="00AA455F" w:rsidRPr="000276CA" w14:paraId="3E56FE83" w14:textId="77777777" w:rsidTr="00AA455F">
        <w:trPr>
          <w:jc w:val="center"/>
        </w:trPr>
        <w:tc>
          <w:tcPr>
            <w:tcW w:w="3150" w:type="dxa"/>
          </w:tcPr>
          <w:p w14:paraId="7EDA44F5"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Before trees were placed in service</w:t>
            </w:r>
          </w:p>
        </w:tc>
        <w:tc>
          <w:tcPr>
            <w:tcW w:w="1170" w:type="dxa"/>
          </w:tcPr>
          <w:p w14:paraId="16947A45" w14:textId="77777777" w:rsidR="00AA455F" w:rsidRPr="000276CA" w:rsidRDefault="00AA455F" w:rsidP="00AA455F">
            <w:pPr>
              <w:keepNext/>
              <w:keepLines/>
              <w:jc w:val="right"/>
              <w:rPr>
                <w:rFonts w:ascii="Arial Narrow" w:hAnsi="Arial Narrow"/>
                <w:sz w:val="20"/>
                <w:szCs w:val="20"/>
              </w:rPr>
            </w:pPr>
          </w:p>
        </w:tc>
        <w:tc>
          <w:tcPr>
            <w:tcW w:w="1170" w:type="dxa"/>
          </w:tcPr>
          <w:p w14:paraId="592367EE"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9,000</w:t>
            </w:r>
          </w:p>
        </w:tc>
      </w:tr>
      <w:tr w:rsidR="00AA455F" w:rsidRPr="000276CA" w14:paraId="09406F8C" w14:textId="77777777" w:rsidTr="00AA455F">
        <w:trPr>
          <w:jc w:val="center"/>
        </w:trPr>
        <w:tc>
          <w:tcPr>
            <w:tcW w:w="3150" w:type="dxa"/>
          </w:tcPr>
          <w:p w14:paraId="2A6EB465" w14:textId="77777777" w:rsidR="00AA455F" w:rsidRPr="000276CA" w:rsidRDefault="00AA455F" w:rsidP="00AA455F">
            <w:pPr>
              <w:keepNext/>
              <w:keepLines/>
              <w:jc w:val="both"/>
              <w:rPr>
                <w:rFonts w:ascii="Arial Narrow" w:hAnsi="Arial Narrow"/>
                <w:sz w:val="20"/>
                <w:szCs w:val="20"/>
              </w:rPr>
            </w:pPr>
            <w:r w:rsidRPr="000276CA">
              <w:rPr>
                <w:rFonts w:ascii="Arial Narrow" w:hAnsi="Arial Narrow"/>
                <w:sz w:val="20"/>
                <w:szCs w:val="20"/>
              </w:rPr>
              <w:t xml:space="preserve">  After trees were placed in service</w:t>
            </w:r>
          </w:p>
        </w:tc>
        <w:tc>
          <w:tcPr>
            <w:tcW w:w="1170" w:type="dxa"/>
          </w:tcPr>
          <w:p w14:paraId="740B4122" w14:textId="77777777" w:rsidR="00AA455F" w:rsidRPr="000276CA" w:rsidRDefault="00AA455F" w:rsidP="00AA455F">
            <w:pPr>
              <w:keepNext/>
              <w:keepLines/>
              <w:jc w:val="right"/>
              <w:rPr>
                <w:rFonts w:ascii="Arial Narrow" w:hAnsi="Arial Narrow"/>
                <w:sz w:val="20"/>
                <w:szCs w:val="20"/>
              </w:rPr>
            </w:pPr>
          </w:p>
        </w:tc>
        <w:tc>
          <w:tcPr>
            <w:tcW w:w="1170" w:type="dxa"/>
          </w:tcPr>
          <w:p w14:paraId="6ECEA943" w14:textId="77777777" w:rsidR="00AA455F" w:rsidRPr="000276CA" w:rsidRDefault="00AA455F" w:rsidP="00AA455F">
            <w:pPr>
              <w:keepNext/>
              <w:keepLines/>
              <w:jc w:val="right"/>
              <w:rPr>
                <w:rFonts w:ascii="Arial Narrow" w:hAnsi="Arial Narrow"/>
                <w:sz w:val="20"/>
                <w:szCs w:val="20"/>
              </w:rPr>
            </w:pPr>
            <w:r w:rsidRPr="000276CA">
              <w:rPr>
                <w:rFonts w:ascii="Arial Narrow" w:hAnsi="Arial Narrow"/>
                <w:sz w:val="20"/>
                <w:szCs w:val="20"/>
              </w:rPr>
              <w:t>3,000</w:t>
            </w:r>
          </w:p>
        </w:tc>
      </w:tr>
    </w:tbl>
    <w:p w14:paraId="0803F93F" w14:textId="77777777" w:rsidR="00AA455F" w:rsidRPr="000276CA" w:rsidRDefault="00AA455F" w:rsidP="00AA455F">
      <w:pPr>
        <w:pStyle w:val="Bodynoindent"/>
        <w:rPr>
          <w:sz w:val="20"/>
          <w:szCs w:val="20"/>
        </w:rPr>
      </w:pPr>
    </w:p>
    <w:p w14:paraId="1B7D9FE2" w14:textId="77777777" w:rsidR="00AA455F" w:rsidRPr="000276CA" w:rsidRDefault="00AA455F" w:rsidP="00AA455F">
      <w:pPr>
        <w:ind w:firstLine="360"/>
        <w:jc w:val="both"/>
        <w:rPr>
          <w:sz w:val="20"/>
          <w:szCs w:val="20"/>
          <w:lang w:val="x-none" w:eastAsia="x-none"/>
        </w:rPr>
      </w:pPr>
      <w:r w:rsidRPr="000276CA">
        <w:rPr>
          <w:sz w:val="20"/>
          <w:szCs w:val="20"/>
          <w:lang w:eastAsia="x-none"/>
        </w:rPr>
        <w:t xml:space="preserve">Because Franny elected out of the UNICAP rules, she is required to use the ADS depreciation on all of her depreciable assets and she does not qualify for the general bonus depreciation. She does qualify for the elective bonus depreciation on the cost of planting the trees. </w:t>
      </w:r>
    </w:p>
    <w:p w14:paraId="3D6B6B35" w14:textId="52F9CA6F" w:rsidR="00AA455F" w:rsidRPr="000276CA" w:rsidRDefault="00AA455F" w:rsidP="00AA455F">
      <w:pPr>
        <w:ind w:firstLine="360"/>
        <w:jc w:val="both"/>
        <w:rPr>
          <w:sz w:val="20"/>
          <w:szCs w:val="20"/>
          <w:lang w:eastAsia="x-none"/>
        </w:rPr>
      </w:pPr>
      <w:r w:rsidRPr="000276CA">
        <w:rPr>
          <w:sz w:val="20"/>
          <w:szCs w:val="20"/>
          <w:lang w:eastAsia="x-none"/>
        </w:rPr>
        <w:t>Franny elected to expense the $8,000 cost of the support posts under I.R.C. § 179. Because the posts are necessary for the growing process to begin and were not used for any other purpose in 2016, the entire $8,000 cost recovery for the posts in 2016 must be capitalized into the adjusted basis of the trees as a planting expense (preparatory cost).</w:t>
      </w:r>
    </w:p>
    <w:p w14:paraId="5CFC9C61"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rPr>
          <w:b/>
          <w:sz w:val="20"/>
          <w:szCs w:val="20"/>
        </w:rPr>
      </w:pPr>
      <w:r w:rsidRPr="000276CA">
        <w:rPr>
          <w:b/>
          <w:sz w:val="20"/>
          <w:szCs w:val="20"/>
        </w:rPr>
        <w:t>Practitioner Note</w:t>
      </w:r>
    </w:p>
    <w:p w14:paraId="6208240E"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after="60"/>
        <w:rPr>
          <w:rFonts w:ascii="Arial" w:hAnsi="Arial"/>
          <w:sz w:val="20"/>
          <w:szCs w:val="20"/>
        </w:rPr>
      </w:pPr>
      <w:r w:rsidRPr="000276CA">
        <w:rPr>
          <w:rFonts w:ascii="Arial" w:hAnsi="Arial"/>
          <w:sz w:val="20"/>
          <w:szCs w:val="20"/>
        </w:rPr>
        <w:t>ADS Depreciation of Posts</w:t>
      </w:r>
    </w:p>
    <w:p w14:paraId="6D5C1FB9" w14:textId="77777777" w:rsidR="00AA455F" w:rsidRPr="000276CA" w:rsidRDefault="00AA455F" w:rsidP="00AA455F">
      <w:pPr>
        <w:pStyle w:val="Note"/>
        <w:rPr>
          <w:szCs w:val="20"/>
        </w:rPr>
      </w:pPr>
      <w:r w:rsidRPr="000276CA">
        <w:rPr>
          <w:szCs w:val="20"/>
        </w:rPr>
        <w:t>If Franny did not elect the section 179 deduction for part or all of the cost of the posts, she must use the ADS to depreciate the remaining basis. The ADS depreciation for 2016 would be capitalized into the adjusted basis of the trees (along with any section 179 deduction) as a planting expense.</w:t>
      </w:r>
    </w:p>
    <w:p w14:paraId="0239F8F7" w14:textId="77777777" w:rsidR="00AA455F" w:rsidRPr="000276CA" w:rsidRDefault="00AA455F" w:rsidP="00AA455F">
      <w:pPr>
        <w:pStyle w:val="Note"/>
        <w:rPr>
          <w:szCs w:val="20"/>
        </w:rPr>
      </w:pPr>
      <w:r w:rsidRPr="000276CA">
        <w:rPr>
          <w:szCs w:val="20"/>
        </w:rPr>
        <w:t xml:space="preserve">    ADS depreciation on the posts after 2016 and before October 2018 would be a </w:t>
      </w:r>
      <w:proofErr w:type="spellStart"/>
      <w:r w:rsidRPr="000276CA">
        <w:rPr>
          <w:szCs w:val="20"/>
        </w:rPr>
        <w:t>preproductive</w:t>
      </w:r>
      <w:proofErr w:type="spellEnd"/>
      <w:r w:rsidRPr="000276CA">
        <w:rPr>
          <w:szCs w:val="20"/>
        </w:rPr>
        <w:t xml:space="preserve"> period expense that she would deduct because she elected out of capitalizing </w:t>
      </w:r>
      <w:proofErr w:type="spellStart"/>
      <w:r w:rsidRPr="000276CA">
        <w:rPr>
          <w:szCs w:val="20"/>
        </w:rPr>
        <w:t>preproductive</w:t>
      </w:r>
      <w:proofErr w:type="spellEnd"/>
      <w:r w:rsidRPr="000276CA">
        <w:rPr>
          <w:szCs w:val="20"/>
        </w:rPr>
        <w:t xml:space="preserve"> period expenses. ADS depreciation after September 2018 would be deducted as an expense incurred while the trees are productive.</w:t>
      </w:r>
    </w:p>
    <w:p w14:paraId="0510DFD8" w14:textId="77777777" w:rsidR="00AA455F" w:rsidRPr="000276CA" w:rsidRDefault="00AA455F" w:rsidP="00AA455F">
      <w:pPr>
        <w:keepNext/>
        <w:spacing w:before="240" w:after="120"/>
        <w:jc w:val="both"/>
        <w:rPr>
          <w:rFonts w:ascii="Arial Narrow" w:hAnsi="Arial Narrow"/>
          <w:b/>
          <w:i/>
          <w:sz w:val="20"/>
          <w:szCs w:val="20"/>
        </w:rPr>
      </w:pPr>
      <w:r w:rsidRPr="000276CA">
        <w:rPr>
          <w:rFonts w:ascii="Arial Narrow" w:hAnsi="Arial Narrow"/>
          <w:b/>
          <w:i/>
          <w:sz w:val="20"/>
          <w:szCs w:val="20"/>
        </w:rPr>
        <w:t>Elective Bonus Depreciation</w:t>
      </w:r>
    </w:p>
    <w:p w14:paraId="73681937" w14:textId="77777777" w:rsidR="00AA455F" w:rsidRPr="000276CA" w:rsidRDefault="00AA455F" w:rsidP="00AA455F">
      <w:pPr>
        <w:jc w:val="both"/>
        <w:rPr>
          <w:sz w:val="20"/>
          <w:szCs w:val="20"/>
          <w:lang w:eastAsia="x-none"/>
        </w:rPr>
      </w:pPr>
      <w:r w:rsidRPr="000276CA">
        <w:rPr>
          <w:sz w:val="20"/>
          <w:szCs w:val="20"/>
          <w:lang w:val="x-none" w:eastAsia="x-none"/>
        </w:rPr>
        <w:t>Franny can elect to deduct $</w:t>
      </w:r>
      <w:r w:rsidRPr="000276CA">
        <w:rPr>
          <w:sz w:val="20"/>
          <w:szCs w:val="20"/>
          <w:lang w:eastAsia="x-none"/>
        </w:rPr>
        <w:t>23,500</w:t>
      </w:r>
      <w:r w:rsidRPr="000276CA">
        <w:rPr>
          <w:sz w:val="20"/>
          <w:szCs w:val="20"/>
          <w:lang w:val="x-none" w:eastAsia="x-none"/>
        </w:rPr>
        <w:t xml:space="preserve"> ($</w:t>
      </w:r>
      <w:r w:rsidRPr="000276CA">
        <w:rPr>
          <w:sz w:val="20"/>
          <w:szCs w:val="20"/>
          <w:lang w:eastAsia="x-none"/>
        </w:rPr>
        <w:t>47</w:t>
      </w:r>
      <w:r w:rsidRPr="000276CA">
        <w:rPr>
          <w:sz w:val="20"/>
          <w:szCs w:val="20"/>
          <w:lang w:val="x-none" w:eastAsia="x-none"/>
        </w:rPr>
        <w:t xml:space="preserve">,000 × 50%) of bonus depreciation in 2016 for the trees she planted that year. </w:t>
      </w:r>
      <w:r w:rsidRPr="000276CA">
        <w:rPr>
          <w:sz w:val="20"/>
          <w:szCs w:val="20"/>
          <w:lang w:eastAsia="x-none"/>
        </w:rPr>
        <w:t xml:space="preserve">That election reduces her basis in the trees to </w:t>
      </w:r>
      <w:r w:rsidRPr="000276CA">
        <w:rPr>
          <w:sz w:val="20"/>
          <w:szCs w:val="20"/>
          <w:lang w:val="x-none" w:eastAsia="x-none"/>
        </w:rPr>
        <w:t>$</w:t>
      </w:r>
      <w:r w:rsidRPr="000276CA">
        <w:rPr>
          <w:sz w:val="20"/>
          <w:szCs w:val="20"/>
          <w:lang w:eastAsia="x-none"/>
        </w:rPr>
        <w:t>23,500</w:t>
      </w:r>
      <w:r w:rsidRPr="000276CA">
        <w:rPr>
          <w:sz w:val="20"/>
          <w:szCs w:val="20"/>
          <w:lang w:val="x-none" w:eastAsia="x-none"/>
        </w:rPr>
        <w:t xml:space="preserve"> ($47,000 – $23,500)</w:t>
      </w:r>
      <w:r w:rsidRPr="000276CA">
        <w:rPr>
          <w:sz w:val="20"/>
          <w:szCs w:val="20"/>
          <w:lang w:eastAsia="x-none"/>
        </w:rPr>
        <w:t xml:space="preserve">. Because </w:t>
      </w:r>
      <w:r w:rsidRPr="000276CA">
        <w:rPr>
          <w:sz w:val="20"/>
          <w:szCs w:val="20"/>
          <w:lang w:val="x-none" w:eastAsia="x-none"/>
        </w:rPr>
        <w:t xml:space="preserve">Franny elected out of the </w:t>
      </w:r>
      <w:r w:rsidRPr="000276CA">
        <w:rPr>
          <w:sz w:val="20"/>
          <w:szCs w:val="20"/>
          <w:lang w:eastAsia="x-none"/>
        </w:rPr>
        <w:t>UNICAP</w:t>
      </w:r>
      <w:r w:rsidRPr="000276CA">
        <w:rPr>
          <w:sz w:val="20"/>
          <w:szCs w:val="20"/>
          <w:lang w:val="x-none" w:eastAsia="x-none"/>
        </w:rPr>
        <w:t xml:space="preserve"> rules, she </w:t>
      </w:r>
      <w:r w:rsidRPr="000276CA">
        <w:rPr>
          <w:sz w:val="20"/>
          <w:szCs w:val="20"/>
          <w:lang w:eastAsia="x-none"/>
        </w:rPr>
        <w:t>deducts her $7,000 cost of maintaining the trees in 2016 after they were planted.</w:t>
      </w:r>
    </w:p>
    <w:p w14:paraId="7B9C4934" w14:textId="77777777" w:rsidR="00AA455F" w:rsidRPr="000276CA" w:rsidRDefault="00AA455F" w:rsidP="00AA455F">
      <w:pPr>
        <w:ind w:firstLine="360"/>
        <w:jc w:val="both"/>
        <w:rPr>
          <w:sz w:val="20"/>
          <w:szCs w:val="20"/>
          <w:lang w:val="x-none" w:eastAsia="x-none"/>
        </w:rPr>
      </w:pPr>
      <w:r w:rsidRPr="000276CA">
        <w:rPr>
          <w:sz w:val="20"/>
          <w:szCs w:val="20"/>
          <w:lang w:val="x-none" w:eastAsia="x-none"/>
        </w:rPr>
        <w:t>For 2017, Franny deducts</w:t>
      </w:r>
      <w:r w:rsidRPr="000276CA">
        <w:rPr>
          <w:sz w:val="20"/>
          <w:szCs w:val="20"/>
          <w:lang w:eastAsia="x-none"/>
        </w:rPr>
        <w:t xml:space="preserve"> the</w:t>
      </w:r>
      <w:r w:rsidRPr="000276CA">
        <w:rPr>
          <w:sz w:val="20"/>
          <w:szCs w:val="20"/>
          <w:lang w:val="x-none" w:eastAsia="x-none"/>
        </w:rPr>
        <w:t xml:space="preserve"> $12,000</w:t>
      </w:r>
      <w:r w:rsidRPr="000276CA">
        <w:rPr>
          <w:sz w:val="20"/>
          <w:szCs w:val="20"/>
          <w:lang w:eastAsia="x-none"/>
        </w:rPr>
        <w:t xml:space="preserve"> cost</w:t>
      </w:r>
      <w:r w:rsidRPr="000276CA">
        <w:rPr>
          <w:sz w:val="20"/>
          <w:szCs w:val="20"/>
          <w:lang w:val="x-none" w:eastAsia="x-none"/>
        </w:rPr>
        <w:t xml:space="preserve"> of </w:t>
      </w:r>
      <w:r w:rsidRPr="000276CA">
        <w:rPr>
          <w:sz w:val="20"/>
          <w:szCs w:val="20"/>
          <w:lang w:eastAsia="x-none"/>
        </w:rPr>
        <w:t>maintaining the trees</w:t>
      </w:r>
      <w:r w:rsidRPr="000276CA">
        <w:rPr>
          <w:sz w:val="20"/>
          <w:szCs w:val="20"/>
          <w:lang w:val="x-none" w:eastAsia="x-none"/>
        </w:rPr>
        <w:t>.</w:t>
      </w:r>
    </w:p>
    <w:p w14:paraId="35B15916" w14:textId="77777777" w:rsidR="00AA455F" w:rsidRPr="000276CA" w:rsidRDefault="00AA455F" w:rsidP="00AA455F">
      <w:pPr>
        <w:ind w:firstLine="360"/>
        <w:jc w:val="both"/>
        <w:rPr>
          <w:sz w:val="20"/>
          <w:szCs w:val="20"/>
          <w:lang w:eastAsia="x-none"/>
        </w:rPr>
      </w:pPr>
      <w:r w:rsidRPr="000276CA">
        <w:rPr>
          <w:sz w:val="20"/>
          <w:szCs w:val="20"/>
          <w:lang w:eastAsia="x-none"/>
        </w:rPr>
        <w:t xml:space="preserve">In 2018, Franny can expense </w:t>
      </w:r>
      <w:r w:rsidRPr="000276CA">
        <w:rPr>
          <w:sz w:val="20"/>
          <w:szCs w:val="20"/>
          <w:lang w:val="x-none" w:eastAsia="x-none"/>
        </w:rPr>
        <w:t xml:space="preserve">part or all of the </w:t>
      </w:r>
      <w:r w:rsidRPr="000276CA">
        <w:rPr>
          <w:sz w:val="20"/>
          <w:szCs w:val="20"/>
          <w:lang w:eastAsia="x-none"/>
        </w:rPr>
        <w:t xml:space="preserve">$23,500 remaining basis in the trees </w:t>
      </w:r>
      <w:r w:rsidRPr="000276CA">
        <w:rPr>
          <w:sz w:val="20"/>
          <w:szCs w:val="20"/>
          <w:lang w:val="x-none" w:eastAsia="x-none"/>
        </w:rPr>
        <w:t>under I.R.C. §</w:t>
      </w:r>
      <w:r w:rsidRPr="000276CA">
        <w:rPr>
          <w:sz w:val="20"/>
          <w:szCs w:val="20"/>
          <w:lang w:eastAsia="x-none"/>
        </w:rPr>
        <w:t> </w:t>
      </w:r>
      <w:r w:rsidRPr="000276CA">
        <w:rPr>
          <w:sz w:val="20"/>
          <w:szCs w:val="20"/>
          <w:lang w:val="x-none" w:eastAsia="x-none"/>
        </w:rPr>
        <w:t xml:space="preserve">179 subject to the limitations for that deduction. </w:t>
      </w:r>
      <w:r w:rsidRPr="000276CA">
        <w:rPr>
          <w:sz w:val="20"/>
          <w:szCs w:val="20"/>
          <w:lang w:eastAsia="x-none"/>
        </w:rPr>
        <w:t xml:space="preserve">After reducing her basis in the trees by her section 179 deduction, </w:t>
      </w:r>
      <w:r w:rsidRPr="000276CA">
        <w:rPr>
          <w:sz w:val="20"/>
          <w:szCs w:val="20"/>
          <w:lang w:val="x-none" w:eastAsia="x-none"/>
        </w:rPr>
        <w:t>F</w:t>
      </w:r>
      <w:r w:rsidRPr="000276CA">
        <w:rPr>
          <w:sz w:val="20"/>
          <w:szCs w:val="20"/>
          <w:lang w:eastAsia="x-none"/>
        </w:rPr>
        <w:t>ranny must use</w:t>
      </w:r>
      <w:r w:rsidRPr="000276CA">
        <w:rPr>
          <w:sz w:val="20"/>
          <w:szCs w:val="20"/>
          <w:lang w:val="x-none" w:eastAsia="x-none"/>
        </w:rPr>
        <w:t xml:space="preserve"> ADS </w:t>
      </w:r>
      <w:r w:rsidRPr="000276CA">
        <w:rPr>
          <w:sz w:val="20"/>
          <w:szCs w:val="20"/>
          <w:lang w:eastAsia="x-none"/>
        </w:rPr>
        <w:t>to depreciate</w:t>
      </w:r>
      <w:r w:rsidRPr="000276CA">
        <w:rPr>
          <w:sz w:val="20"/>
          <w:szCs w:val="20"/>
          <w:lang w:val="x-none" w:eastAsia="x-none"/>
        </w:rPr>
        <w:t xml:space="preserve"> </w:t>
      </w:r>
      <w:r w:rsidRPr="000276CA">
        <w:rPr>
          <w:sz w:val="20"/>
          <w:szCs w:val="20"/>
          <w:lang w:eastAsia="x-none"/>
        </w:rPr>
        <w:t>the</w:t>
      </w:r>
      <w:r w:rsidRPr="000276CA">
        <w:rPr>
          <w:sz w:val="20"/>
          <w:szCs w:val="20"/>
          <w:lang w:val="x-none" w:eastAsia="x-none"/>
        </w:rPr>
        <w:t xml:space="preserve"> remaining </w:t>
      </w:r>
      <w:r w:rsidRPr="000276CA">
        <w:rPr>
          <w:sz w:val="20"/>
          <w:szCs w:val="20"/>
          <w:lang w:eastAsia="x-none"/>
        </w:rPr>
        <w:t>basis</w:t>
      </w:r>
      <w:r w:rsidRPr="000276CA">
        <w:rPr>
          <w:sz w:val="20"/>
          <w:szCs w:val="20"/>
          <w:lang w:val="x-none" w:eastAsia="x-none"/>
        </w:rPr>
        <w:t xml:space="preserve">. </w:t>
      </w:r>
      <w:r w:rsidRPr="000276CA">
        <w:rPr>
          <w:sz w:val="20"/>
          <w:szCs w:val="20"/>
          <w:lang w:eastAsia="x-none"/>
        </w:rPr>
        <w:t>Franny</w:t>
      </w:r>
      <w:r w:rsidRPr="000276CA">
        <w:rPr>
          <w:sz w:val="20"/>
          <w:szCs w:val="20"/>
          <w:lang w:val="x-none" w:eastAsia="x-none"/>
        </w:rPr>
        <w:t xml:space="preserve"> </w:t>
      </w:r>
      <w:r w:rsidRPr="000276CA">
        <w:rPr>
          <w:sz w:val="20"/>
          <w:szCs w:val="20"/>
          <w:lang w:eastAsia="x-none"/>
        </w:rPr>
        <w:t xml:space="preserve">cannot claim bonus depreciation when her trees are placed in service in 2018 for two reasons. One is that she </w:t>
      </w:r>
      <w:r w:rsidRPr="000276CA">
        <w:rPr>
          <w:sz w:val="20"/>
          <w:szCs w:val="20"/>
          <w:lang w:val="x-none" w:eastAsia="x-none"/>
        </w:rPr>
        <w:t>is required to use ADS (</w:t>
      </w:r>
      <w:r w:rsidRPr="000276CA">
        <w:rPr>
          <w:sz w:val="20"/>
          <w:szCs w:val="20"/>
          <w:lang w:eastAsia="x-none"/>
        </w:rPr>
        <w:t>because she</w:t>
      </w:r>
      <w:r w:rsidRPr="000276CA">
        <w:rPr>
          <w:sz w:val="20"/>
          <w:szCs w:val="20"/>
          <w:lang w:val="x-none" w:eastAsia="x-none"/>
        </w:rPr>
        <w:t xml:space="preserve"> elected out of </w:t>
      </w:r>
      <w:r w:rsidRPr="000276CA">
        <w:rPr>
          <w:sz w:val="20"/>
          <w:szCs w:val="20"/>
          <w:lang w:eastAsia="x-none"/>
        </w:rPr>
        <w:t>the UNICAP rules</w:t>
      </w:r>
      <w:r w:rsidRPr="000276CA">
        <w:rPr>
          <w:sz w:val="20"/>
          <w:szCs w:val="20"/>
          <w:lang w:val="x-none" w:eastAsia="x-none"/>
        </w:rPr>
        <w:t>).</w:t>
      </w:r>
      <w:r w:rsidRPr="000276CA">
        <w:rPr>
          <w:sz w:val="20"/>
          <w:szCs w:val="20"/>
          <w:lang w:eastAsia="x-none"/>
        </w:rPr>
        <w:t xml:space="preserve"> The second reason is that she elected bonus depreciation for the trees when she planted them in 2016. Franny also deducts the $12,000 of maintenance costs in 2018.</w:t>
      </w:r>
    </w:p>
    <w:p w14:paraId="6FB36AF2" w14:textId="77777777" w:rsidR="00AA455F" w:rsidRPr="000276CA" w:rsidRDefault="00AA455F" w:rsidP="00AA455F">
      <w:pPr>
        <w:keepNext/>
        <w:spacing w:before="240" w:after="120"/>
        <w:jc w:val="both"/>
        <w:rPr>
          <w:rFonts w:ascii="Arial Narrow" w:hAnsi="Arial Narrow"/>
          <w:b/>
          <w:i/>
          <w:sz w:val="20"/>
          <w:szCs w:val="20"/>
        </w:rPr>
      </w:pPr>
      <w:r w:rsidRPr="000276CA">
        <w:rPr>
          <w:rFonts w:ascii="Arial Narrow" w:hAnsi="Arial Narrow"/>
          <w:b/>
          <w:i/>
          <w:sz w:val="20"/>
          <w:szCs w:val="20"/>
        </w:rPr>
        <w:t>No Elective Bonus Depreciation</w:t>
      </w:r>
    </w:p>
    <w:p w14:paraId="511AAA78" w14:textId="77777777" w:rsidR="00AA455F" w:rsidRPr="000276CA" w:rsidRDefault="00AA455F" w:rsidP="00AA455F">
      <w:pPr>
        <w:jc w:val="both"/>
        <w:rPr>
          <w:sz w:val="20"/>
          <w:szCs w:val="20"/>
        </w:rPr>
      </w:pPr>
      <w:r w:rsidRPr="000276CA">
        <w:rPr>
          <w:sz w:val="20"/>
          <w:szCs w:val="20"/>
        </w:rPr>
        <w:t>If Franny forgoes the elective bonus depreciation in 2016, she capitalizes her $47,000 planting costs into the basis of the trees. She deducts her $7,000 cost of maintaining the trees after they were planted.</w:t>
      </w:r>
    </w:p>
    <w:p w14:paraId="070A8E72" w14:textId="77777777" w:rsidR="00AA455F" w:rsidRPr="000276CA" w:rsidRDefault="00AA455F" w:rsidP="00AA455F">
      <w:pPr>
        <w:ind w:firstLine="360"/>
        <w:jc w:val="both"/>
        <w:rPr>
          <w:sz w:val="20"/>
          <w:szCs w:val="20"/>
          <w:lang w:eastAsia="x-none"/>
        </w:rPr>
      </w:pPr>
      <w:r w:rsidRPr="000276CA">
        <w:rPr>
          <w:sz w:val="20"/>
          <w:szCs w:val="20"/>
          <w:lang w:eastAsia="x-none"/>
        </w:rPr>
        <w:t>For 2017, Franny deducts the $12,000 cost of maintaining the trees.</w:t>
      </w:r>
    </w:p>
    <w:p w14:paraId="3B075E84" w14:textId="77777777" w:rsidR="00AA455F" w:rsidRPr="000276CA" w:rsidRDefault="00AA455F" w:rsidP="00AA455F">
      <w:pPr>
        <w:ind w:firstLine="360"/>
        <w:jc w:val="both"/>
        <w:rPr>
          <w:sz w:val="20"/>
          <w:szCs w:val="20"/>
          <w:lang w:eastAsia="x-none"/>
        </w:rPr>
      </w:pPr>
      <w:r w:rsidRPr="000276CA">
        <w:rPr>
          <w:sz w:val="20"/>
          <w:szCs w:val="20"/>
          <w:lang w:eastAsia="x-none"/>
        </w:rPr>
        <w:t xml:space="preserve">In 2018, Franny can expense part or all of the $47,000 basis in the trees under I.R.C. § 179 subject to the limitations for that deduction. Because Franny elected out of the UNICAP rules, she is required to use the ADS depreciation and she cannot claim bonus depreciation for the trees. Therefore, after reducing her basis </w:t>
      </w:r>
      <w:r w:rsidRPr="000276CA">
        <w:rPr>
          <w:sz w:val="20"/>
          <w:szCs w:val="20"/>
          <w:lang w:eastAsia="x-none"/>
        </w:rPr>
        <w:lastRenderedPageBreak/>
        <w:t>in the trees by her section 179 deduction, Franny must use ADS cost recovery on the remaining basis. She also deducts the $12,000 of maintenance costs.</w:t>
      </w:r>
    </w:p>
    <w:p w14:paraId="24C1C326" w14:textId="77777777" w:rsidR="00AA455F" w:rsidRPr="000276CA" w:rsidRDefault="00AA455F" w:rsidP="00AA455F">
      <w:pPr>
        <w:jc w:val="center"/>
        <w:rPr>
          <w:sz w:val="20"/>
          <w:szCs w:val="20"/>
          <w:lang w:eastAsia="x-none"/>
        </w:rPr>
      </w:pPr>
      <w:r w:rsidRPr="000276CA">
        <w:rPr>
          <w:sz w:val="20"/>
          <w:szCs w:val="20"/>
          <w:lang w:eastAsia="x-none"/>
        </w:rPr>
        <w:t>____________________</w:t>
      </w:r>
    </w:p>
    <w:p w14:paraId="38685070" w14:textId="452A4473" w:rsidR="00AA455F" w:rsidRPr="000276CA" w:rsidRDefault="00AA455F" w:rsidP="00AA455F">
      <w:pPr>
        <w:keepNext/>
        <w:spacing w:before="240" w:after="120"/>
        <w:jc w:val="both"/>
        <w:rPr>
          <w:rFonts w:ascii="Arial Narrow" w:hAnsi="Arial Narrow"/>
          <w:b/>
          <w:sz w:val="20"/>
          <w:szCs w:val="20"/>
          <w:lang w:eastAsia="x-none"/>
        </w:rPr>
      </w:pPr>
      <w:r w:rsidRPr="000276CA">
        <w:rPr>
          <w:rFonts w:ascii="Arial Narrow" w:hAnsi="Arial Narrow"/>
          <w:b/>
          <w:sz w:val="20"/>
          <w:szCs w:val="20"/>
          <w:lang w:val="x-none" w:eastAsia="x-none"/>
        </w:rPr>
        <w:t xml:space="preserve">Example </w:t>
      </w:r>
      <w:r w:rsidR="00E24EC1">
        <w:rPr>
          <w:rFonts w:ascii="Arial Narrow" w:hAnsi="Arial Narrow"/>
          <w:b/>
          <w:sz w:val="20"/>
          <w:szCs w:val="20"/>
          <w:lang w:eastAsia="x-none"/>
        </w:rPr>
        <w:t>5</w:t>
      </w:r>
      <w:r w:rsidRPr="000276CA">
        <w:rPr>
          <w:rFonts w:ascii="Arial Narrow" w:hAnsi="Arial Narrow"/>
          <w:b/>
          <w:sz w:val="20"/>
          <w:szCs w:val="20"/>
          <w:lang w:eastAsia="x-none"/>
        </w:rPr>
        <w:t>.</w:t>
      </w:r>
      <w:r w:rsidRPr="000276CA">
        <w:rPr>
          <w:rFonts w:ascii="Arial Narrow" w:hAnsi="Arial Narrow"/>
          <w:b/>
          <w:sz w:val="20"/>
          <w:szCs w:val="20"/>
          <w:lang w:val="x-none" w:eastAsia="x-none"/>
        </w:rPr>
        <w:t xml:space="preserve"> </w:t>
      </w:r>
      <w:r w:rsidRPr="000276CA">
        <w:rPr>
          <w:rFonts w:ascii="Arial Narrow" w:hAnsi="Arial Narrow"/>
          <w:b/>
          <w:sz w:val="20"/>
          <w:szCs w:val="20"/>
          <w:lang w:eastAsia="x-none"/>
        </w:rPr>
        <w:t>Did Not Elect Out of UNICAP</w:t>
      </w:r>
    </w:p>
    <w:p w14:paraId="14E2A50B" w14:textId="77777777" w:rsidR="00AA455F" w:rsidRPr="000276CA" w:rsidRDefault="00AA455F" w:rsidP="00AA455F">
      <w:pPr>
        <w:jc w:val="both"/>
        <w:rPr>
          <w:sz w:val="20"/>
          <w:szCs w:val="20"/>
          <w:lang w:eastAsia="x-none"/>
        </w:rPr>
      </w:pPr>
      <w:r w:rsidRPr="000276CA">
        <w:rPr>
          <w:sz w:val="20"/>
          <w:szCs w:val="20"/>
          <w:lang w:eastAsia="x-none"/>
        </w:rPr>
        <w:t>Franny’s neighbor, Mabel Delicious, planted exactly the same number of fruit trees in 2016 and incurred the same costs as Franny. However, Mabel likes accounting and did not elect out of the UNICAP rules. Mabel is not required to use ADS depreciation, which allows her to use bonus depreciation on all of her depreciable assets and allows her to choose it for the cost of planting trees either at the time they are planted or when they become productive. She has several options for recovering the cost of her depreciable assets.</w:t>
      </w:r>
    </w:p>
    <w:p w14:paraId="55E24DFE" w14:textId="77777777" w:rsidR="00AA455F" w:rsidRPr="000276CA" w:rsidRDefault="00AA455F" w:rsidP="00AA455F">
      <w:pPr>
        <w:ind w:firstLine="360"/>
        <w:jc w:val="both"/>
        <w:rPr>
          <w:sz w:val="20"/>
          <w:szCs w:val="20"/>
          <w:lang w:eastAsia="x-none"/>
        </w:rPr>
      </w:pPr>
      <w:r w:rsidRPr="000276CA">
        <w:rPr>
          <w:sz w:val="20"/>
          <w:szCs w:val="20"/>
          <w:lang w:eastAsia="x-none"/>
        </w:rPr>
        <w:t>Mabel also elected to expense the $8,000 cost of the support posts under I.R.C. § 179. Because the posts are necessary for the growing process to begin and were not used for any other purpose in 2016, the entire $8,000 cost recovery for the posts in 2016 must be capitalized into the adjusted basis of the trees as a planting expense (preparatory cost). (See the Practitioner Note on preparatory costs earlier in this issue.)</w:t>
      </w:r>
    </w:p>
    <w:p w14:paraId="65D6EF8C"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rPr>
          <w:b/>
          <w:sz w:val="20"/>
          <w:szCs w:val="20"/>
        </w:rPr>
      </w:pPr>
      <w:r w:rsidRPr="000276CA">
        <w:rPr>
          <w:b/>
          <w:sz w:val="20"/>
          <w:szCs w:val="20"/>
        </w:rPr>
        <w:t>Practitioner Note</w:t>
      </w:r>
    </w:p>
    <w:p w14:paraId="01B0CBBE"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after="60"/>
        <w:rPr>
          <w:rFonts w:ascii="Arial" w:hAnsi="Arial"/>
          <w:sz w:val="20"/>
          <w:szCs w:val="20"/>
        </w:rPr>
      </w:pPr>
      <w:r w:rsidRPr="000276CA">
        <w:rPr>
          <w:rFonts w:ascii="Arial" w:hAnsi="Arial"/>
          <w:sz w:val="20"/>
          <w:szCs w:val="20"/>
        </w:rPr>
        <w:t>Depreciation of Posts</w:t>
      </w:r>
    </w:p>
    <w:p w14:paraId="7684F17E" w14:textId="77777777" w:rsidR="00AA455F" w:rsidRPr="000276CA" w:rsidRDefault="00AA455F" w:rsidP="00AA455F">
      <w:pPr>
        <w:pStyle w:val="Note"/>
        <w:rPr>
          <w:szCs w:val="20"/>
        </w:rPr>
      </w:pPr>
      <w:r w:rsidRPr="000276CA">
        <w:rPr>
          <w:szCs w:val="20"/>
        </w:rPr>
        <w:t>If Mabel did not elect the section 179 deduction for the posts or for only part of the cost of the posts, the remaining basis is eligible for bonus and MACRS depreciation. The bonus and/or MACRS depreciation for 2016 would be capitalized to the adjusted basis of the trees along with any section 179 deduction as a planting expense.</w:t>
      </w:r>
    </w:p>
    <w:p w14:paraId="653154D4" w14:textId="77777777" w:rsidR="00AA455F" w:rsidRPr="000276CA" w:rsidRDefault="00AA455F" w:rsidP="00AA455F">
      <w:pPr>
        <w:pStyle w:val="Note"/>
        <w:rPr>
          <w:szCs w:val="20"/>
        </w:rPr>
      </w:pPr>
      <w:r w:rsidRPr="000276CA">
        <w:rPr>
          <w:szCs w:val="20"/>
        </w:rPr>
        <w:t xml:space="preserve">     Mabel would capitalize MACRS depreciation on the posts in 2017 and through September of 2018 (the end of the </w:t>
      </w:r>
      <w:proofErr w:type="spellStart"/>
      <w:r w:rsidRPr="000276CA">
        <w:rPr>
          <w:szCs w:val="20"/>
        </w:rPr>
        <w:t>preproductive</w:t>
      </w:r>
      <w:proofErr w:type="spellEnd"/>
      <w:r w:rsidRPr="000276CA">
        <w:rPr>
          <w:szCs w:val="20"/>
        </w:rPr>
        <w:t xml:space="preserve"> period) because she did not elect out of capitalizing </w:t>
      </w:r>
      <w:proofErr w:type="spellStart"/>
      <w:r w:rsidRPr="000276CA">
        <w:rPr>
          <w:szCs w:val="20"/>
        </w:rPr>
        <w:t>preproductive</w:t>
      </w:r>
      <w:proofErr w:type="spellEnd"/>
      <w:r w:rsidRPr="000276CA">
        <w:rPr>
          <w:szCs w:val="20"/>
        </w:rPr>
        <w:t xml:space="preserve"> period expenses. She would add the capitalized MACRS depreciation to the adjusted basis of the trees, and begin depreciating the trees when they are placed in service in October 2018. She would deduct MACRS depreciation on the posts after September 2018 as an expense incurred while the trees are productive.</w:t>
      </w:r>
    </w:p>
    <w:p w14:paraId="309022B5" w14:textId="77777777" w:rsidR="00AA455F" w:rsidRPr="000276CA" w:rsidRDefault="00AA455F" w:rsidP="00AA455F">
      <w:pPr>
        <w:keepNext/>
        <w:spacing w:before="240" w:after="120"/>
        <w:jc w:val="both"/>
        <w:rPr>
          <w:rFonts w:ascii="Arial Narrow" w:hAnsi="Arial Narrow"/>
          <w:b/>
          <w:i/>
          <w:sz w:val="20"/>
          <w:szCs w:val="20"/>
        </w:rPr>
      </w:pPr>
      <w:r w:rsidRPr="000276CA">
        <w:rPr>
          <w:rFonts w:ascii="Arial Narrow" w:hAnsi="Arial Narrow"/>
          <w:b/>
          <w:i/>
          <w:sz w:val="20"/>
          <w:szCs w:val="20"/>
        </w:rPr>
        <w:t>Elective Bonus Depreciation</w:t>
      </w:r>
    </w:p>
    <w:p w14:paraId="24903D7E" w14:textId="77777777" w:rsidR="00AA455F" w:rsidRPr="000276CA" w:rsidRDefault="00AA455F" w:rsidP="00AA455F">
      <w:pPr>
        <w:jc w:val="both"/>
        <w:rPr>
          <w:sz w:val="20"/>
          <w:szCs w:val="20"/>
          <w:lang w:eastAsia="x-none"/>
        </w:rPr>
      </w:pPr>
      <w:r w:rsidRPr="000276CA">
        <w:rPr>
          <w:sz w:val="20"/>
          <w:szCs w:val="20"/>
          <w:lang w:val="x-none" w:eastAsia="x-none"/>
        </w:rPr>
        <w:t xml:space="preserve">Because she is subject to the UNICAP rules, Mabel must capitalize </w:t>
      </w:r>
      <w:r w:rsidRPr="000276CA">
        <w:rPr>
          <w:sz w:val="20"/>
          <w:szCs w:val="20"/>
          <w:lang w:eastAsia="x-none"/>
        </w:rPr>
        <w:t xml:space="preserve">not only </w:t>
      </w:r>
      <w:r w:rsidRPr="000276CA">
        <w:rPr>
          <w:sz w:val="20"/>
          <w:szCs w:val="20"/>
          <w:lang w:val="x-none" w:eastAsia="x-none"/>
        </w:rPr>
        <w:t xml:space="preserve">the cost of </w:t>
      </w:r>
      <w:r w:rsidRPr="000276CA">
        <w:rPr>
          <w:sz w:val="20"/>
          <w:szCs w:val="20"/>
          <w:lang w:eastAsia="x-none"/>
        </w:rPr>
        <w:t>planting</w:t>
      </w:r>
      <w:r w:rsidRPr="000276CA">
        <w:rPr>
          <w:sz w:val="20"/>
          <w:szCs w:val="20"/>
          <w:lang w:val="x-none" w:eastAsia="x-none"/>
        </w:rPr>
        <w:t xml:space="preserve"> </w:t>
      </w:r>
      <w:r w:rsidRPr="000276CA">
        <w:rPr>
          <w:sz w:val="20"/>
          <w:szCs w:val="20"/>
          <w:lang w:eastAsia="x-none"/>
        </w:rPr>
        <w:t>her trees but also the cost of</w:t>
      </w:r>
      <w:r w:rsidRPr="000276CA">
        <w:rPr>
          <w:sz w:val="20"/>
          <w:szCs w:val="20"/>
          <w:lang w:val="x-none" w:eastAsia="x-none"/>
        </w:rPr>
        <w:t xml:space="preserve"> </w:t>
      </w:r>
      <w:r w:rsidRPr="000276CA">
        <w:rPr>
          <w:sz w:val="20"/>
          <w:szCs w:val="20"/>
          <w:lang w:eastAsia="x-none"/>
        </w:rPr>
        <w:t>maintaining</w:t>
      </w:r>
      <w:r w:rsidRPr="000276CA">
        <w:rPr>
          <w:sz w:val="20"/>
          <w:szCs w:val="20"/>
          <w:lang w:val="x-none" w:eastAsia="x-none"/>
        </w:rPr>
        <w:t xml:space="preserve"> </w:t>
      </w:r>
      <w:r w:rsidRPr="000276CA">
        <w:rPr>
          <w:sz w:val="20"/>
          <w:szCs w:val="20"/>
          <w:lang w:eastAsia="x-none"/>
        </w:rPr>
        <w:t xml:space="preserve">them </w:t>
      </w:r>
      <w:r w:rsidRPr="000276CA">
        <w:rPr>
          <w:sz w:val="20"/>
          <w:szCs w:val="20"/>
          <w:lang w:val="x-none" w:eastAsia="x-none"/>
        </w:rPr>
        <w:t xml:space="preserve">until they are placed in service in October 2018. However, </w:t>
      </w:r>
      <w:r w:rsidRPr="000276CA">
        <w:rPr>
          <w:sz w:val="20"/>
          <w:szCs w:val="20"/>
          <w:lang w:eastAsia="x-none"/>
        </w:rPr>
        <w:t xml:space="preserve">she elected to deduct </w:t>
      </w:r>
      <w:r w:rsidRPr="000276CA">
        <w:rPr>
          <w:sz w:val="20"/>
          <w:szCs w:val="20"/>
          <w:lang w:val="x-none" w:eastAsia="x-none"/>
        </w:rPr>
        <w:t>$</w:t>
      </w:r>
      <w:r w:rsidRPr="000276CA">
        <w:rPr>
          <w:sz w:val="20"/>
          <w:szCs w:val="20"/>
          <w:lang w:eastAsia="x-none"/>
        </w:rPr>
        <w:t>23,500</w:t>
      </w:r>
      <w:r w:rsidRPr="000276CA">
        <w:rPr>
          <w:sz w:val="20"/>
          <w:szCs w:val="20"/>
          <w:lang w:val="x-none" w:eastAsia="x-none"/>
        </w:rPr>
        <w:t xml:space="preserve"> ($</w:t>
      </w:r>
      <w:r w:rsidRPr="000276CA">
        <w:rPr>
          <w:sz w:val="20"/>
          <w:szCs w:val="20"/>
          <w:lang w:eastAsia="x-none"/>
        </w:rPr>
        <w:t>47</w:t>
      </w:r>
      <w:r w:rsidRPr="000276CA">
        <w:rPr>
          <w:sz w:val="20"/>
          <w:szCs w:val="20"/>
          <w:lang w:val="x-none" w:eastAsia="x-none"/>
        </w:rPr>
        <w:t>,000 × 50%) of bonus depreciation in 2016 and reduce</w:t>
      </w:r>
      <w:r w:rsidRPr="000276CA">
        <w:rPr>
          <w:sz w:val="20"/>
          <w:szCs w:val="20"/>
          <w:lang w:eastAsia="x-none"/>
        </w:rPr>
        <w:t>d</w:t>
      </w:r>
      <w:r w:rsidRPr="000276CA">
        <w:rPr>
          <w:sz w:val="20"/>
          <w:szCs w:val="20"/>
          <w:lang w:val="x-none" w:eastAsia="x-none"/>
        </w:rPr>
        <w:t xml:space="preserve"> her basis in the trees by that amount.</w:t>
      </w:r>
      <w:r w:rsidRPr="000276CA">
        <w:rPr>
          <w:sz w:val="20"/>
          <w:szCs w:val="20"/>
          <w:lang w:eastAsia="x-none"/>
        </w:rPr>
        <w:t xml:space="preserve"> She adds her $7,000 cost of maintaining the trees in 2016 after they were planted to the basis of the trees.</w:t>
      </w:r>
    </w:p>
    <w:p w14:paraId="4C93C60B" w14:textId="77777777" w:rsidR="00AA455F" w:rsidRPr="000276CA" w:rsidRDefault="00AA455F" w:rsidP="00AA455F">
      <w:pPr>
        <w:ind w:firstLine="360"/>
        <w:jc w:val="both"/>
        <w:rPr>
          <w:sz w:val="20"/>
          <w:szCs w:val="20"/>
          <w:lang w:eastAsia="x-none"/>
        </w:rPr>
      </w:pPr>
      <w:r w:rsidRPr="000276CA">
        <w:rPr>
          <w:sz w:val="20"/>
          <w:szCs w:val="20"/>
          <w:lang w:eastAsia="x-none"/>
        </w:rPr>
        <w:t>In 2017, Mabel cannot deduct any costs for her trees because they are subject to the UNICAP rules. She adds $12,000 of maintenance costs to the adjusted basis of her trees.</w:t>
      </w:r>
    </w:p>
    <w:p w14:paraId="5C216178" w14:textId="22EE39C4" w:rsidR="00AA455F" w:rsidRPr="000276CA" w:rsidRDefault="00AA455F" w:rsidP="00AA455F">
      <w:pPr>
        <w:ind w:firstLine="360"/>
        <w:jc w:val="both"/>
        <w:rPr>
          <w:sz w:val="20"/>
          <w:szCs w:val="20"/>
          <w:lang w:eastAsia="x-none"/>
        </w:rPr>
      </w:pPr>
      <w:r w:rsidRPr="000276CA">
        <w:rPr>
          <w:sz w:val="20"/>
          <w:szCs w:val="20"/>
          <w:lang w:eastAsia="x-none"/>
        </w:rPr>
        <w:t xml:space="preserve">Mabel can begin depreciating her trees when they are placed in service in October 2018. She calculates her $51,500 adjusted basis in the trees when they are placed in service as shown in </w:t>
      </w:r>
      <w:r w:rsidRPr="000276CA">
        <w:rPr>
          <w:b/>
          <w:sz w:val="20"/>
          <w:szCs w:val="20"/>
          <w:lang w:eastAsia="x-none"/>
        </w:rPr>
        <w:t>Figure </w:t>
      </w:r>
      <w:r w:rsidR="00E24EC1">
        <w:rPr>
          <w:b/>
          <w:sz w:val="20"/>
          <w:szCs w:val="20"/>
          <w:lang w:eastAsia="x-none"/>
        </w:rPr>
        <w:t>4</w:t>
      </w:r>
      <w:r w:rsidRPr="000276CA">
        <w:rPr>
          <w:sz w:val="20"/>
          <w:szCs w:val="20"/>
          <w:lang w:eastAsia="x-none"/>
        </w:rPr>
        <w:t>. The trees do not qualify for bonus depreciation because Mabel elected bonus depreciation when she planted them in 2016. They do qualify for the section 179 deduction and MACRS (10-year 150% DB; 10-year SL; or 20-year SL) depreciation.</w:t>
      </w:r>
    </w:p>
    <w:p w14:paraId="07A531C2" w14:textId="77777777" w:rsidR="00AA455F" w:rsidRPr="000276CA" w:rsidRDefault="00AA455F" w:rsidP="00AA455F">
      <w:pPr>
        <w:ind w:firstLine="360"/>
        <w:jc w:val="both"/>
        <w:rPr>
          <w:sz w:val="20"/>
          <w:szCs w:val="20"/>
          <w:lang w:eastAsia="x-none"/>
        </w:rPr>
      </w:pPr>
      <w:r w:rsidRPr="000276CA">
        <w:rPr>
          <w:sz w:val="20"/>
          <w:szCs w:val="20"/>
          <w:lang w:eastAsia="x-none"/>
        </w:rPr>
        <w:t>She also deducts the $3,000 cost of maintaining the trees after they were placed in service.</w:t>
      </w:r>
    </w:p>
    <w:p w14:paraId="677287F0" w14:textId="39979173" w:rsidR="00AA455F" w:rsidRPr="000276CA" w:rsidRDefault="00AA455F" w:rsidP="00AA455F">
      <w:pPr>
        <w:keepNext/>
        <w:spacing w:before="240" w:after="120"/>
        <w:jc w:val="center"/>
        <w:rPr>
          <w:rFonts w:ascii="Arial Narrow" w:hAnsi="Arial Narrow"/>
          <w:b/>
          <w:i/>
          <w:sz w:val="20"/>
          <w:szCs w:val="20"/>
        </w:rPr>
      </w:pPr>
      <w:r w:rsidRPr="000276CA">
        <w:rPr>
          <w:rFonts w:ascii="Arial Narrow" w:hAnsi="Arial Narrow"/>
          <w:b/>
          <w:i/>
          <w:sz w:val="20"/>
          <w:szCs w:val="20"/>
        </w:rPr>
        <w:t xml:space="preserve">FIGURE </w:t>
      </w:r>
      <w:r w:rsidR="00E24EC1">
        <w:rPr>
          <w:rFonts w:ascii="Arial Narrow" w:hAnsi="Arial Narrow"/>
          <w:b/>
          <w:i/>
          <w:sz w:val="20"/>
          <w:szCs w:val="20"/>
        </w:rPr>
        <w:t>4</w:t>
      </w:r>
      <w:r w:rsidRPr="000276CA">
        <w:rPr>
          <w:rFonts w:ascii="Arial Narrow" w:hAnsi="Arial Narrow"/>
          <w:b/>
          <w:i/>
          <w:sz w:val="20"/>
          <w:szCs w:val="20"/>
        </w:rPr>
        <w:t>. Basis of Trees with Bonus Depreciation Election</w:t>
      </w:r>
    </w:p>
    <w:tbl>
      <w:tblPr>
        <w:tblStyle w:val="TableGrid8"/>
        <w:tblW w:w="0" w:type="auto"/>
        <w:jc w:val="center"/>
        <w:tblLook w:val="04A0" w:firstRow="1" w:lastRow="0" w:firstColumn="1" w:lastColumn="0" w:noHBand="0" w:noVBand="1"/>
      </w:tblPr>
      <w:tblGrid>
        <w:gridCol w:w="3150"/>
        <w:gridCol w:w="1170"/>
      </w:tblGrid>
      <w:tr w:rsidR="00AA455F" w:rsidRPr="000276CA" w14:paraId="0882AC90" w14:textId="77777777" w:rsidTr="00AA455F">
        <w:trPr>
          <w:jc w:val="center"/>
        </w:trPr>
        <w:tc>
          <w:tcPr>
            <w:tcW w:w="3150" w:type="dxa"/>
          </w:tcPr>
          <w:p w14:paraId="2FD5DF53"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Remaining planting costs</w:t>
            </w:r>
          </w:p>
        </w:tc>
        <w:tc>
          <w:tcPr>
            <w:tcW w:w="1170" w:type="dxa"/>
          </w:tcPr>
          <w:p w14:paraId="3AE54486"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$23,500</w:t>
            </w:r>
          </w:p>
        </w:tc>
      </w:tr>
      <w:tr w:rsidR="00AA455F" w:rsidRPr="000276CA" w14:paraId="79434B5E" w14:textId="77777777" w:rsidTr="00AA455F">
        <w:trPr>
          <w:jc w:val="center"/>
        </w:trPr>
        <w:tc>
          <w:tcPr>
            <w:tcW w:w="3150" w:type="dxa"/>
          </w:tcPr>
          <w:p w14:paraId="1822C8A9"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2016 maintenance costs</w:t>
            </w:r>
          </w:p>
        </w:tc>
        <w:tc>
          <w:tcPr>
            <w:tcW w:w="1170" w:type="dxa"/>
          </w:tcPr>
          <w:p w14:paraId="0978C5A7"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7,000</w:t>
            </w:r>
          </w:p>
        </w:tc>
      </w:tr>
      <w:tr w:rsidR="00AA455F" w:rsidRPr="000276CA" w14:paraId="7C996BCC" w14:textId="77777777" w:rsidTr="00AA455F">
        <w:trPr>
          <w:jc w:val="center"/>
        </w:trPr>
        <w:tc>
          <w:tcPr>
            <w:tcW w:w="3150" w:type="dxa"/>
          </w:tcPr>
          <w:p w14:paraId="25AF3BBA"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2017 maintenance costs</w:t>
            </w:r>
          </w:p>
        </w:tc>
        <w:tc>
          <w:tcPr>
            <w:tcW w:w="1170" w:type="dxa"/>
          </w:tcPr>
          <w:p w14:paraId="4E931BAC"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12,000</w:t>
            </w:r>
          </w:p>
        </w:tc>
      </w:tr>
      <w:tr w:rsidR="00AA455F" w:rsidRPr="000276CA" w14:paraId="2E8E6690" w14:textId="77777777" w:rsidTr="00AA455F">
        <w:trPr>
          <w:jc w:val="center"/>
        </w:trPr>
        <w:tc>
          <w:tcPr>
            <w:tcW w:w="3150" w:type="dxa"/>
          </w:tcPr>
          <w:p w14:paraId="24C97AE8"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2018 maintenance costs</w:t>
            </w:r>
          </w:p>
        </w:tc>
        <w:tc>
          <w:tcPr>
            <w:tcW w:w="1170" w:type="dxa"/>
          </w:tcPr>
          <w:p w14:paraId="607CCB41" w14:textId="77777777" w:rsidR="00AA455F" w:rsidRPr="000276CA" w:rsidRDefault="00AA455F" w:rsidP="00AA455F">
            <w:pPr>
              <w:jc w:val="right"/>
              <w:rPr>
                <w:rFonts w:ascii="Arial Narrow" w:hAnsi="Arial Narrow"/>
                <w:sz w:val="20"/>
                <w:szCs w:val="20"/>
              </w:rPr>
            </w:pPr>
          </w:p>
        </w:tc>
      </w:tr>
      <w:tr w:rsidR="00AA455F" w:rsidRPr="000276CA" w14:paraId="6932E775" w14:textId="77777777" w:rsidTr="00AA455F">
        <w:trPr>
          <w:jc w:val="center"/>
        </w:trPr>
        <w:tc>
          <w:tcPr>
            <w:tcW w:w="3150" w:type="dxa"/>
          </w:tcPr>
          <w:p w14:paraId="28017602"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 xml:space="preserve">  Before trees were placed in service</w:t>
            </w:r>
          </w:p>
        </w:tc>
        <w:tc>
          <w:tcPr>
            <w:tcW w:w="1170" w:type="dxa"/>
          </w:tcPr>
          <w:p w14:paraId="5B190071" w14:textId="77777777" w:rsidR="00AA455F" w:rsidRPr="000276CA" w:rsidRDefault="00AA455F" w:rsidP="00AA455F">
            <w:pPr>
              <w:jc w:val="right"/>
              <w:rPr>
                <w:rFonts w:ascii="Arial Narrow" w:hAnsi="Arial Narrow"/>
                <w:sz w:val="20"/>
                <w:szCs w:val="20"/>
                <w:u w:val="single"/>
              </w:rPr>
            </w:pPr>
            <w:r w:rsidRPr="000276CA">
              <w:rPr>
                <w:rFonts w:ascii="Arial Narrow" w:hAnsi="Arial Narrow"/>
                <w:sz w:val="20"/>
                <w:szCs w:val="20"/>
                <w:u w:val="single"/>
              </w:rPr>
              <w:t xml:space="preserve">  9,000</w:t>
            </w:r>
          </w:p>
        </w:tc>
      </w:tr>
      <w:tr w:rsidR="00AA455F" w:rsidRPr="000276CA" w14:paraId="16A91AC9" w14:textId="77777777" w:rsidTr="00AA455F">
        <w:trPr>
          <w:jc w:val="center"/>
        </w:trPr>
        <w:tc>
          <w:tcPr>
            <w:tcW w:w="3150" w:type="dxa"/>
          </w:tcPr>
          <w:p w14:paraId="60E66FBC"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Adjusted basis in trees</w:t>
            </w:r>
          </w:p>
        </w:tc>
        <w:tc>
          <w:tcPr>
            <w:tcW w:w="1170" w:type="dxa"/>
          </w:tcPr>
          <w:p w14:paraId="03595F49"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$51,500</w:t>
            </w:r>
          </w:p>
        </w:tc>
      </w:tr>
    </w:tbl>
    <w:p w14:paraId="70754B63" w14:textId="77777777" w:rsidR="00AA455F" w:rsidRPr="000276CA" w:rsidRDefault="00AA455F" w:rsidP="00AA455F">
      <w:pPr>
        <w:keepNext/>
        <w:spacing w:before="240" w:after="120"/>
        <w:jc w:val="both"/>
        <w:rPr>
          <w:rFonts w:ascii="Arial Narrow" w:hAnsi="Arial Narrow"/>
          <w:b/>
          <w:i/>
          <w:sz w:val="20"/>
          <w:szCs w:val="20"/>
        </w:rPr>
      </w:pPr>
      <w:r w:rsidRPr="000276CA">
        <w:rPr>
          <w:rFonts w:ascii="Arial Narrow" w:hAnsi="Arial Narrow"/>
          <w:b/>
          <w:i/>
          <w:sz w:val="20"/>
          <w:szCs w:val="20"/>
        </w:rPr>
        <w:t>No Elective Bonus Depreciation</w:t>
      </w:r>
    </w:p>
    <w:p w14:paraId="5EDA01E9" w14:textId="77777777" w:rsidR="00AA455F" w:rsidRPr="000276CA" w:rsidRDefault="00AA455F" w:rsidP="00AA455F">
      <w:pPr>
        <w:jc w:val="both"/>
        <w:rPr>
          <w:sz w:val="20"/>
          <w:szCs w:val="20"/>
          <w:lang w:eastAsia="x-none"/>
        </w:rPr>
      </w:pPr>
      <w:r w:rsidRPr="000276CA">
        <w:rPr>
          <w:sz w:val="20"/>
          <w:szCs w:val="20"/>
          <w:lang w:eastAsia="x-none"/>
        </w:rPr>
        <w:t xml:space="preserve">If Mabel did not elect to deduct </w:t>
      </w:r>
      <w:r w:rsidRPr="000276CA">
        <w:rPr>
          <w:sz w:val="20"/>
          <w:szCs w:val="20"/>
          <w:lang w:val="x-none" w:eastAsia="x-none"/>
        </w:rPr>
        <w:t xml:space="preserve">bonus depreciation in 2016, </w:t>
      </w:r>
      <w:r w:rsidRPr="000276CA">
        <w:rPr>
          <w:sz w:val="20"/>
          <w:szCs w:val="20"/>
          <w:lang w:eastAsia="x-none"/>
        </w:rPr>
        <w:t>she capitalizes her $47,000 cost of planting the trees</w:t>
      </w:r>
      <w:r w:rsidRPr="000276CA">
        <w:rPr>
          <w:sz w:val="20"/>
          <w:szCs w:val="20"/>
          <w:lang w:val="x-none" w:eastAsia="x-none"/>
        </w:rPr>
        <w:t xml:space="preserve"> and the $</w:t>
      </w:r>
      <w:r w:rsidRPr="000276CA">
        <w:rPr>
          <w:sz w:val="20"/>
          <w:szCs w:val="20"/>
          <w:lang w:eastAsia="x-none"/>
        </w:rPr>
        <w:t>7</w:t>
      </w:r>
      <w:r w:rsidRPr="000276CA">
        <w:rPr>
          <w:sz w:val="20"/>
          <w:szCs w:val="20"/>
          <w:lang w:val="x-none" w:eastAsia="x-none"/>
        </w:rPr>
        <w:t>,000 spray and fertilizer cost</w:t>
      </w:r>
      <w:r w:rsidRPr="000276CA">
        <w:rPr>
          <w:sz w:val="20"/>
          <w:szCs w:val="20"/>
          <w:lang w:eastAsia="x-none"/>
        </w:rPr>
        <w:t>s into her adjusted basis in the trees.</w:t>
      </w:r>
    </w:p>
    <w:p w14:paraId="6C8825AD" w14:textId="77777777" w:rsidR="00AA455F" w:rsidRPr="000276CA" w:rsidRDefault="00AA455F" w:rsidP="00AA455F">
      <w:pPr>
        <w:ind w:firstLine="360"/>
        <w:jc w:val="both"/>
        <w:rPr>
          <w:sz w:val="20"/>
          <w:szCs w:val="20"/>
          <w:lang w:eastAsia="x-none"/>
        </w:rPr>
      </w:pPr>
      <w:r w:rsidRPr="000276CA">
        <w:rPr>
          <w:sz w:val="20"/>
          <w:szCs w:val="20"/>
          <w:lang w:eastAsia="x-none"/>
        </w:rPr>
        <w:lastRenderedPageBreak/>
        <w:t>In 2017, Mabel cannot deduct any costs for her trees because they are subject to the UNICAP rules. She adds $12,000 of maintenance costs to the adjusted basis of her trees.</w:t>
      </w:r>
    </w:p>
    <w:p w14:paraId="3E1A5C7A" w14:textId="4E51D296" w:rsidR="00AA455F" w:rsidRPr="000276CA" w:rsidRDefault="00AA455F" w:rsidP="00AA455F">
      <w:pPr>
        <w:ind w:firstLine="360"/>
        <w:jc w:val="both"/>
        <w:rPr>
          <w:sz w:val="20"/>
          <w:szCs w:val="20"/>
          <w:lang w:eastAsia="x-none"/>
        </w:rPr>
      </w:pPr>
      <w:r w:rsidRPr="000276CA">
        <w:rPr>
          <w:sz w:val="20"/>
          <w:szCs w:val="20"/>
          <w:lang w:eastAsia="x-none"/>
        </w:rPr>
        <w:t xml:space="preserve">Mabel can begin depreciating her trees when they are placed in service in October 2018. She calculates her $71,000 adjusted basis in the trees when they are placed in service as shown in </w:t>
      </w:r>
      <w:r w:rsidRPr="000276CA">
        <w:rPr>
          <w:b/>
          <w:sz w:val="20"/>
          <w:szCs w:val="20"/>
          <w:lang w:eastAsia="x-none"/>
        </w:rPr>
        <w:t>Figure </w:t>
      </w:r>
      <w:r w:rsidR="00E24EC1">
        <w:rPr>
          <w:b/>
          <w:sz w:val="20"/>
          <w:szCs w:val="20"/>
          <w:lang w:eastAsia="x-none"/>
        </w:rPr>
        <w:t>5</w:t>
      </w:r>
      <w:r w:rsidRPr="000276CA">
        <w:rPr>
          <w:sz w:val="20"/>
          <w:szCs w:val="20"/>
          <w:lang w:eastAsia="x-none"/>
        </w:rPr>
        <w:t>. The trees qualify for the section 179 deduction, the 40% bonus depreciation, and MACRS (10-year 150% DB; 10-year SL; or 20-year SL) depreciation.</w:t>
      </w:r>
    </w:p>
    <w:p w14:paraId="145A8D43" w14:textId="77777777" w:rsidR="00AA455F" w:rsidRPr="000276CA" w:rsidRDefault="00AA455F" w:rsidP="00AA455F">
      <w:pPr>
        <w:ind w:firstLine="360"/>
        <w:jc w:val="both"/>
        <w:rPr>
          <w:sz w:val="20"/>
          <w:szCs w:val="20"/>
          <w:lang w:eastAsia="x-none"/>
        </w:rPr>
      </w:pPr>
      <w:r w:rsidRPr="000276CA">
        <w:rPr>
          <w:sz w:val="20"/>
          <w:szCs w:val="20"/>
          <w:lang w:eastAsia="x-none"/>
        </w:rPr>
        <w:t>She also deducts the $3,000 cost of maintaining the trees after they were placed in service.</w:t>
      </w:r>
    </w:p>
    <w:p w14:paraId="70EA0E1E" w14:textId="23166692" w:rsidR="00AA455F" w:rsidRPr="000276CA" w:rsidRDefault="00AA455F" w:rsidP="00AA455F">
      <w:pPr>
        <w:keepNext/>
        <w:spacing w:before="240" w:after="120"/>
        <w:jc w:val="center"/>
        <w:rPr>
          <w:rFonts w:ascii="Arial Narrow" w:hAnsi="Arial Narrow"/>
          <w:b/>
          <w:i/>
          <w:sz w:val="20"/>
          <w:szCs w:val="20"/>
        </w:rPr>
      </w:pPr>
      <w:r w:rsidRPr="000276CA">
        <w:rPr>
          <w:rFonts w:ascii="Arial Narrow" w:hAnsi="Arial Narrow"/>
          <w:b/>
          <w:i/>
          <w:sz w:val="20"/>
          <w:szCs w:val="20"/>
        </w:rPr>
        <w:t xml:space="preserve">FIGURE </w:t>
      </w:r>
      <w:r w:rsidR="00E24EC1">
        <w:rPr>
          <w:rFonts w:ascii="Arial Narrow" w:hAnsi="Arial Narrow"/>
          <w:b/>
          <w:i/>
          <w:sz w:val="20"/>
          <w:szCs w:val="20"/>
        </w:rPr>
        <w:t>5</w:t>
      </w:r>
      <w:r w:rsidRPr="000276CA">
        <w:rPr>
          <w:rFonts w:ascii="Arial Narrow" w:hAnsi="Arial Narrow"/>
          <w:b/>
          <w:i/>
          <w:sz w:val="20"/>
          <w:szCs w:val="20"/>
        </w:rPr>
        <w:t>. Basis of Trees without Bonus Depreciation Election</w:t>
      </w:r>
    </w:p>
    <w:tbl>
      <w:tblPr>
        <w:tblStyle w:val="TableGrid8"/>
        <w:tblW w:w="0" w:type="auto"/>
        <w:jc w:val="center"/>
        <w:tblLook w:val="04A0" w:firstRow="1" w:lastRow="0" w:firstColumn="1" w:lastColumn="0" w:noHBand="0" w:noVBand="1"/>
      </w:tblPr>
      <w:tblGrid>
        <w:gridCol w:w="3150"/>
        <w:gridCol w:w="1170"/>
      </w:tblGrid>
      <w:tr w:rsidR="00AA455F" w:rsidRPr="000276CA" w14:paraId="0F8DA49E" w14:textId="77777777" w:rsidTr="00AA455F">
        <w:trPr>
          <w:jc w:val="center"/>
        </w:trPr>
        <w:tc>
          <w:tcPr>
            <w:tcW w:w="3150" w:type="dxa"/>
          </w:tcPr>
          <w:p w14:paraId="5E2C7960"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Planting costs</w:t>
            </w:r>
          </w:p>
        </w:tc>
        <w:tc>
          <w:tcPr>
            <w:tcW w:w="1170" w:type="dxa"/>
          </w:tcPr>
          <w:p w14:paraId="6B39480A"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$47,000</w:t>
            </w:r>
          </w:p>
        </w:tc>
      </w:tr>
      <w:tr w:rsidR="00AA455F" w:rsidRPr="000276CA" w14:paraId="1EA13A10" w14:textId="77777777" w:rsidTr="00AA455F">
        <w:trPr>
          <w:jc w:val="center"/>
        </w:trPr>
        <w:tc>
          <w:tcPr>
            <w:tcW w:w="3150" w:type="dxa"/>
          </w:tcPr>
          <w:p w14:paraId="47F0F3FA"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2016 maintenance costs</w:t>
            </w:r>
          </w:p>
        </w:tc>
        <w:tc>
          <w:tcPr>
            <w:tcW w:w="1170" w:type="dxa"/>
          </w:tcPr>
          <w:p w14:paraId="01CC889A"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7,000</w:t>
            </w:r>
          </w:p>
        </w:tc>
      </w:tr>
      <w:tr w:rsidR="00AA455F" w:rsidRPr="000276CA" w14:paraId="5A2A7DCC" w14:textId="77777777" w:rsidTr="00AA455F">
        <w:trPr>
          <w:jc w:val="center"/>
        </w:trPr>
        <w:tc>
          <w:tcPr>
            <w:tcW w:w="3150" w:type="dxa"/>
          </w:tcPr>
          <w:p w14:paraId="2A3D418C"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2017 maintenance costs</w:t>
            </w:r>
          </w:p>
        </w:tc>
        <w:tc>
          <w:tcPr>
            <w:tcW w:w="1170" w:type="dxa"/>
          </w:tcPr>
          <w:p w14:paraId="0B085827"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12,000</w:t>
            </w:r>
          </w:p>
        </w:tc>
      </w:tr>
      <w:tr w:rsidR="00AA455F" w:rsidRPr="000276CA" w14:paraId="0B994603" w14:textId="77777777" w:rsidTr="00AA455F">
        <w:trPr>
          <w:jc w:val="center"/>
        </w:trPr>
        <w:tc>
          <w:tcPr>
            <w:tcW w:w="3150" w:type="dxa"/>
          </w:tcPr>
          <w:p w14:paraId="2B28ECB4"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2018 maintenance costs</w:t>
            </w:r>
          </w:p>
        </w:tc>
        <w:tc>
          <w:tcPr>
            <w:tcW w:w="1170" w:type="dxa"/>
          </w:tcPr>
          <w:p w14:paraId="5C0D76F4" w14:textId="77777777" w:rsidR="00AA455F" w:rsidRPr="000276CA" w:rsidRDefault="00AA455F" w:rsidP="00AA455F">
            <w:pPr>
              <w:jc w:val="right"/>
              <w:rPr>
                <w:rFonts w:ascii="Arial Narrow" w:hAnsi="Arial Narrow"/>
                <w:sz w:val="20"/>
                <w:szCs w:val="20"/>
              </w:rPr>
            </w:pPr>
          </w:p>
        </w:tc>
      </w:tr>
      <w:tr w:rsidR="00AA455F" w:rsidRPr="000276CA" w14:paraId="6556674F" w14:textId="77777777" w:rsidTr="00AA455F">
        <w:trPr>
          <w:jc w:val="center"/>
        </w:trPr>
        <w:tc>
          <w:tcPr>
            <w:tcW w:w="3150" w:type="dxa"/>
          </w:tcPr>
          <w:p w14:paraId="121F8CA0"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 xml:space="preserve">  Before trees were placed in service</w:t>
            </w:r>
          </w:p>
        </w:tc>
        <w:tc>
          <w:tcPr>
            <w:tcW w:w="1170" w:type="dxa"/>
          </w:tcPr>
          <w:p w14:paraId="5F629E0E"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 xml:space="preserve">  9,000</w:t>
            </w:r>
          </w:p>
        </w:tc>
      </w:tr>
      <w:tr w:rsidR="00AA455F" w:rsidRPr="000276CA" w14:paraId="26E94729" w14:textId="77777777" w:rsidTr="00AA455F">
        <w:trPr>
          <w:jc w:val="center"/>
        </w:trPr>
        <w:tc>
          <w:tcPr>
            <w:tcW w:w="3150" w:type="dxa"/>
          </w:tcPr>
          <w:p w14:paraId="3EC634F0" w14:textId="77777777" w:rsidR="00AA455F" w:rsidRPr="000276CA" w:rsidRDefault="00AA455F" w:rsidP="00AA455F">
            <w:pPr>
              <w:jc w:val="both"/>
              <w:rPr>
                <w:rFonts w:ascii="Arial Narrow" w:hAnsi="Arial Narrow"/>
                <w:sz w:val="20"/>
                <w:szCs w:val="20"/>
              </w:rPr>
            </w:pPr>
            <w:r w:rsidRPr="000276CA">
              <w:rPr>
                <w:rFonts w:ascii="Arial Narrow" w:hAnsi="Arial Narrow"/>
                <w:sz w:val="20"/>
                <w:szCs w:val="20"/>
              </w:rPr>
              <w:t>Adjusted basis in trees</w:t>
            </w:r>
          </w:p>
        </w:tc>
        <w:tc>
          <w:tcPr>
            <w:tcW w:w="1170" w:type="dxa"/>
          </w:tcPr>
          <w:p w14:paraId="54E9C2F6" w14:textId="77777777" w:rsidR="00AA455F" w:rsidRPr="000276CA" w:rsidRDefault="00AA455F" w:rsidP="00AA455F">
            <w:pPr>
              <w:jc w:val="right"/>
              <w:rPr>
                <w:rFonts w:ascii="Arial Narrow" w:hAnsi="Arial Narrow"/>
                <w:sz w:val="20"/>
                <w:szCs w:val="20"/>
              </w:rPr>
            </w:pPr>
            <w:r w:rsidRPr="000276CA">
              <w:rPr>
                <w:rFonts w:ascii="Arial Narrow" w:hAnsi="Arial Narrow"/>
                <w:sz w:val="20"/>
                <w:szCs w:val="20"/>
              </w:rPr>
              <w:t>$75,000</w:t>
            </w:r>
          </w:p>
        </w:tc>
      </w:tr>
    </w:tbl>
    <w:p w14:paraId="5E5BCA08" w14:textId="77777777" w:rsidR="00AA455F" w:rsidRPr="000276CA" w:rsidRDefault="00AA455F" w:rsidP="00AA455F">
      <w:pPr>
        <w:jc w:val="center"/>
        <w:rPr>
          <w:sz w:val="20"/>
          <w:szCs w:val="20"/>
          <w:lang w:eastAsia="x-none"/>
        </w:rPr>
      </w:pPr>
      <w:r w:rsidRPr="000276CA">
        <w:rPr>
          <w:sz w:val="20"/>
          <w:szCs w:val="20"/>
          <w:lang w:eastAsia="x-none"/>
        </w:rPr>
        <w:t>____________________</w:t>
      </w:r>
    </w:p>
    <w:p w14:paraId="02628275" w14:textId="77777777" w:rsidR="00AA455F" w:rsidRPr="000276CA" w:rsidRDefault="00AA455F" w:rsidP="00AA455F">
      <w:pPr>
        <w:ind w:firstLine="360"/>
        <w:jc w:val="both"/>
        <w:rPr>
          <w:color w:val="FFFFFF"/>
          <w:sz w:val="20"/>
          <w:szCs w:val="20"/>
          <w:shd w:val="solid" w:color="auto" w:fill="000000"/>
          <w:lang w:val="x-none" w:eastAsia="x-none"/>
        </w:rPr>
      </w:pPr>
    </w:p>
    <w:p w14:paraId="1833650C"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rPr>
          <w:b/>
          <w:sz w:val="20"/>
          <w:szCs w:val="20"/>
        </w:rPr>
      </w:pPr>
      <w:r w:rsidRPr="000276CA">
        <w:rPr>
          <w:b/>
          <w:sz w:val="20"/>
          <w:szCs w:val="20"/>
        </w:rPr>
        <w:t>Planning Pointer</w:t>
      </w:r>
    </w:p>
    <w:p w14:paraId="06B84D17" w14:textId="77777777" w:rsidR="00AA455F" w:rsidRPr="000276CA" w:rsidRDefault="00AA455F" w:rsidP="00AA455F">
      <w:pPr>
        <w:pBdr>
          <w:top w:val="single" w:sz="4" w:space="1" w:color="auto"/>
          <w:left w:val="single" w:sz="4" w:space="4" w:color="auto"/>
          <w:bottom w:val="single" w:sz="4" w:space="1" w:color="auto"/>
          <w:right w:val="single" w:sz="4" w:space="4" w:color="auto"/>
        </w:pBdr>
        <w:spacing w:before="60" w:after="60"/>
        <w:rPr>
          <w:rFonts w:ascii="Arial" w:hAnsi="Arial"/>
          <w:sz w:val="20"/>
          <w:szCs w:val="20"/>
        </w:rPr>
      </w:pPr>
      <w:r w:rsidRPr="000276CA">
        <w:rPr>
          <w:rFonts w:ascii="Arial" w:hAnsi="Arial"/>
          <w:sz w:val="20"/>
          <w:szCs w:val="20"/>
        </w:rPr>
        <w:t>Increasing Adjusted Basis of Plants</w:t>
      </w:r>
    </w:p>
    <w:p w14:paraId="677219A9" w14:textId="28F4ABED" w:rsidR="00AA455F" w:rsidRPr="000276CA" w:rsidRDefault="00AA455F" w:rsidP="00AA455F">
      <w:pPr>
        <w:pStyle w:val="Note"/>
        <w:rPr>
          <w:szCs w:val="20"/>
        </w:rPr>
      </w:pPr>
      <w:r w:rsidRPr="000276CA">
        <w:rPr>
          <w:szCs w:val="20"/>
        </w:rPr>
        <w:t xml:space="preserve">As Examples </w:t>
      </w:r>
      <w:r w:rsidR="00E24EC1">
        <w:rPr>
          <w:szCs w:val="20"/>
        </w:rPr>
        <w:t>4</w:t>
      </w:r>
      <w:r w:rsidRPr="000276CA">
        <w:rPr>
          <w:szCs w:val="20"/>
        </w:rPr>
        <w:t xml:space="preserve"> and </w:t>
      </w:r>
      <w:r w:rsidR="00E24EC1">
        <w:rPr>
          <w:szCs w:val="20"/>
        </w:rPr>
        <w:t>5</w:t>
      </w:r>
      <w:r w:rsidRPr="000276CA">
        <w:rPr>
          <w:szCs w:val="20"/>
        </w:rPr>
        <w:t xml:space="preserve"> illustrate, farmers can increase the adjusted basis of plants that are eligible for the elective bonus depreciation by choosing a more rapid cost recovery method for assets that are placed in service in the year the plants are planted and used to plant the plants. Such assets include support posts, trellises, irrigation systems, equipment, and machinery. If the assets are eligible, the famer could choose the section 179 deduction, bonus depreciation, and/or the most rapid MACRS depreciation in the year of planting to increase the cost recovery deductions that are capitalized into the adjusted basis of the plant.</w:t>
      </w:r>
    </w:p>
    <w:p w14:paraId="04DA36F0" w14:textId="77777777" w:rsidR="00A758CB" w:rsidRPr="005A2657" w:rsidRDefault="00A758CB" w:rsidP="00D83FFD">
      <w:pPr>
        <w:pStyle w:val="Body"/>
        <w:keepLines/>
        <w:numPr>
          <w:ilvl w:val="0"/>
          <w:numId w:val="46"/>
        </w:numPr>
        <w:spacing w:before="200"/>
        <w:rPr>
          <w:sz w:val="20"/>
          <w:szCs w:val="20"/>
        </w:rPr>
      </w:pPr>
      <w:r w:rsidRPr="005A2657">
        <w:rPr>
          <w:sz w:val="20"/>
          <w:szCs w:val="20"/>
        </w:rPr>
        <w:t>MACRS Recovery Periods</w:t>
      </w:r>
    </w:p>
    <w:p w14:paraId="0BD734D5" w14:textId="470630C6" w:rsidR="00A758CB" w:rsidRPr="005A2657" w:rsidRDefault="00A758CB" w:rsidP="00D83FFD">
      <w:pPr>
        <w:pStyle w:val="RandCStatute"/>
        <w:numPr>
          <w:ilvl w:val="0"/>
          <w:numId w:val="53"/>
        </w:numPr>
        <w:spacing w:before="200" w:after="0"/>
        <w:ind w:left="1080"/>
        <w:rPr>
          <w:sz w:val="20"/>
          <w:szCs w:val="20"/>
        </w:rPr>
      </w:pPr>
      <w:r w:rsidRPr="005A2657">
        <w:rPr>
          <w:sz w:val="20"/>
          <w:szCs w:val="20"/>
        </w:rPr>
        <w:t>15-Year Property</w:t>
      </w:r>
      <w:r w:rsidR="005A2657" w:rsidRPr="005A2657">
        <w:rPr>
          <w:sz w:val="20"/>
          <w:szCs w:val="20"/>
        </w:rPr>
        <w:t xml:space="preserve"> [</w:t>
      </w:r>
      <w:r w:rsidRPr="005A2657">
        <w:rPr>
          <w:sz w:val="20"/>
          <w:szCs w:val="20"/>
        </w:rPr>
        <w:t>I.R.C. § 168(e)(3)(E); PATH Act § 123</w:t>
      </w:r>
      <w:r w:rsidR="005A2657" w:rsidRPr="005A2657">
        <w:rPr>
          <w:sz w:val="20"/>
          <w:szCs w:val="20"/>
        </w:rPr>
        <w:t>]</w:t>
      </w:r>
    </w:p>
    <w:p w14:paraId="5A1284A7" w14:textId="563FF09F" w:rsidR="00A758CB" w:rsidRPr="005A2657" w:rsidRDefault="00A758CB" w:rsidP="00D83FFD">
      <w:pPr>
        <w:pStyle w:val="RandCStatute"/>
        <w:numPr>
          <w:ilvl w:val="0"/>
          <w:numId w:val="54"/>
        </w:numPr>
        <w:spacing w:before="200" w:after="0"/>
        <w:ind w:left="1440" w:hanging="360"/>
        <w:rPr>
          <w:sz w:val="20"/>
          <w:szCs w:val="20"/>
        </w:rPr>
      </w:pPr>
      <w:r w:rsidRPr="005A2657">
        <w:rPr>
          <w:sz w:val="20"/>
          <w:szCs w:val="20"/>
        </w:rPr>
        <w:t>Effective for property placed in service after December 31, 2014</w:t>
      </w:r>
      <w:r w:rsidR="005A2657">
        <w:rPr>
          <w:sz w:val="20"/>
          <w:szCs w:val="20"/>
          <w:lang w:val="en-US"/>
        </w:rPr>
        <w:t>.</w:t>
      </w:r>
    </w:p>
    <w:p w14:paraId="66D021A4" w14:textId="77777777" w:rsidR="00F97702" w:rsidRDefault="00A758CB" w:rsidP="00D83FFD">
      <w:pPr>
        <w:pStyle w:val="RandCStatute"/>
        <w:numPr>
          <w:ilvl w:val="0"/>
          <w:numId w:val="54"/>
        </w:numPr>
        <w:spacing w:before="200" w:after="0"/>
        <w:ind w:left="1440" w:hanging="360"/>
        <w:rPr>
          <w:sz w:val="20"/>
          <w:szCs w:val="20"/>
        </w:rPr>
      </w:pPr>
      <w:r w:rsidRPr="005A2657">
        <w:rPr>
          <w:sz w:val="20"/>
          <w:szCs w:val="20"/>
        </w:rPr>
        <w:t>Buildings and building improvements that are qualified leasehold improvement property, qualified retail improvement property, or qualified restaurant property are 15-year property for the MACRS General Depreciation System (GDS).</w:t>
      </w:r>
    </w:p>
    <w:p w14:paraId="77F7E732" w14:textId="5F591280" w:rsidR="00A758CB" w:rsidRPr="005A2657" w:rsidRDefault="00A758CB" w:rsidP="00D83FFD">
      <w:pPr>
        <w:pStyle w:val="RandCStatute"/>
        <w:numPr>
          <w:ilvl w:val="0"/>
          <w:numId w:val="54"/>
        </w:numPr>
        <w:spacing w:before="200" w:after="0"/>
        <w:ind w:left="1440" w:hanging="360"/>
        <w:rPr>
          <w:sz w:val="20"/>
          <w:szCs w:val="20"/>
        </w:rPr>
      </w:pPr>
      <w:r w:rsidRPr="005A2657">
        <w:rPr>
          <w:sz w:val="20"/>
          <w:szCs w:val="20"/>
        </w:rPr>
        <w:t>The PATH Act makes the provision permanent.</w:t>
      </w:r>
    </w:p>
    <w:p w14:paraId="0C0B715A" w14:textId="178BDB1A" w:rsidR="00A758CB" w:rsidRPr="00F97702" w:rsidRDefault="00A758CB" w:rsidP="00D83FFD">
      <w:pPr>
        <w:pStyle w:val="RandCStatute"/>
        <w:numPr>
          <w:ilvl w:val="0"/>
          <w:numId w:val="53"/>
        </w:numPr>
        <w:spacing w:before="200" w:after="0"/>
        <w:ind w:left="1080"/>
        <w:rPr>
          <w:sz w:val="20"/>
          <w:szCs w:val="20"/>
        </w:rPr>
      </w:pPr>
      <w:r w:rsidRPr="00F97702">
        <w:rPr>
          <w:sz w:val="20"/>
          <w:szCs w:val="20"/>
        </w:rPr>
        <w:t>Motorsports Entertainment Property</w:t>
      </w:r>
      <w:r w:rsidR="00F97702" w:rsidRPr="00F97702">
        <w:rPr>
          <w:sz w:val="20"/>
          <w:szCs w:val="20"/>
          <w:lang w:val="en-US"/>
        </w:rPr>
        <w:t xml:space="preserve"> </w:t>
      </w:r>
      <w:r w:rsidR="00F97702">
        <w:rPr>
          <w:sz w:val="20"/>
          <w:szCs w:val="20"/>
          <w:lang w:val="en-US"/>
        </w:rPr>
        <w:t>[</w:t>
      </w:r>
      <w:r w:rsidRPr="00F97702">
        <w:rPr>
          <w:sz w:val="20"/>
          <w:szCs w:val="20"/>
        </w:rPr>
        <w:t>I.R.C. § 168(</w:t>
      </w:r>
      <w:proofErr w:type="spellStart"/>
      <w:r w:rsidRPr="00F97702">
        <w:rPr>
          <w:sz w:val="20"/>
          <w:szCs w:val="20"/>
        </w:rPr>
        <w:t>i</w:t>
      </w:r>
      <w:proofErr w:type="spellEnd"/>
      <w:r w:rsidRPr="00F97702">
        <w:rPr>
          <w:sz w:val="20"/>
          <w:szCs w:val="20"/>
        </w:rPr>
        <w:t>)(15)(D); PATH Act § 166</w:t>
      </w:r>
      <w:r w:rsidR="00F97702">
        <w:rPr>
          <w:sz w:val="20"/>
          <w:szCs w:val="20"/>
          <w:lang w:val="en-US"/>
        </w:rPr>
        <w:t>]</w:t>
      </w:r>
    </w:p>
    <w:p w14:paraId="2E083395" w14:textId="38136986" w:rsidR="00A758CB" w:rsidRPr="00F97702" w:rsidRDefault="00A758CB" w:rsidP="00D83FFD">
      <w:pPr>
        <w:pStyle w:val="RandCStatute"/>
        <w:numPr>
          <w:ilvl w:val="0"/>
          <w:numId w:val="55"/>
        </w:numPr>
        <w:spacing w:before="200" w:after="0"/>
        <w:ind w:left="1440" w:hanging="360"/>
        <w:rPr>
          <w:sz w:val="20"/>
          <w:szCs w:val="20"/>
        </w:rPr>
      </w:pPr>
      <w:r w:rsidRPr="00F97702">
        <w:rPr>
          <w:sz w:val="20"/>
          <w:szCs w:val="20"/>
        </w:rPr>
        <w:t>Effective for property placed in service after December 31, 2014</w:t>
      </w:r>
      <w:r w:rsidR="00F97702">
        <w:rPr>
          <w:sz w:val="20"/>
          <w:szCs w:val="20"/>
          <w:lang w:val="en-US"/>
        </w:rPr>
        <w:t>.</w:t>
      </w:r>
    </w:p>
    <w:p w14:paraId="6C151E6A" w14:textId="77777777" w:rsidR="00A758CB" w:rsidRPr="00F97702" w:rsidRDefault="00A758CB" w:rsidP="00D83FFD">
      <w:pPr>
        <w:pStyle w:val="RandCStatute"/>
        <w:numPr>
          <w:ilvl w:val="0"/>
          <w:numId w:val="55"/>
        </w:numPr>
        <w:spacing w:before="200" w:after="0"/>
        <w:ind w:left="1440" w:hanging="360"/>
        <w:rPr>
          <w:sz w:val="20"/>
          <w:szCs w:val="20"/>
        </w:rPr>
      </w:pPr>
      <w:r w:rsidRPr="00F97702">
        <w:rPr>
          <w:sz w:val="20"/>
          <w:szCs w:val="20"/>
        </w:rPr>
        <w:t>Motorsports entertainment facilities are not included in a specific asset class under MACRS, but 2004 legislation temporarily provided a 7-year recovery period. This benefit is extended for qualifying property placed in service through 2016.</w:t>
      </w:r>
    </w:p>
    <w:p w14:paraId="10BF4464" w14:textId="6DD4FA80" w:rsidR="00A758CB" w:rsidRPr="00F97702" w:rsidRDefault="00A758CB" w:rsidP="00D83FFD">
      <w:pPr>
        <w:pStyle w:val="RandCStatute"/>
        <w:keepNext/>
        <w:keepLines/>
        <w:numPr>
          <w:ilvl w:val="0"/>
          <w:numId w:val="53"/>
        </w:numPr>
        <w:autoSpaceDE w:val="0"/>
        <w:autoSpaceDN w:val="0"/>
        <w:adjustRightInd w:val="0"/>
        <w:spacing w:before="200" w:after="0"/>
        <w:ind w:left="1080"/>
        <w:rPr>
          <w:sz w:val="20"/>
          <w:szCs w:val="20"/>
        </w:rPr>
      </w:pPr>
      <w:r w:rsidRPr="00F97702">
        <w:rPr>
          <w:sz w:val="20"/>
          <w:szCs w:val="20"/>
        </w:rPr>
        <w:t>Indian Reservation Property</w:t>
      </w:r>
      <w:r w:rsidR="00F97702" w:rsidRPr="00F97702">
        <w:rPr>
          <w:sz w:val="20"/>
          <w:szCs w:val="20"/>
        </w:rPr>
        <w:t xml:space="preserve"> [</w:t>
      </w:r>
      <w:r w:rsidRPr="00F97702">
        <w:rPr>
          <w:sz w:val="20"/>
          <w:szCs w:val="20"/>
        </w:rPr>
        <w:t>I.R.C. § 168(j); PATH Act § 167</w:t>
      </w:r>
      <w:r w:rsidR="00F97702">
        <w:rPr>
          <w:sz w:val="20"/>
          <w:szCs w:val="20"/>
          <w:lang w:val="en-US"/>
        </w:rPr>
        <w:t>]</w:t>
      </w:r>
    </w:p>
    <w:p w14:paraId="14AF72B8" w14:textId="41BC8666" w:rsidR="00A758CB" w:rsidRPr="00F97702" w:rsidRDefault="00A758CB" w:rsidP="00D83FFD">
      <w:pPr>
        <w:pStyle w:val="RandCStatute"/>
        <w:numPr>
          <w:ilvl w:val="0"/>
          <w:numId w:val="56"/>
        </w:numPr>
        <w:spacing w:before="200" w:after="0"/>
        <w:ind w:left="1440" w:hanging="360"/>
        <w:rPr>
          <w:sz w:val="20"/>
          <w:szCs w:val="20"/>
        </w:rPr>
      </w:pPr>
      <w:r w:rsidRPr="00F97702">
        <w:rPr>
          <w:sz w:val="20"/>
          <w:szCs w:val="20"/>
        </w:rPr>
        <w:t>Generally effective for property placed in service after December 31, 2014; the modification providing an election out of I.R.C. § 168(j) applies to tax years beginning after December 31, 2015</w:t>
      </w:r>
      <w:r w:rsidR="00767A10">
        <w:rPr>
          <w:sz w:val="20"/>
          <w:szCs w:val="20"/>
          <w:lang w:val="en-US"/>
        </w:rPr>
        <w:t>.</w:t>
      </w:r>
    </w:p>
    <w:p w14:paraId="47608C02" w14:textId="562410BC" w:rsidR="00A758CB" w:rsidRPr="00F97702" w:rsidRDefault="00A758CB" w:rsidP="00D83FFD">
      <w:pPr>
        <w:pStyle w:val="RandCStatute"/>
        <w:numPr>
          <w:ilvl w:val="0"/>
          <w:numId w:val="56"/>
        </w:numPr>
        <w:spacing w:before="200" w:after="0"/>
        <w:ind w:left="1440" w:hanging="360"/>
        <w:rPr>
          <w:sz w:val="20"/>
          <w:szCs w:val="20"/>
        </w:rPr>
      </w:pPr>
      <w:r w:rsidRPr="00F97702">
        <w:rPr>
          <w:sz w:val="20"/>
          <w:szCs w:val="20"/>
        </w:rPr>
        <w:t xml:space="preserve">Depreciation deductions for certain MACRS property used predominantly in the active conduct of a trade or business property within an Indian reservation are determined using the recovery periods shown in Figure </w:t>
      </w:r>
      <w:r w:rsidR="00E24EC1">
        <w:rPr>
          <w:sz w:val="20"/>
          <w:szCs w:val="20"/>
          <w:lang w:val="en-US"/>
        </w:rPr>
        <w:t>6</w:t>
      </w:r>
      <w:r w:rsidRPr="00F97702">
        <w:rPr>
          <w:sz w:val="20"/>
          <w:szCs w:val="20"/>
        </w:rPr>
        <w:t>.</w:t>
      </w:r>
    </w:p>
    <w:p w14:paraId="5DE7F530" w14:textId="053299D3" w:rsidR="00A758CB" w:rsidRPr="00F97702" w:rsidRDefault="00A758CB" w:rsidP="00A758CB">
      <w:pPr>
        <w:pStyle w:val="FigNumber"/>
        <w:keepLines/>
        <w:rPr>
          <w:sz w:val="20"/>
          <w:szCs w:val="20"/>
        </w:rPr>
      </w:pPr>
      <w:r w:rsidRPr="00F97702">
        <w:rPr>
          <w:sz w:val="20"/>
          <w:szCs w:val="20"/>
        </w:rPr>
        <w:lastRenderedPageBreak/>
        <w:t xml:space="preserve">FIGURE </w:t>
      </w:r>
      <w:r w:rsidR="00E24EC1">
        <w:rPr>
          <w:sz w:val="20"/>
          <w:szCs w:val="20"/>
          <w:lang w:val="en-US"/>
        </w:rPr>
        <w:t>6</w:t>
      </w:r>
      <w:r w:rsidR="00B576ED" w:rsidRPr="00F97702">
        <w:rPr>
          <w:sz w:val="20"/>
          <w:szCs w:val="20"/>
          <w:lang w:val="en-US"/>
        </w:rPr>
        <w:t>.</w:t>
      </w:r>
      <w:r w:rsidRPr="00F97702">
        <w:rPr>
          <w:sz w:val="20"/>
          <w:szCs w:val="20"/>
        </w:rPr>
        <w:t xml:space="preserve"> Recovery Periods for Indian Reservation Property</w:t>
      </w:r>
    </w:p>
    <w:tbl>
      <w:tblPr>
        <w:tblStyle w:val="TableGrid"/>
        <w:tblW w:w="0" w:type="auto"/>
        <w:jc w:val="center"/>
        <w:tblLook w:val="04A0" w:firstRow="1" w:lastRow="0" w:firstColumn="1" w:lastColumn="0" w:noHBand="0" w:noVBand="1"/>
      </w:tblPr>
      <w:tblGrid>
        <w:gridCol w:w="2880"/>
        <w:gridCol w:w="2340"/>
      </w:tblGrid>
      <w:tr w:rsidR="00A758CB" w:rsidRPr="00F97702" w14:paraId="01A6D930" w14:textId="77777777" w:rsidTr="00A758CB">
        <w:trPr>
          <w:jc w:val="center"/>
        </w:trPr>
        <w:tc>
          <w:tcPr>
            <w:tcW w:w="2880" w:type="dxa"/>
          </w:tcPr>
          <w:p w14:paraId="26B62D79" w14:textId="77777777" w:rsidR="00A758CB" w:rsidRPr="00F97702" w:rsidRDefault="00A758CB" w:rsidP="00A758CB">
            <w:pPr>
              <w:pStyle w:val="CellHeadingC"/>
              <w:keepNext/>
              <w:keepLines/>
              <w:rPr>
                <w:sz w:val="20"/>
                <w:szCs w:val="20"/>
              </w:rPr>
            </w:pPr>
            <w:r w:rsidRPr="00F97702">
              <w:rPr>
                <w:sz w:val="20"/>
                <w:szCs w:val="20"/>
              </w:rPr>
              <w:t>Property Class</w:t>
            </w:r>
          </w:p>
        </w:tc>
        <w:tc>
          <w:tcPr>
            <w:tcW w:w="2340" w:type="dxa"/>
          </w:tcPr>
          <w:p w14:paraId="35FB382D" w14:textId="77777777" w:rsidR="00A758CB" w:rsidRPr="00F97702" w:rsidRDefault="00A758CB" w:rsidP="00A758CB">
            <w:pPr>
              <w:pStyle w:val="CellHeadingC"/>
              <w:keepNext/>
              <w:keepLines/>
              <w:rPr>
                <w:sz w:val="20"/>
                <w:szCs w:val="20"/>
              </w:rPr>
            </w:pPr>
            <w:r w:rsidRPr="00F97702">
              <w:rPr>
                <w:sz w:val="20"/>
                <w:szCs w:val="20"/>
              </w:rPr>
              <w:t>Recovery Period</w:t>
            </w:r>
          </w:p>
        </w:tc>
      </w:tr>
      <w:tr w:rsidR="00A758CB" w:rsidRPr="00F97702" w14:paraId="0D2149D5" w14:textId="77777777" w:rsidTr="00A758CB">
        <w:trPr>
          <w:jc w:val="center"/>
        </w:trPr>
        <w:tc>
          <w:tcPr>
            <w:tcW w:w="2880" w:type="dxa"/>
          </w:tcPr>
          <w:p w14:paraId="78E6BACF" w14:textId="77777777" w:rsidR="00A758CB" w:rsidRPr="00F97702" w:rsidRDefault="00A758CB" w:rsidP="00A758CB">
            <w:pPr>
              <w:pStyle w:val="CellBodyCfirst"/>
              <w:keepNext/>
              <w:keepLines/>
              <w:rPr>
                <w:sz w:val="20"/>
                <w:szCs w:val="20"/>
              </w:rPr>
            </w:pPr>
            <w:r w:rsidRPr="00F97702">
              <w:rPr>
                <w:sz w:val="20"/>
                <w:szCs w:val="20"/>
              </w:rPr>
              <w:t>3-year property</w:t>
            </w:r>
          </w:p>
        </w:tc>
        <w:tc>
          <w:tcPr>
            <w:tcW w:w="2340" w:type="dxa"/>
          </w:tcPr>
          <w:p w14:paraId="46999621" w14:textId="77777777" w:rsidR="00A758CB" w:rsidRPr="00F97702" w:rsidRDefault="00A758CB" w:rsidP="00A758CB">
            <w:pPr>
              <w:pStyle w:val="CellBodyCfirst"/>
              <w:keepNext/>
              <w:keepLines/>
              <w:rPr>
                <w:sz w:val="20"/>
                <w:szCs w:val="20"/>
              </w:rPr>
            </w:pPr>
            <w:r w:rsidRPr="00F97702">
              <w:rPr>
                <w:sz w:val="20"/>
                <w:szCs w:val="20"/>
              </w:rPr>
              <w:t>2 years</w:t>
            </w:r>
          </w:p>
        </w:tc>
      </w:tr>
      <w:tr w:rsidR="00A758CB" w:rsidRPr="00F97702" w14:paraId="633D4CBD" w14:textId="77777777" w:rsidTr="00A758CB">
        <w:trPr>
          <w:jc w:val="center"/>
        </w:trPr>
        <w:tc>
          <w:tcPr>
            <w:tcW w:w="2880" w:type="dxa"/>
          </w:tcPr>
          <w:p w14:paraId="511A1BB0" w14:textId="77777777" w:rsidR="00A758CB" w:rsidRPr="00F97702" w:rsidRDefault="00A758CB" w:rsidP="00A758CB">
            <w:pPr>
              <w:pStyle w:val="CellBodyC"/>
              <w:keepNext/>
              <w:keepLines/>
              <w:rPr>
                <w:sz w:val="20"/>
                <w:szCs w:val="20"/>
              </w:rPr>
            </w:pPr>
            <w:r w:rsidRPr="00F97702">
              <w:rPr>
                <w:sz w:val="20"/>
                <w:szCs w:val="20"/>
              </w:rPr>
              <w:t>5-year property</w:t>
            </w:r>
          </w:p>
        </w:tc>
        <w:tc>
          <w:tcPr>
            <w:tcW w:w="2340" w:type="dxa"/>
          </w:tcPr>
          <w:p w14:paraId="71A50853" w14:textId="77777777" w:rsidR="00A758CB" w:rsidRPr="00F97702" w:rsidRDefault="00A758CB" w:rsidP="00A758CB">
            <w:pPr>
              <w:pStyle w:val="CellBodyC"/>
              <w:keepNext/>
              <w:keepLines/>
              <w:rPr>
                <w:sz w:val="20"/>
                <w:szCs w:val="20"/>
              </w:rPr>
            </w:pPr>
            <w:r w:rsidRPr="00F97702">
              <w:rPr>
                <w:sz w:val="20"/>
                <w:szCs w:val="20"/>
              </w:rPr>
              <w:t>3 years</w:t>
            </w:r>
          </w:p>
        </w:tc>
      </w:tr>
      <w:tr w:rsidR="00A758CB" w:rsidRPr="00F97702" w14:paraId="4B337DF3" w14:textId="77777777" w:rsidTr="00A758CB">
        <w:trPr>
          <w:jc w:val="center"/>
        </w:trPr>
        <w:tc>
          <w:tcPr>
            <w:tcW w:w="2880" w:type="dxa"/>
          </w:tcPr>
          <w:p w14:paraId="41B5E0C7" w14:textId="77777777" w:rsidR="00A758CB" w:rsidRPr="00F97702" w:rsidRDefault="00A758CB" w:rsidP="00A758CB">
            <w:pPr>
              <w:pStyle w:val="CellBodyC"/>
              <w:keepNext/>
              <w:keepLines/>
              <w:rPr>
                <w:sz w:val="20"/>
                <w:szCs w:val="20"/>
              </w:rPr>
            </w:pPr>
            <w:r w:rsidRPr="00F97702">
              <w:rPr>
                <w:sz w:val="20"/>
                <w:szCs w:val="20"/>
              </w:rPr>
              <w:t>7-year property</w:t>
            </w:r>
          </w:p>
        </w:tc>
        <w:tc>
          <w:tcPr>
            <w:tcW w:w="2340" w:type="dxa"/>
          </w:tcPr>
          <w:p w14:paraId="797CFE44" w14:textId="77777777" w:rsidR="00A758CB" w:rsidRPr="00F97702" w:rsidRDefault="00A758CB" w:rsidP="00A758CB">
            <w:pPr>
              <w:pStyle w:val="CellBodyC"/>
              <w:keepNext/>
              <w:keepLines/>
              <w:rPr>
                <w:sz w:val="20"/>
                <w:szCs w:val="20"/>
              </w:rPr>
            </w:pPr>
            <w:r w:rsidRPr="00F97702">
              <w:rPr>
                <w:sz w:val="20"/>
                <w:szCs w:val="20"/>
              </w:rPr>
              <w:t>4 years</w:t>
            </w:r>
          </w:p>
        </w:tc>
      </w:tr>
      <w:tr w:rsidR="00A758CB" w:rsidRPr="00F97702" w14:paraId="0897AB16" w14:textId="77777777" w:rsidTr="00A758CB">
        <w:trPr>
          <w:jc w:val="center"/>
        </w:trPr>
        <w:tc>
          <w:tcPr>
            <w:tcW w:w="2880" w:type="dxa"/>
          </w:tcPr>
          <w:p w14:paraId="1173A7E0" w14:textId="77777777" w:rsidR="00A758CB" w:rsidRPr="00F97702" w:rsidRDefault="00A758CB" w:rsidP="00A758CB">
            <w:pPr>
              <w:pStyle w:val="CellBodyC"/>
              <w:keepNext/>
              <w:keepLines/>
              <w:rPr>
                <w:sz w:val="20"/>
                <w:szCs w:val="20"/>
              </w:rPr>
            </w:pPr>
            <w:r w:rsidRPr="00F97702">
              <w:rPr>
                <w:sz w:val="20"/>
                <w:szCs w:val="20"/>
              </w:rPr>
              <w:t>10-year property</w:t>
            </w:r>
          </w:p>
        </w:tc>
        <w:tc>
          <w:tcPr>
            <w:tcW w:w="2340" w:type="dxa"/>
          </w:tcPr>
          <w:p w14:paraId="1CFBF2A0" w14:textId="77777777" w:rsidR="00A758CB" w:rsidRPr="00F97702" w:rsidRDefault="00A758CB" w:rsidP="00A758CB">
            <w:pPr>
              <w:pStyle w:val="CellBodyC"/>
              <w:keepNext/>
              <w:keepLines/>
              <w:rPr>
                <w:sz w:val="20"/>
                <w:szCs w:val="20"/>
              </w:rPr>
            </w:pPr>
            <w:r w:rsidRPr="00F97702">
              <w:rPr>
                <w:sz w:val="20"/>
                <w:szCs w:val="20"/>
              </w:rPr>
              <w:t>6 years</w:t>
            </w:r>
          </w:p>
        </w:tc>
      </w:tr>
      <w:tr w:rsidR="00A758CB" w:rsidRPr="00F97702" w14:paraId="7502F653" w14:textId="77777777" w:rsidTr="00A758CB">
        <w:trPr>
          <w:jc w:val="center"/>
        </w:trPr>
        <w:tc>
          <w:tcPr>
            <w:tcW w:w="2880" w:type="dxa"/>
          </w:tcPr>
          <w:p w14:paraId="3D8B1EFE" w14:textId="77777777" w:rsidR="00A758CB" w:rsidRPr="00F97702" w:rsidRDefault="00A758CB" w:rsidP="00A758CB">
            <w:pPr>
              <w:pStyle w:val="CellBodyC"/>
              <w:keepNext/>
              <w:keepLines/>
              <w:rPr>
                <w:sz w:val="20"/>
                <w:szCs w:val="20"/>
              </w:rPr>
            </w:pPr>
            <w:r w:rsidRPr="00F97702">
              <w:rPr>
                <w:sz w:val="20"/>
                <w:szCs w:val="20"/>
              </w:rPr>
              <w:t>15-year property</w:t>
            </w:r>
          </w:p>
        </w:tc>
        <w:tc>
          <w:tcPr>
            <w:tcW w:w="2340" w:type="dxa"/>
          </w:tcPr>
          <w:p w14:paraId="1D30D25D" w14:textId="77777777" w:rsidR="00A758CB" w:rsidRPr="00F97702" w:rsidRDefault="00A758CB" w:rsidP="00A758CB">
            <w:pPr>
              <w:pStyle w:val="CellBodyC"/>
              <w:keepNext/>
              <w:keepLines/>
              <w:rPr>
                <w:sz w:val="20"/>
                <w:szCs w:val="20"/>
              </w:rPr>
            </w:pPr>
            <w:r w:rsidRPr="00F97702">
              <w:rPr>
                <w:sz w:val="20"/>
                <w:szCs w:val="20"/>
              </w:rPr>
              <w:t>9 years</w:t>
            </w:r>
          </w:p>
        </w:tc>
      </w:tr>
      <w:tr w:rsidR="00A758CB" w:rsidRPr="00F97702" w14:paraId="29E5FE51" w14:textId="77777777" w:rsidTr="00A758CB">
        <w:trPr>
          <w:jc w:val="center"/>
        </w:trPr>
        <w:tc>
          <w:tcPr>
            <w:tcW w:w="2880" w:type="dxa"/>
          </w:tcPr>
          <w:p w14:paraId="0DB0C55E" w14:textId="77777777" w:rsidR="00A758CB" w:rsidRPr="00F97702" w:rsidRDefault="00A758CB" w:rsidP="00A758CB">
            <w:pPr>
              <w:pStyle w:val="CellBodyC"/>
              <w:keepNext/>
              <w:keepLines/>
              <w:rPr>
                <w:sz w:val="20"/>
                <w:szCs w:val="20"/>
              </w:rPr>
            </w:pPr>
            <w:r w:rsidRPr="00F97702">
              <w:rPr>
                <w:sz w:val="20"/>
                <w:szCs w:val="20"/>
              </w:rPr>
              <w:t>20-year property</w:t>
            </w:r>
          </w:p>
        </w:tc>
        <w:tc>
          <w:tcPr>
            <w:tcW w:w="2340" w:type="dxa"/>
          </w:tcPr>
          <w:p w14:paraId="51905A53" w14:textId="77777777" w:rsidR="00A758CB" w:rsidRPr="00F97702" w:rsidRDefault="00A758CB" w:rsidP="00A758CB">
            <w:pPr>
              <w:pStyle w:val="CellBodyC"/>
              <w:keepNext/>
              <w:keepLines/>
              <w:rPr>
                <w:sz w:val="20"/>
                <w:szCs w:val="20"/>
              </w:rPr>
            </w:pPr>
            <w:r w:rsidRPr="00F97702">
              <w:rPr>
                <w:sz w:val="20"/>
                <w:szCs w:val="20"/>
              </w:rPr>
              <w:t>12 years</w:t>
            </w:r>
          </w:p>
        </w:tc>
      </w:tr>
      <w:tr w:rsidR="00A758CB" w:rsidRPr="00F97702" w14:paraId="55214DD9" w14:textId="77777777" w:rsidTr="00A758CB">
        <w:trPr>
          <w:jc w:val="center"/>
        </w:trPr>
        <w:tc>
          <w:tcPr>
            <w:tcW w:w="2880" w:type="dxa"/>
          </w:tcPr>
          <w:p w14:paraId="775A2CEF" w14:textId="77777777" w:rsidR="00A758CB" w:rsidRPr="00F97702" w:rsidRDefault="00A758CB" w:rsidP="00A758CB">
            <w:pPr>
              <w:pStyle w:val="CellBodyC"/>
              <w:keepNext/>
              <w:keepLines/>
              <w:rPr>
                <w:sz w:val="20"/>
                <w:szCs w:val="20"/>
              </w:rPr>
            </w:pPr>
            <w:r w:rsidRPr="00F97702">
              <w:rPr>
                <w:sz w:val="20"/>
                <w:szCs w:val="20"/>
              </w:rPr>
              <w:t>Nonresidential real property</w:t>
            </w:r>
          </w:p>
        </w:tc>
        <w:tc>
          <w:tcPr>
            <w:tcW w:w="2340" w:type="dxa"/>
          </w:tcPr>
          <w:p w14:paraId="597ABFEA" w14:textId="77777777" w:rsidR="00A758CB" w:rsidRPr="00F97702" w:rsidRDefault="00A758CB" w:rsidP="00A758CB">
            <w:pPr>
              <w:pStyle w:val="CellBodyC"/>
              <w:keepNext/>
              <w:keepLines/>
              <w:rPr>
                <w:sz w:val="20"/>
                <w:szCs w:val="20"/>
              </w:rPr>
            </w:pPr>
            <w:r w:rsidRPr="00F97702">
              <w:rPr>
                <w:sz w:val="20"/>
                <w:szCs w:val="20"/>
              </w:rPr>
              <w:t>22 years</w:t>
            </w:r>
          </w:p>
        </w:tc>
      </w:tr>
    </w:tbl>
    <w:p w14:paraId="79B44F80" w14:textId="77777777" w:rsidR="00A758CB" w:rsidRPr="00F97702" w:rsidRDefault="00A758CB" w:rsidP="00D83FFD">
      <w:pPr>
        <w:pStyle w:val="RandCStatute"/>
        <w:numPr>
          <w:ilvl w:val="0"/>
          <w:numId w:val="56"/>
        </w:numPr>
        <w:spacing w:before="200" w:after="0"/>
        <w:ind w:left="1440" w:hanging="360"/>
        <w:rPr>
          <w:sz w:val="20"/>
          <w:szCs w:val="20"/>
        </w:rPr>
      </w:pPr>
      <w:r w:rsidRPr="00F97702">
        <w:rPr>
          <w:sz w:val="20"/>
          <w:szCs w:val="20"/>
        </w:rPr>
        <w:t>The PATH Act extends the accelerated depreciation for qualified Indian reservation property for 2 years to apply to property placed in service on or before December 31, 2016.</w:t>
      </w:r>
    </w:p>
    <w:p w14:paraId="3ED5CA78" w14:textId="2911E5D3" w:rsidR="00C7646C" w:rsidRPr="00F97702" w:rsidRDefault="00A758CB" w:rsidP="00D83FFD">
      <w:pPr>
        <w:pStyle w:val="RandCStatute"/>
        <w:numPr>
          <w:ilvl w:val="0"/>
          <w:numId w:val="56"/>
        </w:numPr>
        <w:spacing w:before="200" w:after="0"/>
        <w:ind w:left="1440" w:hanging="360"/>
        <w:rPr>
          <w:sz w:val="20"/>
          <w:szCs w:val="20"/>
        </w:rPr>
      </w:pPr>
      <w:r w:rsidRPr="00F97702">
        <w:rPr>
          <w:sz w:val="20"/>
          <w:szCs w:val="20"/>
        </w:rPr>
        <w:t>It also provides that a taxpayer may annually make an irrevocable election out of I.R.C. § 168(j) on a class-by-class basis for qualified Indian reservation property placed in service in tax years beginning after December 31, 2015.</w:t>
      </w:r>
    </w:p>
    <w:p w14:paraId="067A0BBC" w14:textId="422D00B0" w:rsidR="00A758CB" w:rsidRPr="00F97702" w:rsidRDefault="00A758CB" w:rsidP="00D83FFD">
      <w:pPr>
        <w:pStyle w:val="Body"/>
        <w:keepLines/>
        <w:numPr>
          <w:ilvl w:val="0"/>
          <w:numId w:val="46"/>
        </w:numPr>
        <w:spacing w:before="200"/>
        <w:rPr>
          <w:sz w:val="20"/>
          <w:szCs w:val="20"/>
        </w:rPr>
      </w:pPr>
      <w:r w:rsidRPr="00F97702">
        <w:rPr>
          <w:sz w:val="20"/>
          <w:szCs w:val="20"/>
        </w:rPr>
        <w:t>Biofuel Plant Property</w:t>
      </w:r>
      <w:r w:rsidR="00F97702" w:rsidRPr="00F97702">
        <w:rPr>
          <w:sz w:val="20"/>
          <w:szCs w:val="20"/>
          <w:lang w:val="en-US"/>
        </w:rPr>
        <w:t xml:space="preserve"> [</w:t>
      </w:r>
      <w:r w:rsidRPr="00F97702">
        <w:rPr>
          <w:sz w:val="20"/>
          <w:szCs w:val="20"/>
        </w:rPr>
        <w:t>I.R.C. § 168(l); PATH Act § 189</w:t>
      </w:r>
      <w:r w:rsidR="00F97702">
        <w:rPr>
          <w:sz w:val="20"/>
          <w:szCs w:val="20"/>
          <w:lang w:val="en-US"/>
        </w:rPr>
        <w:t>]</w:t>
      </w:r>
    </w:p>
    <w:p w14:paraId="1320CCCB" w14:textId="3C63C18C" w:rsidR="00A758CB" w:rsidRPr="00F97702" w:rsidRDefault="00A758CB" w:rsidP="00D83FFD">
      <w:pPr>
        <w:pStyle w:val="RandCStatute"/>
        <w:keepNext/>
        <w:keepLines/>
        <w:numPr>
          <w:ilvl w:val="0"/>
          <w:numId w:val="57"/>
        </w:numPr>
        <w:autoSpaceDE w:val="0"/>
        <w:autoSpaceDN w:val="0"/>
        <w:adjustRightInd w:val="0"/>
        <w:spacing w:before="200" w:after="0"/>
        <w:ind w:left="1080"/>
        <w:rPr>
          <w:sz w:val="20"/>
          <w:szCs w:val="20"/>
        </w:rPr>
      </w:pPr>
      <w:r w:rsidRPr="00F97702">
        <w:rPr>
          <w:sz w:val="20"/>
          <w:szCs w:val="20"/>
        </w:rPr>
        <w:t>Effective for property placed in service after December 31, 2014</w:t>
      </w:r>
      <w:r w:rsidR="00767A10">
        <w:rPr>
          <w:sz w:val="20"/>
          <w:szCs w:val="20"/>
          <w:lang w:val="en-US"/>
        </w:rPr>
        <w:t>.</w:t>
      </w:r>
    </w:p>
    <w:p w14:paraId="50D25E93" w14:textId="77777777" w:rsidR="00A758CB" w:rsidRPr="00F97702" w:rsidRDefault="00A758CB" w:rsidP="00D83FFD">
      <w:pPr>
        <w:pStyle w:val="RandCStatute"/>
        <w:keepNext/>
        <w:keepLines/>
        <w:numPr>
          <w:ilvl w:val="0"/>
          <w:numId w:val="57"/>
        </w:numPr>
        <w:autoSpaceDE w:val="0"/>
        <w:autoSpaceDN w:val="0"/>
        <w:adjustRightInd w:val="0"/>
        <w:spacing w:before="200" w:after="0"/>
        <w:ind w:left="1080"/>
        <w:rPr>
          <w:sz w:val="20"/>
          <w:szCs w:val="20"/>
        </w:rPr>
      </w:pPr>
      <w:r w:rsidRPr="00F97702">
        <w:rPr>
          <w:sz w:val="20"/>
          <w:szCs w:val="20"/>
        </w:rPr>
        <w:t>References to second generation biofuel replace references to cellulosic biofuel in I.R.C. § 168. Second generation biofuel is defined as liquid fuel derived by or from any qualified feedstocks if the fuel meets the registration requirements for fuels and fuel additives established by the Environmental Protection Agency under the Clean Air Act (42 U.S.C. 7545).</w:t>
      </w:r>
    </w:p>
    <w:p w14:paraId="318314E1" w14:textId="77777777" w:rsidR="00A758CB" w:rsidRPr="00F97702" w:rsidRDefault="00A758CB" w:rsidP="00D83FFD">
      <w:pPr>
        <w:pStyle w:val="RandCStatute"/>
        <w:keepNext/>
        <w:keepLines/>
        <w:numPr>
          <w:ilvl w:val="0"/>
          <w:numId w:val="57"/>
        </w:numPr>
        <w:autoSpaceDE w:val="0"/>
        <w:autoSpaceDN w:val="0"/>
        <w:adjustRightInd w:val="0"/>
        <w:spacing w:before="200" w:after="0"/>
        <w:ind w:left="1080"/>
        <w:rPr>
          <w:sz w:val="20"/>
          <w:szCs w:val="20"/>
        </w:rPr>
      </w:pPr>
      <w:r w:rsidRPr="00F97702">
        <w:rPr>
          <w:sz w:val="20"/>
          <w:szCs w:val="20"/>
        </w:rPr>
        <w:t>The allowance of the 50% AFYD and an exemption from an alternative minimum tax depreciation adjustment are extended through 2016.</w:t>
      </w:r>
    </w:p>
    <w:p w14:paraId="7ECC3C53" w14:textId="2FE33032" w:rsidR="00A758CB" w:rsidRPr="00F97702" w:rsidRDefault="00A758CB" w:rsidP="00D83FFD">
      <w:pPr>
        <w:pStyle w:val="Bodynoindent"/>
        <w:keepLines/>
        <w:numPr>
          <w:ilvl w:val="0"/>
          <w:numId w:val="47"/>
        </w:numPr>
        <w:spacing w:before="200"/>
        <w:ind w:left="360"/>
        <w:rPr>
          <w:sz w:val="20"/>
          <w:szCs w:val="20"/>
        </w:rPr>
      </w:pPr>
      <w:r w:rsidRPr="00F97702">
        <w:rPr>
          <w:sz w:val="20"/>
          <w:szCs w:val="20"/>
        </w:rPr>
        <w:t>Educator’s Expense Deduction</w:t>
      </w:r>
      <w:r w:rsidR="00F97702" w:rsidRPr="00F97702">
        <w:rPr>
          <w:sz w:val="20"/>
          <w:szCs w:val="20"/>
          <w:lang w:val="en-US"/>
        </w:rPr>
        <w:t xml:space="preserve"> </w:t>
      </w:r>
      <w:r w:rsidR="00F97702">
        <w:rPr>
          <w:sz w:val="20"/>
          <w:szCs w:val="20"/>
          <w:lang w:val="en-US"/>
        </w:rPr>
        <w:t>[</w:t>
      </w:r>
      <w:r w:rsidRPr="00F97702">
        <w:rPr>
          <w:sz w:val="20"/>
          <w:szCs w:val="20"/>
        </w:rPr>
        <w:t>I.R.C. § 62(a)(2)(D); PATH Act § 104</w:t>
      </w:r>
      <w:r w:rsidR="00F97702">
        <w:rPr>
          <w:sz w:val="20"/>
          <w:szCs w:val="20"/>
          <w:lang w:val="en-US"/>
        </w:rPr>
        <w:t>]</w:t>
      </w:r>
    </w:p>
    <w:p w14:paraId="7C333E26" w14:textId="77777777" w:rsidR="00A758CB" w:rsidRPr="00F97702" w:rsidRDefault="00A758CB" w:rsidP="00D83FFD">
      <w:pPr>
        <w:pStyle w:val="Body"/>
        <w:keepLines/>
        <w:numPr>
          <w:ilvl w:val="0"/>
          <w:numId w:val="58"/>
        </w:numPr>
        <w:spacing w:before="200"/>
        <w:rPr>
          <w:sz w:val="20"/>
          <w:szCs w:val="20"/>
        </w:rPr>
      </w:pPr>
      <w:r w:rsidRPr="00F97702">
        <w:rPr>
          <w:sz w:val="20"/>
          <w:szCs w:val="20"/>
        </w:rPr>
        <w:t>Generally effective for tax years beginning after December 31, 2014; modification is effective for tax years beginning after December 31, 2015.</w:t>
      </w:r>
    </w:p>
    <w:p w14:paraId="327855DA" w14:textId="77777777" w:rsidR="00F97702" w:rsidRDefault="00A758CB" w:rsidP="00D83FFD">
      <w:pPr>
        <w:pStyle w:val="Body"/>
        <w:keepLines/>
        <w:numPr>
          <w:ilvl w:val="0"/>
          <w:numId w:val="58"/>
        </w:numPr>
        <w:spacing w:before="200"/>
        <w:rPr>
          <w:sz w:val="20"/>
          <w:szCs w:val="20"/>
        </w:rPr>
      </w:pPr>
      <w:r w:rsidRPr="00F97702">
        <w:rPr>
          <w:sz w:val="20"/>
          <w:szCs w:val="20"/>
        </w:rPr>
        <w:t>School employees working with children in grades kindergarten through 12 may deduct up to $250 each year of substantiated out-of-pocket expenses for classroom materials as an adjustment to gross income.</w:t>
      </w:r>
    </w:p>
    <w:p w14:paraId="0096ABEE" w14:textId="77777777" w:rsidR="00F97702" w:rsidRDefault="00A758CB" w:rsidP="00D83FFD">
      <w:pPr>
        <w:pStyle w:val="Body"/>
        <w:keepLines/>
        <w:numPr>
          <w:ilvl w:val="0"/>
          <w:numId w:val="58"/>
        </w:numPr>
        <w:spacing w:before="200"/>
        <w:rPr>
          <w:sz w:val="20"/>
          <w:szCs w:val="20"/>
        </w:rPr>
      </w:pPr>
      <w:r w:rsidRPr="00F97702">
        <w:rPr>
          <w:sz w:val="20"/>
          <w:szCs w:val="20"/>
        </w:rPr>
        <w:t>The PATH Act made the provision permanent beginning in 2015.</w:t>
      </w:r>
    </w:p>
    <w:p w14:paraId="531FECA5" w14:textId="0147F204" w:rsidR="00A758CB" w:rsidRPr="00F97702" w:rsidRDefault="00A758CB" w:rsidP="00D83FFD">
      <w:pPr>
        <w:pStyle w:val="Body"/>
        <w:keepLines/>
        <w:numPr>
          <w:ilvl w:val="0"/>
          <w:numId w:val="58"/>
        </w:numPr>
        <w:spacing w:before="200"/>
        <w:rPr>
          <w:sz w:val="20"/>
          <w:szCs w:val="20"/>
        </w:rPr>
      </w:pPr>
      <w:r w:rsidRPr="00F97702">
        <w:rPr>
          <w:sz w:val="20"/>
          <w:szCs w:val="20"/>
        </w:rPr>
        <w:t>For tax years beginning after December 31, 2015, qualifying expenses include qualifying professional development expenses and the $250 limit is indexed for inflation.</w:t>
      </w:r>
    </w:p>
    <w:p w14:paraId="0AC65002" w14:textId="77777777" w:rsidR="00A758CB" w:rsidRPr="002315B0" w:rsidRDefault="00A758CB" w:rsidP="00D83FFD">
      <w:pPr>
        <w:pStyle w:val="Bodynoindent"/>
        <w:keepNext/>
        <w:keepLines/>
        <w:numPr>
          <w:ilvl w:val="0"/>
          <w:numId w:val="47"/>
        </w:numPr>
        <w:spacing w:before="200"/>
        <w:ind w:left="360"/>
        <w:rPr>
          <w:sz w:val="20"/>
          <w:szCs w:val="20"/>
        </w:rPr>
      </w:pPr>
      <w:r w:rsidRPr="002315B0">
        <w:rPr>
          <w:sz w:val="20"/>
          <w:szCs w:val="20"/>
        </w:rPr>
        <w:lastRenderedPageBreak/>
        <w:t>S Corporation Provisions</w:t>
      </w:r>
    </w:p>
    <w:p w14:paraId="261DFB1E" w14:textId="17C9CCD2" w:rsidR="00A758CB" w:rsidRPr="002315B0" w:rsidRDefault="00A758CB" w:rsidP="00D83FFD">
      <w:pPr>
        <w:pStyle w:val="Body"/>
        <w:keepNext/>
        <w:keepLines/>
        <w:numPr>
          <w:ilvl w:val="0"/>
          <w:numId w:val="59"/>
        </w:numPr>
        <w:spacing w:before="200"/>
        <w:rPr>
          <w:sz w:val="20"/>
          <w:szCs w:val="20"/>
        </w:rPr>
      </w:pPr>
      <w:r w:rsidRPr="002315B0">
        <w:rPr>
          <w:sz w:val="20"/>
          <w:szCs w:val="20"/>
        </w:rPr>
        <w:t>Basis Adjustment of S Corporation Stock</w:t>
      </w:r>
      <w:r w:rsidR="002315B0" w:rsidRPr="002315B0">
        <w:rPr>
          <w:sz w:val="20"/>
          <w:szCs w:val="20"/>
          <w:lang w:val="en-US"/>
        </w:rPr>
        <w:t xml:space="preserve"> </w:t>
      </w:r>
      <w:r w:rsidR="002315B0">
        <w:rPr>
          <w:sz w:val="20"/>
          <w:szCs w:val="20"/>
          <w:lang w:val="en-US"/>
        </w:rPr>
        <w:t>[</w:t>
      </w:r>
      <w:r w:rsidRPr="002315B0">
        <w:rPr>
          <w:sz w:val="20"/>
          <w:szCs w:val="20"/>
        </w:rPr>
        <w:t>I.R.C. § 1367; PATH Act § 115</w:t>
      </w:r>
      <w:r w:rsidR="002315B0">
        <w:rPr>
          <w:sz w:val="20"/>
          <w:szCs w:val="20"/>
          <w:lang w:val="en-US"/>
        </w:rPr>
        <w:t>]</w:t>
      </w:r>
    </w:p>
    <w:p w14:paraId="67376F29" w14:textId="19F36568" w:rsidR="00A758CB" w:rsidRPr="002315B0" w:rsidRDefault="00A758CB" w:rsidP="00D83FFD">
      <w:pPr>
        <w:pStyle w:val="RandCStatute"/>
        <w:keepNext/>
        <w:keepLines/>
        <w:numPr>
          <w:ilvl w:val="0"/>
          <w:numId w:val="60"/>
        </w:numPr>
        <w:autoSpaceDE w:val="0"/>
        <w:autoSpaceDN w:val="0"/>
        <w:adjustRightInd w:val="0"/>
        <w:spacing w:before="200" w:after="0"/>
        <w:ind w:left="1080"/>
        <w:rPr>
          <w:sz w:val="20"/>
          <w:szCs w:val="20"/>
        </w:rPr>
      </w:pPr>
      <w:r w:rsidRPr="002315B0">
        <w:rPr>
          <w:sz w:val="20"/>
          <w:szCs w:val="20"/>
        </w:rPr>
        <w:t>Effective for contributions made in tax years beginning after December 31, 2014</w:t>
      </w:r>
      <w:r w:rsidR="002315B0">
        <w:rPr>
          <w:sz w:val="20"/>
          <w:szCs w:val="20"/>
          <w:lang w:val="en-US"/>
        </w:rPr>
        <w:t>.</w:t>
      </w:r>
    </w:p>
    <w:p w14:paraId="04392BDD" w14:textId="77777777" w:rsidR="002315B0" w:rsidRDefault="00A758CB" w:rsidP="00D83FFD">
      <w:pPr>
        <w:pStyle w:val="RandCStatute"/>
        <w:keepNext/>
        <w:keepLines/>
        <w:numPr>
          <w:ilvl w:val="0"/>
          <w:numId w:val="60"/>
        </w:numPr>
        <w:autoSpaceDE w:val="0"/>
        <w:autoSpaceDN w:val="0"/>
        <w:adjustRightInd w:val="0"/>
        <w:spacing w:before="200" w:after="0"/>
        <w:ind w:left="1080"/>
        <w:rPr>
          <w:sz w:val="20"/>
          <w:szCs w:val="20"/>
        </w:rPr>
      </w:pPr>
      <w:r w:rsidRPr="002315B0">
        <w:rPr>
          <w:sz w:val="20"/>
          <w:szCs w:val="20"/>
        </w:rPr>
        <w:t>Under prior law, if an S</w:t>
      </w:r>
      <w:r w:rsidR="0086740A" w:rsidRPr="002315B0">
        <w:rPr>
          <w:sz w:val="20"/>
          <w:szCs w:val="20"/>
        </w:rPr>
        <w:t> </w:t>
      </w:r>
      <w:r w:rsidRPr="002315B0">
        <w:rPr>
          <w:sz w:val="20"/>
          <w:szCs w:val="20"/>
        </w:rPr>
        <w:t>corporation donated appreciated property to charity during its tax years beginning after 2011 and before 2015, each shareholder’s basis in the corporation was reduced by only his or her pro rata share of the corporation’s basis in the property, rather than by the property’s fair market value.</w:t>
      </w:r>
    </w:p>
    <w:p w14:paraId="0C6FFD22" w14:textId="4557835B" w:rsidR="00A758CB" w:rsidRPr="002315B0" w:rsidRDefault="00A758CB" w:rsidP="00D83FFD">
      <w:pPr>
        <w:pStyle w:val="RandCStatute"/>
        <w:keepNext/>
        <w:keepLines/>
        <w:numPr>
          <w:ilvl w:val="0"/>
          <w:numId w:val="60"/>
        </w:numPr>
        <w:autoSpaceDE w:val="0"/>
        <w:autoSpaceDN w:val="0"/>
        <w:adjustRightInd w:val="0"/>
        <w:spacing w:before="200" w:after="0"/>
        <w:ind w:left="1080"/>
        <w:rPr>
          <w:sz w:val="20"/>
          <w:szCs w:val="20"/>
        </w:rPr>
      </w:pPr>
      <w:r w:rsidRPr="002315B0">
        <w:rPr>
          <w:sz w:val="20"/>
          <w:szCs w:val="20"/>
        </w:rPr>
        <w:t>The PATH Act makes that provision permanent.</w:t>
      </w:r>
    </w:p>
    <w:p w14:paraId="4C5339F8" w14:textId="6171F386" w:rsidR="00A758CB" w:rsidRPr="002315B0" w:rsidRDefault="00A758CB" w:rsidP="00D83FFD">
      <w:pPr>
        <w:pStyle w:val="Body"/>
        <w:keepLines/>
        <w:numPr>
          <w:ilvl w:val="0"/>
          <w:numId w:val="59"/>
        </w:numPr>
        <w:spacing w:before="200"/>
        <w:rPr>
          <w:sz w:val="20"/>
          <w:szCs w:val="20"/>
        </w:rPr>
      </w:pPr>
      <w:r w:rsidRPr="002315B0">
        <w:rPr>
          <w:sz w:val="20"/>
          <w:szCs w:val="20"/>
        </w:rPr>
        <w:t>Built-in Gains Lookback Period</w:t>
      </w:r>
      <w:r w:rsidR="002315B0" w:rsidRPr="002315B0">
        <w:rPr>
          <w:sz w:val="20"/>
          <w:szCs w:val="20"/>
          <w:lang w:val="en-US"/>
        </w:rPr>
        <w:t xml:space="preserve"> [</w:t>
      </w:r>
      <w:r w:rsidRPr="002315B0">
        <w:rPr>
          <w:sz w:val="20"/>
          <w:szCs w:val="20"/>
        </w:rPr>
        <w:t>I.R.C. § 1374; PATH Act § 127</w:t>
      </w:r>
      <w:r w:rsidR="002315B0">
        <w:rPr>
          <w:sz w:val="20"/>
          <w:szCs w:val="20"/>
          <w:lang w:val="en-US"/>
        </w:rPr>
        <w:t>]</w:t>
      </w:r>
    </w:p>
    <w:p w14:paraId="2FE3B1AB" w14:textId="65674C4F" w:rsidR="00A758CB" w:rsidRPr="002315B0" w:rsidRDefault="00A758CB" w:rsidP="00D83FFD">
      <w:pPr>
        <w:pStyle w:val="RandCStatute"/>
        <w:keepNext/>
        <w:keepLines/>
        <w:numPr>
          <w:ilvl w:val="0"/>
          <w:numId w:val="61"/>
        </w:numPr>
        <w:autoSpaceDE w:val="0"/>
        <w:autoSpaceDN w:val="0"/>
        <w:adjustRightInd w:val="0"/>
        <w:spacing w:before="200" w:after="0"/>
        <w:ind w:left="1080"/>
        <w:rPr>
          <w:sz w:val="20"/>
          <w:szCs w:val="20"/>
        </w:rPr>
      </w:pPr>
      <w:r w:rsidRPr="002315B0">
        <w:rPr>
          <w:sz w:val="20"/>
          <w:szCs w:val="20"/>
        </w:rPr>
        <w:t>Effective for tax years beginning after December 31, 2014</w:t>
      </w:r>
      <w:r w:rsidR="002315B0">
        <w:rPr>
          <w:sz w:val="20"/>
          <w:szCs w:val="20"/>
          <w:lang w:val="en-US"/>
        </w:rPr>
        <w:t>.</w:t>
      </w:r>
    </w:p>
    <w:p w14:paraId="52FFDBAE" w14:textId="77777777" w:rsidR="002315B0" w:rsidRDefault="00A758CB" w:rsidP="00D83FFD">
      <w:pPr>
        <w:pStyle w:val="RandCStatute"/>
        <w:keepNext/>
        <w:keepLines/>
        <w:numPr>
          <w:ilvl w:val="0"/>
          <w:numId w:val="61"/>
        </w:numPr>
        <w:autoSpaceDE w:val="0"/>
        <w:autoSpaceDN w:val="0"/>
        <w:adjustRightInd w:val="0"/>
        <w:spacing w:before="200" w:after="0"/>
        <w:ind w:left="1080"/>
        <w:rPr>
          <w:sz w:val="20"/>
          <w:szCs w:val="20"/>
        </w:rPr>
      </w:pPr>
      <w:r w:rsidRPr="002315B0">
        <w:rPr>
          <w:sz w:val="20"/>
          <w:szCs w:val="20"/>
        </w:rPr>
        <w:t>The PATH Act makes the 5-year lookback rule permanent.</w:t>
      </w:r>
    </w:p>
    <w:p w14:paraId="6BCC1421" w14:textId="00A2311F" w:rsidR="00A758CB" w:rsidRPr="002315B0" w:rsidRDefault="00A758CB" w:rsidP="00D83FFD">
      <w:pPr>
        <w:pStyle w:val="RandCStatute"/>
        <w:keepNext/>
        <w:keepLines/>
        <w:numPr>
          <w:ilvl w:val="0"/>
          <w:numId w:val="61"/>
        </w:numPr>
        <w:autoSpaceDE w:val="0"/>
        <w:autoSpaceDN w:val="0"/>
        <w:adjustRightInd w:val="0"/>
        <w:spacing w:before="200" w:after="0"/>
        <w:ind w:left="1080"/>
        <w:rPr>
          <w:sz w:val="20"/>
          <w:szCs w:val="20"/>
        </w:rPr>
      </w:pPr>
      <w:r w:rsidRPr="002315B0">
        <w:rPr>
          <w:sz w:val="20"/>
          <w:szCs w:val="20"/>
        </w:rPr>
        <w:t>Under current Treasury regulations, these rules, including the five-year recognition period, also would apply to REITs and RICs that do not elect “deemed sale” treatment.</w:t>
      </w:r>
      <w:r w:rsidRPr="002315B0" w:rsidDel="008B3C6F">
        <w:rPr>
          <w:sz w:val="20"/>
          <w:szCs w:val="20"/>
        </w:rPr>
        <w:t xml:space="preserve"> </w:t>
      </w:r>
    </w:p>
    <w:p w14:paraId="5314D81A" w14:textId="5DE1F8A8" w:rsidR="00A758CB" w:rsidRPr="002315B0" w:rsidRDefault="00A758CB" w:rsidP="00D83FFD">
      <w:pPr>
        <w:pStyle w:val="Bodynoindent"/>
        <w:keepLines/>
        <w:numPr>
          <w:ilvl w:val="0"/>
          <w:numId w:val="47"/>
        </w:numPr>
        <w:spacing w:before="200"/>
        <w:ind w:left="360"/>
        <w:rPr>
          <w:sz w:val="20"/>
          <w:szCs w:val="20"/>
        </w:rPr>
      </w:pPr>
      <w:r w:rsidRPr="002315B0">
        <w:rPr>
          <w:sz w:val="20"/>
          <w:szCs w:val="20"/>
        </w:rPr>
        <w:t>Enhanced Deduction for Donation of Food</w:t>
      </w:r>
      <w:r w:rsidR="002315B0" w:rsidRPr="002315B0">
        <w:rPr>
          <w:sz w:val="20"/>
          <w:szCs w:val="20"/>
          <w:lang w:val="en-US"/>
        </w:rPr>
        <w:t xml:space="preserve"> </w:t>
      </w:r>
      <w:r w:rsidR="002315B0">
        <w:rPr>
          <w:sz w:val="20"/>
          <w:szCs w:val="20"/>
          <w:lang w:val="en-US"/>
        </w:rPr>
        <w:t>[</w:t>
      </w:r>
      <w:r w:rsidRPr="002315B0">
        <w:rPr>
          <w:sz w:val="20"/>
          <w:szCs w:val="20"/>
        </w:rPr>
        <w:t>I.R.C. § 170(e); PATH Act § 113</w:t>
      </w:r>
      <w:r w:rsidR="002315B0">
        <w:rPr>
          <w:sz w:val="20"/>
          <w:szCs w:val="20"/>
          <w:lang w:val="en-US"/>
        </w:rPr>
        <w:t>]</w:t>
      </w:r>
    </w:p>
    <w:p w14:paraId="61B33436" w14:textId="77777777" w:rsidR="00A758CB" w:rsidRPr="002315B0" w:rsidRDefault="00A758CB" w:rsidP="00D83FFD">
      <w:pPr>
        <w:pStyle w:val="Body"/>
        <w:keepLines/>
        <w:numPr>
          <w:ilvl w:val="0"/>
          <w:numId w:val="62"/>
        </w:numPr>
        <w:spacing w:before="200"/>
        <w:rPr>
          <w:sz w:val="20"/>
          <w:szCs w:val="20"/>
        </w:rPr>
      </w:pPr>
      <w:r w:rsidRPr="002315B0">
        <w:rPr>
          <w:sz w:val="20"/>
          <w:szCs w:val="20"/>
        </w:rPr>
        <w:t>Generally effective for contributions made after December 31, 2014; the modifications to increase the corporate percentage limit and to provide for presumptions relating to basis and valuation are effective for tax years beginning after December 31, 2015.</w:t>
      </w:r>
    </w:p>
    <w:p w14:paraId="03F0A0D5" w14:textId="77777777" w:rsidR="002315B0" w:rsidRDefault="00410E36" w:rsidP="00D83FFD">
      <w:pPr>
        <w:pStyle w:val="Body"/>
        <w:keepLines/>
        <w:numPr>
          <w:ilvl w:val="0"/>
          <w:numId w:val="62"/>
        </w:numPr>
        <w:spacing w:before="200"/>
        <w:rPr>
          <w:sz w:val="20"/>
          <w:szCs w:val="20"/>
        </w:rPr>
      </w:pPr>
      <w:r w:rsidRPr="002315B0">
        <w:rPr>
          <w:sz w:val="20"/>
          <w:szCs w:val="20"/>
        </w:rPr>
        <w:t>Under former law, taxpayers that operated on the cash basis, or otherwise were not required to maintain inventory accounts, had a zero basis in their food inventory, and could not claim a charitable contribution deduction for donations of food inventory.</w:t>
      </w:r>
    </w:p>
    <w:p w14:paraId="5D8F98E7" w14:textId="3B15A949" w:rsidR="00410E36" w:rsidRPr="002315B0" w:rsidRDefault="00410E36" w:rsidP="00D83FFD">
      <w:pPr>
        <w:pStyle w:val="Body"/>
        <w:keepLines/>
        <w:numPr>
          <w:ilvl w:val="0"/>
          <w:numId w:val="62"/>
        </w:numPr>
        <w:spacing w:before="200"/>
        <w:rPr>
          <w:sz w:val="20"/>
          <w:szCs w:val="20"/>
        </w:rPr>
      </w:pPr>
      <w:r w:rsidRPr="002315B0">
        <w:rPr>
          <w:sz w:val="20"/>
          <w:szCs w:val="20"/>
        </w:rPr>
        <w:t>Under the new law, if the taxpayer does not account for inventory under I.R.C. § 471 and is not required to capitalize indirect costs under I.R.C. § 263A, the taxpayer may elect, solely for computing the enhanced deduction for food inventory, to treat the basis of any apparently wholesome food as being equal to 25% of the fair market value (FMV) of such food. This provision allows many cash basis taxpayers, including farmers, to claim a deduction for such contributions.</w:t>
      </w:r>
    </w:p>
    <w:p w14:paraId="68E9B36D" w14:textId="77777777" w:rsidR="00410E36" w:rsidRPr="002315B0" w:rsidRDefault="00410E36" w:rsidP="00D83FFD">
      <w:pPr>
        <w:pStyle w:val="Body"/>
        <w:keepLines/>
        <w:numPr>
          <w:ilvl w:val="0"/>
          <w:numId w:val="62"/>
        </w:numPr>
        <w:spacing w:before="200"/>
        <w:rPr>
          <w:sz w:val="20"/>
          <w:szCs w:val="20"/>
        </w:rPr>
      </w:pPr>
      <w:r w:rsidRPr="002315B0">
        <w:rPr>
          <w:sz w:val="20"/>
          <w:szCs w:val="20"/>
        </w:rPr>
        <w:t xml:space="preserve">Previously, the IRS often contested the market value of the contribution when the taxpayer did not sell the inventory because of internal standards of the taxpayer, lack of market, or because the taxpayer produced the inventory exclusively for the purposes of transferring the food to an organization described in I.R.C. § 501(c)(3). Under the PATH Act, FMV is determined without regard for such considerations and must be based on the price at which similar food items are sold by the taxpayer at, or about, the time of the contribution. </w:t>
      </w:r>
    </w:p>
    <w:p w14:paraId="37D07FB7" w14:textId="77777777" w:rsidR="00A758CB" w:rsidRPr="002315B0" w:rsidRDefault="00A758CB" w:rsidP="00D83FFD">
      <w:pPr>
        <w:pStyle w:val="Body"/>
        <w:keepLines/>
        <w:numPr>
          <w:ilvl w:val="0"/>
          <w:numId w:val="62"/>
        </w:numPr>
        <w:spacing w:before="200"/>
        <w:rPr>
          <w:sz w:val="20"/>
          <w:szCs w:val="20"/>
        </w:rPr>
      </w:pPr>
      <w:r w:rsidRPr="002315B0">
        <w:rPr>
          <w:sz w:val="20"/>
          <w:szCs w:val="20"/>
        </w:rPr>
        <w:t>For tax years beginning after December 31, 2015, the PATH Act modifies the enhanced deduction for food inventory contributions by:</w:t>
      </w:r>
    </w:p>
    <w:p w14:paraId="54C0522A" w14:textId="1625BEDD" w:rsidR="00A758CB" w:rsidRDefault="00673A42" w:rsidP="00D83FFD">
      <w:pPr>
        <w:pStyle w:val="RandCStatute"/>
        <w:keepNext/>
        <w:keepLines/>
        <w:numPr>
          <w:ilvl w:val="0"/>
          <w:numId w:val="63"/>
        </w:numPr>
        <w:autoSpaceDE w:val="0"/>
        <w:autoSpaceDN w:val="0"/>
        <w:adjustRightInd w:val="0"/>
        <w:spacing w:before="200" w:after="0"/>
        <w:ind w:left="1080"/>
        <w:rPr>
          <w:sz w:val="20"/>
          <w:szCs w:val="20"/>
        </w:rPr>
      </w:pPr>
      <w:r>
        <w:rPr>
          <w:sz w:val="20"/>
          <w:szCs w:val="20"/>
          <w:lang w:val="en-US"/>
        </w:rPr>
        <w:t>I</w:t>
      </w:r>
      <w:proofErr w:type="spellStart"/>
      <w:r w:rsidR="00A758CB" w:rsidRPr="002315B0">
        <w:rPr>
          <w:sz w:val="20"/>
          <w:szCs w:val="20"/>
        </w:rPr>
        <w:t>ncreasing</w:t>
      </w:r>
      <w:proofErr w:type="spellEnd"/>
      <w:r w:rsidR="00A758CB" w:rsidRPr="002315B0">
        <w:rPr>
          <w:sz w:val="20"/>
          <w:szCs w:val="20"/>
        </w:rPr>
        <w:t xml:space="preserve"> the charitable percentage limitation for food inventory contributions and clarifying the carryover and coordinatio</w:t>
      </w:r>
      <w:r w:rsidR="002315B0">
        <w:rPr>
          <w:sz w:val="20"/>
          <w:szCs w:val="20"/>
        </w:rPr>
        <w:t>n rules for these contributions</w:t>
      </w:r>
    </w:p>
    <w:p w14:paraId="60022734" w14:textId="57096356" w:rsidR="00673A42" w:rsidRDefault="00673A42" w:rsidP="00D83FFD">
      <w:pPr>
        <w:pStyle w:val="RandCStatute"/>
        <w:numPr>
          <w:ilvl w:val="0"/>
          <w:numId w:val="64"/>
        </w:numPr>
        <w:spacing w:before="200" w:after="0"/>
        <w:ind w:left="1440" w:hanging="360"/>
        <w:rPr>
          <w:sz w:val="20"/>
          <w:szCs w:val="20"/>
        </w:rPr>
      </w:pPr>
      <w:proofErr w:type="spellStart"/>
      <w:r>
        <w:rPr>
          <w:sz w:val="20"/>
          <w:szCs w:val="20"/>
          <w:lang w:val="en-US"/>
        </w:rPr>
        <w:t>T</w:t>
      </w:r>
      <w:r w:rsidR="002315B0" w:rsidRPr="002315B0">
        <w:rPr>
          <w:sz w:val="20"/>
          <w:szCs w:val="20"/>
        </w:rPr>
        <w:t>he</w:t>
      </w:r>
      <w:proofErr w:type="spellEnd"/>
      <w:r w:rsidR="002315B0" w:rsidRPr="002315B0">
        <w:rPr>
          <w:sz w:val="20"/>
          <w:szCs w:val="20"/>
        </w:rPr>
        <w:t xml:space="preserve"> 10% </w:t>
      </w:r>
      <w:r>
        <w:rPr>
          <w:sz w:val="20"/>
          <w:szCs w:val="20"/>
          <w:lang w:val="en-US"/>
        </w:rPr>
        <w:t xml:space="preserve">of </w:t>
      </w:r>
      <w:r w:rsidR="00713D94">
        <w:rPr>
          <w:sz w:val="20"/>
          <w:szCs w:val="20"/>
          <w:lang w:val="en-US"/>
        </w:rPr>
        <w:t>net income</w:t>
      </w:r>
      <w:r>
        <w:rPr>
          <w:sz w:val="20"/>
          <w:szCs w:val="20"/>
          <w:lang w:val="en-US"/>
        </w:rPr>
        <w:t xml:space="preserve"> </w:t>
      </w:r>
      <w:r w:rsidR="002315B0" w:rsidRPr="002315B0">
        <w:rPr>
          <w:sz w:val="20"/>
          <w:szCs w:val="20"/>
        </w:rPr>
        <w:t>limitation applicable to taxpayers other than C corporations is increased to 15%.</w:t>
      </w:r>
    </w:p>
    <w:p w14:paraId="55802C14" w14:textId="77777777" w:rsidR="00673A42" w:rsidRDefault="002315B0" w:rsidP="00D83FFD">
      <w:pPr>
        <w:pStyle w:val="RandCStatute"/>
        <w:numPr>
          <w:ilvl w:val="0"/>
          <w:numId w:val="64"/>
        </w:numPr>
        <w:spacing w:before="200" w:after="0"/>
        <w:ind w:left="1440" w:hanging="360"/>
        <w:rPr>
          <w:sz w:val="20"/>
          <w:szCs w:val="20"/>
        </w:rPr>
      </w:pPr>
      <w:r w:rsidRPr="002315B0">
        <w:rPr>
          <w:sz w:val="20"/>
          <w:szCs w:val="20"/>
        </w:rPr>
        <w:t>For C corporations, these contributions are made subject to a limitation of 15% of taxable income (as modified).</w:t>
      </w:r>
    </w:p>
    <w:p w14:paraId="0DF76E7F" w14:textId="77777777" w:rsidR="00673A42" w:rsidRDefault="002315B0" w:rsidP="00D83FFD">
      <w:pPr>
        <w:pStyle w:val="RandCStatute"/>
        <w:numPr>
          <w:ilvl w:val="1"/>
          <w:numId w:val="64"/>
        </w:numPr>
        <w:spacing w:before="200" w:after="0"/>
        <w:ind w:left="1800"/>
        <w:rPr>
          <w:sz w:val="20"/>
          <w:szCs w:val="20"/>
        </w:rPr>
      </w:pPr>
      <w:r w:rsidRPr="002315B0">
        <w:rPr>
          <w:sz w:val="20"/>
          <w:szCs w:val="20"/>
        </w:rPr>
        <w:lastRenderedPageBreak/>
        <w:t>The general 10% for a C corporation does not apply to these contributions, but the 10% limitation applicable to other contributions is reduced by the amount of these contributions.</w:t>
      </w:r>
    </w:p>
    <w:p w14:paraId="1FFC1EF9" w14:textId="66CBAB95" w:rsidR="002315B0" w:rsidRPr="002315B0" w:rsidRDefault="002315B0" w:rsidP="00D83FFD">
      <w:pPr>
        <w:pStyle w:val="RandCStatute"/>
        <w:numPr>
          <w:ilvl w:val="1"/>
          <w:numId w:val="64"/>
        </w:numPr>
        <w:spacing w:before="200" w:after="0"/>
        <w:ind w:left="1800"/>
        <w:rPr>
          <w:sz w:val="20"/>
          <w:szCs w:val="20"/>
        </w:rPr>
      </w:pPr>
      <w:r w:rsidRPr="002315B0">
        <w:rPr>
          <w:sz w:val="20"/>
          <w:szCs w:val="20"/>
        </w:rPr>
        <w:t>Qualifying food inventory contributions in excess of these 15% limitations may be carried forward and treated as qualifying food inventory contributions in each of the 5 succeeding tax years in order of time.</w:t>
      </w:r>
    </w:p>
    <w:p w14:paraId="4C935ECD" w14:textId="147E8C54" w:rsidR="00673A42" w:rsidRPr="00673A42" w:rsidRDefault="00673A42" w:rsidP="00D83FFD">
      <w:pPr>
        <w:pStyle w:val="RandCStatute"/>
        <w:keepNext/>
        <w:keepLines/>
        <w:numPr>
          <w:ilvl w:val="0"/>
          <w:numId w:val="63"/>
        </w:numPr>
        <w:autoSpaceDE w:val="0"/>
        <w:autoSpaceDN w:val="0"/>
        <w:adjustRightInd w:val="0"/>
        <w:spacing w:before="200" w:after="0"/>
        <w:ind w:left="1080"/>
        <w:rPr>
          <w:sz w:val="20"/>
          <w:szCs w:val="20"/>
          <w:lang w:val="en-US"/>
        </w:rPr>
      </w:pPr>
      <w:r w:rsidRPr="00673A42">
        <w:rPr>
          <w:sz w:val="20"/>
          <w:szCs w:val="20"/>
          <w:lang w:val="en-US"/>
        </w:rPr>
        <w:t>I</w:t>
      </w:r>
      <w:r w:rsidR="00A758CB" w:rsidRPr="00673A42">
        <w:rPr>
          <w:sz w:val="20"/>
          <w:szCs w:val="20"/>
          <w:lang w:val="en-US"/>
        </w:rPr>
        <w:t>ncluding a presumption concerning the tax basis of food inventory donated by certain businesses</w:t>
      </w:r>
      <w:r w:rsidRPr="00673A42">
        <w:rPr>
          <w:sz w:val="20"/>
          <w:szCs w:val="20"/>
          <w:lang w:val="en-US"/>
        </w:rPr>
        <w:t xml:space="preserve">. </w:t>
      </w:r>
      <w:r>
        <w:rPr>
          <w:sz w:val="20"/>
          <w:szCs w:val="20"/>
          <w:lang w:val="en-US"/>
        </w:rPr>
        <w:t>I</w:t>
      </w:r>
      <w:r w:rsidRPr="00673A42">
        <w:rPr>
          <w:sz w:val="20"/>
          <w:szCs w:val="20"/>
          <w:lang w:val="en-US"/>
        </w:rPr>
        <w:t>f the taxpayer does not account for inventory under I.R.C. § 471 and is not required to capitalize indirect costs under I.R.C. § 263A, the taxpayer may elect, solely for computing the enhanced deduction for food inventory, to treat the basis of any apparently wholesome food as being equal to 25% of the fair market value of such food.</w:t>
      </w:r>
    </w:p>
    <w:p w14:paraId="252302E9" w14:textId="5C7FDCE7" w:rsidR="00A758CB" w:rsidRPr="00673A42" w:rsidRDefault="00673A42" w:rsidP="00D83FFD">
      <w:pPr>
        <w:pStyle w:val="RandCStatute"/>
        <w:keepNext/>
        <w:keepLines/>
        <w:numPr>
          <w:ilvl w:val="0"/>
          <w:numId w:val="63"/>
        </w:numPr>
        <w:autoSpaceDE w:val="0"/>
        <w:autoSpaceDN w:val="0"/>
        <w:adjustRightInd w:val="0"/>
        <w:spacing w:before="200" w:after="0"/>
        <w:ind w:left="1080"/>
        <w:rPr>
          <w:sz w:val="20"/>
          <w:szCs w:val="20"/>
          <w:lang w:val="en-US"/>
        </w:rPr>
      </w:pPr>
      <w:r w:rsidRPr="00673A42">
        <w:rPr>
          <w:sz w:val="20"/>
          <w:szCs w:val="20"/>
          <w:lang w:val="en-US"/>
        </w:rPr>
        <w:t>I</w:t>
      </w:r>
      <w:r w:rsidR="00A758CB" w:rsidRPr="00673A42">
        <w:rPr>
          <w:sz w:val="20"/>
          <w:szCs w:val="20"/>
          <w:lang w:val="en-US"/>
        </w:rPr>
        <w:t>ncluding presumptions that may be used when valuing donated food inventory</w:t>
      </w:r>
      <w:r w:rsidRPr="00673A42">
        <w:rPr>
          <w:sz w:val="20"/>
          <w:szCs w:val="20"/>
          <w:lang w:val="en-US"/>
        </w:rPr>
        <w:t xml:space="preserve"> for </w:t>
      </w:r>
      <w:r w:rsidR="00A758CB" w:rsidRPr="00673A42">
        <w:rPr>
          <w:sz w:val="20"/>
          <w:szCs w:val="20"/>
          <w:lang w:val="en-US"/>
        </w:rPr>
        <w:t>apparently wholesome food that cannot or will not be sold solely by reason of internal standards of the taxpayer, lack of market, or similar circumstances, or by reason of being produced by the taxpayer exclusively for the purposes of transferring the food to an organization described in I.R.C. § 501(c</w:t>
      </w:r>
      <w:proofErr w:type="gramStart"/>
      <w:r w:rsidR="00A758CB" w:rsidRPr="00673A42">
        <w:rPr>
          <w:sz w:val="20"/>
          <w:szCs w:val="20"/>
          <w:lang w:val="en-US"/>
        </w:rPr>
        <w:t>)(</w:t>
      </w:r>
      <w:proofErr w:type="gramEnd"/>
      <w:r w:rsidR="00A758CB" w:rsidRPr="00673A42">
        <w:rPr>
          <w:sz w:val="20"/>
          <w:szCs w:val="20"/>
          <w:lang w:val="en-US"/>
        </w:rPr>
        <w:t>3)</w:t>
      </w:r>
      <w:r>
        <w:rPr>
          <w:sz w:val="20"/>
          <w:szCs w:val="20"/>
          <w:lang w:val="en-US"/>
        </w:rPr>
        <w:t>. Th</w:t>
      </w:r>
      <w:r w:rsidR="00A758CB" w:rsidRPr="00673A42">
        <w:rPr>
          <w:sz w:val="20"/>
          <w:szCs w:val="20"/>
          <w:lang w:val="en-US"/>
        </w:rPr>
        <w:t>e fair market value of such contribution shall be determined</w:t>
      </w:r>
    </w:p>
    <w:p w14:paraId="4B3359B2" w14:textId="77777777" w:rsidR="00A758CB" w:rsidRPr="00673A42" w:rsidRDefault="00A758CB" w:rsidP="00D83FFD">
      <w:pPr>
        <w:pStyle w:val="RandCStatute"/>
        <w:numPr>
          <w:ilvl w:val="0"/>
          <w:numId w:val="65"/>
        </w:numPr>
        <w:spacing w:before="200" w:after="0"/>
        <w:ind w:left="1440" w:hanging="360"/>
        <w:rPr>
          <w:sz w:val="20"/>
          <w:szCs w:val="20"/>
          <w:lang w:val="en-US"/>
        </w:rPr>
      </w:pPr>
      <w:r w:rsidRPr="00673A42">
        <w:rPr>
          <w:sz w:val="20"/>
          <w:szCs w:val="20"/>
          <w:lang w:val="en-US"/>
        </w:rPr>
        <w:t>without regard to such internal standards, such lack of market or similar circumstances, or such exclusive purpose, and</w:t>
      </w:r>
    </w:p>
    <w:p w14:paraId="0C04CC39" w14:textId="36C6891C" w:rsidR="00A758CB" w:rsidRPr="00673A42" w:rsidRDefault="00A758CB" w:rsidP="00D83FFD">
      <w:pPr>
        <w:pStyle w:val="RandCStatute"/>
        <w:numPr>
          <w:ilvl w:val="0"/>
          <w:numId w:val="65"/>
        </w:numPr>
        <w:spacing w:before="200" w:after="0"/>
        <w:ind w:left="1440" w:hanging="360"/>
        <w:rPr>
          <w:sz w:val="20"/>
          <w:szCs w:val="20"/>
          <w:lang w:val="en-US"/>
        </w:rPr>
      </w:pPr>
      <w:proofErr w:type="gramStart"/>
      <w:r w:rsidRPr="00673A42">
        <w:rPr>
          <w:sz w:val="20"/>
          <w:szCs w:val="20"/>
          <w:lang w:val="en-US"/>
        </w:rPr>
        <w:t>by</w:t>
      </w:r>
      <w:proofErr w:type="gramEnd"/>
      <w:r w:rsidRPr="00673A42">
        <w:rPr>
          <w:sz w:val="20"/>
          <w:szCs w:val="20"/>
          <w:lang w:val="en-US"/>
        </w:rPr>
        <w:t xml:space="preserve"> taking into account the price at which the same or substantially the same food items </w:t>
      </w:r>
      <w:r w:rsidR="00673A42">
        <w:rPr>
          <w:sz w:val="20"/>
          <w:szCs w:val="20"/>
          <w:lang w:val="en-US"/>
        </w:rPr>
        <w:t>(</w:t>
      </w:r>
      <w:r w:rsidRPr="00673A42">
        <w:rPr>
          <w:sz w:val="20"/>
          <w:szCs w:val="20"/>
          <w:lang w:val="en-US"/>
        </w:rPr>
        <w:t>as to both type and quality) are sold by the taxpayer at the time of the contributions (or, if not so sold at such time, in the recent past).</w:t>
      </w:r>
    </w:p>
    <w:p w14:paraId="03D3ACAB" w14:textId="654E6D33" w:rsidR="00410E36" w:rsidRPr="00713D94" w:rsidRDefault="00410E36" w:rsidP="00410E36">
      <w:pPr>
        <w:pStyle w:val="Example"/>
        <w:rPr>
          <w:sz w:val="20"/>
          <w:szCs w:val="20"/>
          <w:lang w:val="en-US"/>
        </w:rPr>
      </w:pPr>
      <w:r w:rsidRPr="00713D94">
        <w:rPr>
          <w:sz w:val="20"/>
          <w:szCs w:val="20"/>
        </w:rPr>
        <w:t>Example</w:t>
      </w:r>
      <w:r w:rsidR="00B25F90" w:rsidRPr="00713D94">
        <w:rPr>
          <w:sz w:val="20"/>
          <w:szCs w:val="20"/>
          <w:lang w:val="en-US"/>
        </w:rPr>
        <w:t xml:space="preserve"> </w:t>
      </w:r>
      <w:r w:rsidR="00E24EC1">
        <w:rPr>
          <w:sz w:val="20"/>
          <w:szCs w:val="20"/>
          <w:lang w:val="en-US"/>
        </w:rPr>
        <w:t>6</w:t>
      </w:r>
      <w:r w:rsidR="00B25F90" w:rsidRPr="00713D94">
        <w:rPr>
          <w:sz w:val="20"/>
          <w:szCs w:val="20"/>
          <w:lang w:val="en-US"/>
        </w:rPr>
        <w:t>.</w:t>
      </w:r>
      <w:r w:rsidRPr="00713D94">
        <w:rPr>
          <w:sz w:val="20"/>
          <w:szCs w:val="20"/>
        </w:rPr>
        <w:t xml:space="preserve"> </w:t>
      </w:r>
      <w:r w:rsidRPr="00713D94">
        <w:rPr>
          <w:sz w:val="20"/>
          <w:szCs w:val="20"/>
          <w:lang w:val="en-US"/>
        </w:rPr>
        <w:t>Cash Basis Individual</w:t>
      </w:r>
    </w:p>
    <w:p w14:paraId="6A93E03B" w14:textId="1E15A1F2" w:rsidR="00410E36" w:rsidRPr="00713D94" w:rsidRDefault="00410E36" w:rsidP="00410E36">
      <w:pPr>
        <w:pStyle w:val="Body"/>
        <w:ind w:firstLine="0"/>
        <w:rPr>
          <w:sz w:val="20"/>
          <w:szCs w:val="20"/>
          <w:lang w:val="en-US"/>
        </w:rPr>
      </w:pPr>
      <w:r w:rsidRPr="00713D94">
        <w:rPr>
          <w:sz w:val="20"/>
          <w:szCs w:val="20"/>
          <w:lang w:val="en-US"/>
        </w:rPr>
        <w:t xml:space="preserve">Daisy </w:t>
      </w:r>
      <w:proofErr w:type="spellStart"/>
      <w:r w:rsidRPr="00713D94">
        <w:rPr>
          <w:sz w:val="20"/>
          <w:szCs w:val="20"/>
          <w:lang w:val="en-US"/>
        </w:rPr>
        <w:t>Dogood</w:t>
      </w:r>
      <w:proofErr w:type="spellEnd"/>
      <w:r w:rsidRPr="00713D94">
        <w:rPr>
          <w:sz w:val="20"/>
          <w:szCs w:val="20"/>
        </w:rPr>
        <w:t xml:space="preserve"> </w:t>
      </w:r>
      <w:r w:rsidRPr="00713D94">
        <w:rPr>
          <w:sz w:val="20"/>
          <w:szCs w:val="20"/>
          <w:lang w:val="en-US"/>
        </w:rPr>
        <w:t>raises broccoli. In July of 2016 Daisy had more broccoli than she could sell at her farm market. She donated the excess to a local soup kitchen that qualifies as an I.R.C. §</w:t>
      </w:r>
      <w:r w:rsidR="00BB2FAE" w:rsidRPr="00713D94">
        <w:rPr>
          <w:sz w:val="20"/>
          <w:szCs w:val="20"/>
          <w:lang w:val="en-US"/>
        </w:rPr>
        <w:t> </w:t>
      </w:r>
      <w:r w:rsidRPr="00713D94">
        <w:rPr>
          <w:sz w:val="20"/>
          <w:szCs w:val="20"/>
          <w:lang w:val="en-US"/>
        </w:rPr>
        <w:t>501(c</w:t>
      </w:r>
      <w:proofErr w:type="gramStart"/>
      <w:r w:rsidRPr="00713D94">
        <w:rPr>
          <w:sz w:val="20"/>
          <w:szCs w:val="20"/>
          <w:lang w:val="en-US"/>
        </w:rPr>
        <w:t>)(</w:t>
      </w:r>
      <w:proofErr w:type="gramEnd"/>
      <w:r w:rsidRPr="00713D94">
        <w:rPr>
          <w:sz w:val="20"/>
          <w:szCs w:val="20"/>
          <w:lang w:val="en-US"/>
        </w:rPr>
        <w:t>3) organization. Her net income from the farm business was $7,150 for the year. If Daisy had been able to sell the broccoli at her stand, the inventory would have sold for $280. Daisy is not required to maintain inventories.</w:t>
      </w:r>
    </w:p>
    <w:p w14:paraId="460E158B" w14:textId="77777777" w:rsidR="00410E36" w:rsidRPr="00713D94" w:rsidRDefault="00410E36" w:rsidP="00410E36">
      <w:pPr>
        <w:pStyle w:val="Body"/>
        <w:rPr>
          <w:sz w:val="20"/>
          <w:szCs w:val="20"/>
        </w:rPr>
      </w:pPr>
      <w:r w:rsidRPr="00713D94">
        <w:rPr>
          <w:sz w:val="20"/>
          <w:szCs w:val="20"/>
        </w:rPr>
        <w:t xml:space="preserve">Daisy’s tax basis in the </w:t>
      </w:r>
      <w:r w:rsidRPr="00713D94">
        <w:rPr>
          <w:sz w:val="20"/>
          <w:szCs w:val="20"/>
          <w:lang w:val="en-US"/>
        </w:rPr>
        <w:t xml:space="preserve">broccoli for purposes of the </w:t>
      </w:r>
      <w:r w:rsidRPr="00713D94">
        <w:rPr>
          <w:sz w:val="20"/>
          <w:szCs w:val="20"/>
        </w:rPr>
        <w:t xml:space="preserve">contributed food inventory </w:t>
      </w:r>
      <w:r w:rsidRPr="00713D94">
        <w:rPr>
          <w:sz w:val="20"/>
          <w:szCs w:val="20"/>
          <w:lang w:val="en-US"/>
        </w:rPr>
        <w:t xml:space="preserve">deduction </w:t>
      </w:r>
      <w:r w:rsidRPr="00713D94">
        <w:rPr>
          <w:sz w:val="20"/>
          <w:szCs w:val="20"/>
        </w:rPr>
        <w:t>is $70 (25% of the $280 FMV). Assuming the broccoli is wholesome food, Daisy’s charitable contribution deduction is calculated as the lesser of:</w:t>
      </w:r>
    </w:p>
    <w:p w14:paraId="255D54BB" w14:textId="77777777" w:rsidR="00410E36" w:rsidRPr="00713D94" w:rsidRDefault="00410E36" w:rsidP="00D83FFD">
      <w:pPr>
        <w:pStyle w:val="NL"/>
        <w:numPr>
          <w:ilvl w:val="0"/>
          <w:numId w:val="13"/>
        </w:numPr>
        <w:rPr>
          <w:sz w:val="20"/>
          <w:szCs w:val="20"/>
        </w:rPr>
      </w:pPr>
      <w:r w:rsidRPr="00713D94">
        <w:rPr>
          <w:sz w:val="20"/>
          <w:szCs w:val="20"/>
        </w:rPr>
        <w:t>Her $70 basis plus ½ of the $210 ($280 – $70) profit that she would have realized, which is $175 [$70 + (½ × $210)], or</w:t>
      </w:r>
    </w:p>
    <w:p w14:paraId="08885E9B" w14:textId="77777777" w:rsidR="00410E36" w:rsidRPr="00713D94" w:rsidRDefault="00410E36" w:rsidP="00D83FFD">
      <w:pPr>
        <w:pStyle w:val="NL"/>
        <w:numPr>
          <w:ilvl w:val="0"/>
          <w:numId w:val="8"/>
        </w:numPr>
        <w:rPr>
          <w:sz w:val="20"/>
          <w:szCs w:val="20"/>
        </w:rPr>
      </w:pPr>
      <w:r w:rsidRPr="00713D94">
        <w:rPr>
          <w:sz w:val="20"/>
          <w:szCs w:val="20"/>
        </w:rPr>
        <w:t>Two times her $70 basis, which is $140.</w:t>
      </w:r>
    </w:p>
    <w:p w14:paraId="3C425C7B" w14:textId="77777777" w:rsidR="00054518" w:rsidRPr="00713D94" w:rsidRDefault="00410E36" w:rsidP="00410E36">
      <w:pPr>
        <w:pStyle w:val="Body"/>
        <w:ind w:firstLine="0"/>
        <w:rPr>
          <w:sz w:val="20"/>
          <w:szCs w:val="20"/>
          <w:lang w:val="en-US"/>
        </w:rPr>
      </w:pPr>
      <w:r w:rsidRPr="00713D94">
        <w:rPr>
          <w:sz w:val="20"/>
          <w:szCs w:val="20"/>
          <w:lang w:val="en-US"/>
        </w:rPr>
        <w:t>Her deduction is limited to 15% of the net income from the business (15% × $7,150 = $1,072). Daisy’s $140 deduction is less than 15% of her net business income, and she can include the $140 as a charitable contribution on her Schedule A (Form 1040), Itemized Deductions. Daisy must aggregate the deduction with any other charitable contributions Daisy made and it is subject to the overall 50% of AGI limit on contributions to public charities.</w:t>
      </w:r>
    </w:p>
    <w:p w14:paraId="505386E1" w14:textId="77777777" w:rsidR="00410E36" w:rsidRPr="00713D94" w:rsidRDefault="00410E36" w:rsidP="00AA455F">
      <w:pPr>
        <w:pStyle w:val="NoteHead"/>
        <w:keepNext/>
        <w:keepLines/>
        <w:rPr>
          <w:szCs w:val="20"/>
        </w:rPr>
      </w:pPr>
      <w:r w:rsidRPr="00713D94">
        <w:rPr>
          <w:szCs w:val="20"/>
        </w:rPr>
        <w:t>Practitioner Note</w:t>
      </w:r>
    </w:p>
    <w:p w14:paraId="2F6A407A" w14:textId="77777777" w:rsidR="00410E36" w:rsidRPr="00713D94" w:rsidRDefault="00410E36" w:rsidP="00AA455F">
      <w:pPr>
        <w:pStyle w:val="NoteTitle"/>
        <w:keepNext/>
        <w:keepLines/>
        <w:rPr>
          <w:szCs w:val="20"/>
        </w:rPr>
      </w:pPr>
      <w:r w:rsidRPr="00713D94">
        <w:rPr>
          <w:szCs w:val="20"/>
        </w:rPr>
        <w:t>Non-deductible Contribution of Food Inventory</w:t>
      </w:r>
    </w:p>
    <w:p w14:paraId="1A3860E3" w14:textId="77777777" w:rsidR="00410E36" w:rsidRPr="00713D94" w:rsidRDefault="00410E36" w:rsidP="00AA455F">
      <w:pPr>
        <w:pStyle w:val="Note"/>
        <w:keepNext/>
        <w:keepLines/>
        <w:rPr>
          <w:szCs w:val="20"/>
        </w:rPr>
      </w:pPr>
      <w:r w:rsidRPr="00713D94">
        <w:rPr>
          <w:szCs w:val="20"/>
        </w:rPr>
        <w:t xml:space="preserve">If Daisy had instead given the broccoli to a local nonprofit environmental organization that was having a fund-raising dinner, she would not be entitled to a deduction. The </w:t>
      </w:r>
      <w:proofErr w:type="spellStart"/>
      <w:r w:rsidRPr="00713D94">
        <w:rPr>
          <w:szCs w:val="20"/>
        </w:rPr>
        <w:t>donee</w:t>
      </w:r>
      <w:proofErr w:type="spellEnd"/>
      <w:r w:rsidRPr="00713D94">
        <w:rPr>
          <w:szCs w:val="20"/>
        </w:rPr>
        <w:t xml:space="preserve"> must also use the property for the care of the ill, the needy, or infants. Daisy would determine her deduction under the general rules for charitable contributions and the FMV of the contribution would be reduced by any ordinary income that would have been generated had the property been sold. Because Daisy has no basis in the food inventory, her ordinary income would equal, and therefore completely offset, the FMV of the contribution.</w:t>
      </w:r>
    </w:p>
    <w:p w14:paraId="7282FCD0" w14:textId="34B5D3FC" w:rsidR="00BB2FAE" w:rsidRPr="00C83872" w:rsidRDefault="00BB2FAE" w:rsidP="00C83872">
      <w:pPr>
        <w:pStyle w:val="Bodynoindent"/>
        <w:jc w:val="center"/>
        <w:rPr>
          <w:lang w:val="en-US"/>
        </w:rPr>
      </w:pPr>
      <w:r>
        <w:rPr>
          <w:lang w:val="en-US"/>
        </w:rPr>
        <w:t>____________________</w:t>
      </w:r>
    </w:p>
    <w:p w14:paraId="503E9684" w14:textId="77777777" w:rsidR="00A758CB" w:rsidRPr="00767A10" w:rsidRDefault="00A758CB" w:rsidP="00D83FFD">
      <w:pPr>
        <w:pStyle w:val="ListParagraph"/>
        <w:keepNext/>
        <w:keepLines/>
        <w:widowControl w:val="0"/>
        <w:numPr>
          <w:ilvl w:val="0"/>
          <w:numId w:val="25"/>
        </w:numPr>
        <w:tabs>
          <w:tab w:val="decimal" w:pos="180"/>
        </w:tabs>
        <w:spacing w:before="200"/>
        <w:ind w:left="0" w:hanging="274"/>
        <w:contextualSpacing w:val="0"/>
        <w:jc w:val="both"/>
        <w:rPr>
          <w:rFonts w:ascii="Times New Roman" w:hAnsi="Times New Roman"/>
          <w:b/>
          <w:sz w:val="20"/>
          <w:szCs w:val="20"/>
        </w:rPr>
      </w:pPr>
      <w:r w:rsidRPr="00767A10">
        <w:rPr>
          <w:rFonts w:ascii="Times New Roman" w:hAnsi="Times New Roman"/>
          <w:b/>
          <w:sz w:val="20"/>
          <w:szCs w:val="20"/>
        </w:rPr>
        <w:lastRenderedPageBreak/>
        <w:t>Business Credits</w:t>
      </w:r>
    </w:p>
    <w:p w14:paraId="23F629C2" w14:textId="6F904A37" w:rsidR="00A758CB" w:rsidRPr="00767A10" w:rsidRDefault="00A758CB" w:rsidP="00D83FFD">
      <w:pPr>
        <w:pStyle w:val="Bodynoindent"/>
        <w:keepNext/>
        <w:keepLines/>
        <w:numPr>
          <w:ilvl w:val="0"/>
          <w:numId w:val="66"/>
        </w:numPr>
        <w:spacing w:before="200"/>
        <w:ind w:left="360"/>
        <w:rPr>
          <w:sz w:val="20"/>
          <w:szCs w:val="20"/>
        </w:rPr>
      </w:pPr>
      <w:r w:rsidRPr="00767A10">
        <w:rPr>
          <w:sz w:val="20"/>
          <w:szCs w:val="20"/>
        </w:rPr>
        <w:t>Research Credit</w:t>
      </w:r>
      <w:r w:rsidR="00767A10" w:rsidRPr="00767A10">
        <w:rPr>
          <w:sz w:val="20"/>
          <w:szCs w:val="20"/>
          <w:lang w:val="en-US"/>
        </w:rPr>
        <w:t xml:space="preserve"> </w:t>
      </w:r>
      <w:r w:rsidR="00767A10">
        <w:rPr>
          <w:sz w:val="20"/>
          <w:szCs w:val="20"/>
          <w:lang w:val="en-US"/>
        </w:rPr>
        <w:t>[</w:t>
      </w:r>
      <w:r w:rsidRPr="00767A10">
        <w:rPr>
          <w:sz w:val="20"/>
          <w:szCs w:val="20"/>
        </w:rPr>
        <w:t>I.R.C. § 41; PATH Act § 121</w:t>
      </w:r>
      <w:r w:rsidR="00767A10">
        <w:rPr>
          <w:sz w:val="20"/>
          <w:szCs w:val="20"/>
          <w:lang w:val="en-US"/>
        </w:rPr>
        <w:t>]</w:t>
      </w:r>
    </w:p>
    <w:p w14:paraId="35ACB85E" w14:textId="77777777" w:rsidR="00A758CB" w:rsidRPr="00767A10" w:rsidRDefault="00A758CB" w:rsidP="00D83FFD">
      <w:pPr>
        <w:pStyle w:val="Body"/>
        <w:keepNext/>
        <w:keepLines/>
        <w:numPr>
          <w:ilvl w:val="0"/>
          <w:numId w:val="67"/>
        </w:numPr>
        <w:spacing w:before="200"/>
        <w:rPr>
          <w:sz w:val="20"/>
          <w:szCs w:val="20"/>
        </w:rPr>
      </w:pPr>
      <w:r w:rsidRPr="00767A10">
        <w:rPr>
          <w:sz w:val="20"/>
          <w:szCs w:val="20"/>
        </w:rPr>
        <w:t>The provision to make the research credit permanent applies to amounts paid or incurred after December 31, 2014. The provision to allow the research credit against AMT and the provision to allow the research credit against FICA taxes are effective for tax years beginning after December 31, 2015.</w:t>
      </w:r>
    </w:p>
    <w:p w14:paraId="5FE4F4E1" w14:textId="77777777" w:rsidR="00A758CB" w:rsidRPr="00767A10" w:rsidRDefault="00A758CB" w:rsidP="00D83FFD">
      <w:pPr>
        <w:pStyle w:val="Body"/>
        <w:keepLines/>
        <w:numPr>
          <w:ilvl w:val="0"/>
          <w:numId w:val="67"/>
        </w:numPr>
        <w:spacing w:before="200"/>
        <w:rPr>
          <w:sz w:val="20"/>
          <w:szCs w:val="20"/>
        </w:rPr>
      </w:pPr>
      <w:r w:rsidRPr="00767A10">
        <w:rPr>
          <w:sz w:val="20"/>
          <w:szCs w:val="20"/>
        </w:rPr>
        <w:t>The credit for research activities is reinstated for 2015 and made permanent. It includes:</w:t>
      </w:r>
    </w:p>
    <w:p w14:paraId="6D9346A9" w14:textId="77777777" w:rsidR="00A758CB" w:rsidRPr="00767A10" w:rsidRDefault="00A758CB" w:rsidP="00D83FFD">
      <w:pPr>
        <w:pStyle w:val="RandCStatute"/>
        <w:keepNext/>
        <w:keepLines/>
        <w:numPr>
          <w:ilvl w:val="0"/>
          <w:numId w:val="68"/>
        </w:numPr>
        <w:autoSpaceDE w:val="0"/>
        <w:autoSpaceDN w:val="0"/>
        <w:adjustRightInd w:val="0"/>
        <w:spacing w:before="200" w:after="0"/>
        <w:ind w:left="1080"/>
        <w:rPr>
          <w:sz w:val="20"/>
          <w:szCs w:val="20"/>
          <w:lang w:val="en-US"/>
        </w:rPr>
      </w:pPr>
      <w:r w:rsidRPr="00767A10">
        <w:rPr>
          <w:sz w:val="20"/>
          <w:szCs w:val="20"/>
          <w:lang w:val="en-US"/>
        </w:rPr>
        <w:t>the general research credit, which is equal to 20% of the amount by which the taxpayer’s qualified research expenses for a tax year exceed its base amount for that year;</w:t>
      </w:r>
    </w:p>
    <w:p w14:paraId="460AA2F3" w14:textId="77777777" w:rsidR="00A758CB" w:rsidRPr="00767A10" w:rsidRDefault="00A758CB" w:rsidP="00D83FFD">
      <w:pPr>
        <w:pStyle w:val="RandCStatute"/>
        <w:keepNext/>
        <w:keepLines/>
        <w:numPr>
          <w:ilvl w:val="0"/>
          <w:numId w:val="68"/>
        </w:numPr>
        <w:autoSpaceDE w:val="0"/>
        <w:autoSpaceDN w:val="0"/>
        <w:adjustRightInd w:val="0"/>
        <w:spacing w:before="200" w:after="0"/>
        <w:ind w:left="1080"/>
        <w:rPr>
          <w:sz w:val="20"/>
          <w:szCs w:val="20"/>
          <w:lang w:val="en-US"/>
        </w:rPr>
      </w:pPr>
      <w:r w:rsidRPr="00767A10">
        <w:rPr>
          <w:sz w:val="20"/>
          <w:szCs w:val="20"/>
          <w:lang w:val="en-US"/>
        </w:rPr>
        <w:t>the simplified alternative credit, which is equal to 14% of qualified research expenses that exceed 50% of the average qualified research expenses for the 3 preceding tax years;</w:t>
      </w:r>
    </w:p>
    <w:p w14:paraId="211A314D" w14:textId="77777777" w:rsidR="00A758CB" w:rsidRPr="00767A10" w:rsidRDefault="00A758CB" w:rsidP="00D83FFD">
      <w:pPr>
        <w:pStyle w:val="RandCStatute"/>
        <w:keepNext/>
        <w:keepLines/>
        <w:numPr>
          <w:ilvl w:val="0"/>
          <w:numId w:val="68"/>
        </w:numPr>
        <w:autoSpaceDE w:val="0"/>
        <w:autoSpaceDN w:val="0"/>
        <w:adjustRightInd w:val="0"/>
        <w:spacing w:before="200" w:after="0"/>
        <w:ind w:left="1080"/>
        <w:rPr>
          <w:sz w:val="20"/>
          <w:szCs w:val="20"/>
          <w:lang w:val="en-US"/>
        </w:rPr>
      </w:pPr>
      <w:r w:rsidRPr="00767A10">
        <w:rPr>
          <w:sz w:val="20"/>
          <w:szCs w:val="20"/>
          <w:lang w:val="en-US"/>
        </w:rPr>
        <w:t>the basic research credit, which is equal to 20% of the excess of:</w:t>
      </w:r>
    </w:p>
    <w:p w14:paraId="04E21577" w14:textId="77777777" w:rsidR="00A758CB" w:rsidRPr="00767A10" w:rsidRDefault="00A758CB" w:rsidP="00D83FFD">
      <w:pPr>
        <w:pStyle w:val="RandCStatute"/>
        <w:numPr>
          <w:ilvl w:val="0"/>
          <w:numId w:val="69"/>
        </w:numPr>
        <w:spacing w:before="200" w:after="0"/>
        <w:ind w:left="1440" w:hanging="360"/>
        <w:rPr>
          <w:sz w:val="20"/>
          <w:szCs w:val="20"/>
          <w:lang w:val="en-US"/>
        </w:rPr>
      </w:pPr>
      <w:r w:rsidRPr="00767A10">
        <w:rPr>
          <w:sz w:val="20"/>
          <w:szCs w:val="20"/>
          <w:lang w:val="en-US"/>
        </w:rPr>
        <w:t>100% corporate cash expenses (including grants or contributions) paid for basic research conducted by universities (and certain nonprofit scientific research organizations) over</w:t>
      </w:r>
    </w:p>
    <w:p w14:paraId="705E3C70" w14:textId="77777777" w:rsidR="00A758CB" w:rsidRPr="00767A10" w:rsidRDefault="00A758CB" w:rsidP="00D83FFD">
      <w:pPr>
        <w:pStyle w:val="RandCStatute"/>
        <w:numPr>
          <w:ilvl w:val="0"/>
          <w:numId w:val="69"/>
        </w:numPr>
        <w:spacing w:before="200" w:after="0"/>
        <w:ind w:left="1440" w:hanging="360"/>
        <w:rPr>
          <w:sz w:val="20"/>
          <w:szCs w:val="20"/>
          <w:lang w:val="en-US"/>
        </w:rPr>
      </w:pPr>
      <w:r w:rsidRPr="00767A10">
        <w:rPr>
          <w:sz w:val="20"/>
          <w:szCs w:val="20"/>
          <w:lang w:val="en-US"/>
        </w:rPr>
        <w:t>The sum of:</w:t>
      </w:r>
    </w:p>
    <w:p w14:paraId="6A417618" w14:textId="77777777" w:rsidR="00A758CB" w:rsidRPr="00767A10" w:rsidRDefault="00A758CB" w:rsidP="00D83FFD">
      <w:pPr>
        <w:pStyle w:val="RandCStatute"/>
        <w:numPr>
          <w:ilvl w:val="0"/>
          <w:numId w:val="70"/>
        </w:numPr>
        <w:spacing w:before="200" w:after="0"/>
        <w:ind w:left="1800"/>
        <w:rPr>
          <w:sz w:val="20"/>
          <w:szCs w:val="20"/>
        </w:rPr>
      </w:pPr>
      <w:r w:rsidRPr="00767A10">
        <w:rPr>
          <w:sz w:val="20"/>
          <w:szCs w:val="20"/>
        </w:rPr>
        <w:t>the greater of two minimum basic research floors plus</w:t>
      </w:r>
    </w:p>
    <w:p w14:paraId="6C5C55A7" w14:textId="77777777" w:rsidR="00A758CB" w:rsidRPr="00767A10" w:rsidRDefault="00A758CB" w:rsidP="00D83FFD">
      <w:pPr>
        <w:pStyle w:val="RandCStatute"/>
        <w:numPr>
          <w:ilvl w:val="0"/>
          <w:numId w:val="70"/>
        </w:numPr>
        <w:spacing w:before="200" w:after="0"/>
        <w:ind w:left="1800"/>
        <w:rPr>
          <w:sz w:val="20"/>
          <w:szCs w:val="20"/>
        </w:rPr>
      </w:pPr>
      <w:r w:rsidRPr="00767A10">
        <w:rPr>
          <w:sz w:val="20"/>
          <w:szCs w:val="20"/>
        </w:rPr>
        <w:t xml:space="preserve">an amount reflecting any decrease in </w:t>
      </w:r>
      <w:proofErr w:type="spellStart"/>
      <w:r w:rsidRPr="00767A10">
        <w:rPr>
          <w:sz w:val="20"/>
          <w:szCs w:val="20"/>
        </w:rPr>
        <w:t>nonresearch</w:t>
      </w:r>
      <w:proofErr w:type="spellEnd"/>
      <w:r w:rsidRPr="00767A10">
        <w:rPr>
          <w:sz w:val="20"/>
          <w:szCs w:val="20"/>
        </w:rPr>
        <w:t xml:space="preserve"> giving to universities by the corporation as compared to such giving during a fixed-base period, as adjusted for inflation.</w:t>
      </w:r>
    </w:p>
    <w:p w14:paraId="2D4EC6D4" w14:textId="77777777" w:rsidR="00A758CB" w:rsidRPr="00767A10" w:rsidRDefault="00A758CB" w:rsidP="00D83FFD">
      <w:pPr>
        <w:pStyle w:val="RandCStatute"/>
        <w:keepNext/>
        <w:keepLines/>
        <w:numPr>
          <w:ilvl w:val="0"/>
          <w:numId w:val="68"/>
        </w:numPr>
        <w:autoSpaceDE w:val="0"/>
        <w:autoSpaceDN w:val="0"/>
        <w:adjustRightInd w:val="0"/>
        <w:spacing w:before="200" w:after="0"/>
        <w:ind w:left="1080"/>
        <w:rPr>
          <w:sz w:val="20"/>
          <w:szCs w:val="20"/>
          <w:lang w:val="en-US"/>
        </w:rPr>
      </w:pPr>
      <w:proofErr w:type="gramStart"/>
      <w:r w:rsidRPr="00767A10">
        <w:rPr>
          <w:sz w:val="20"/>
          <w:szCs w:val="20"/>
          <w:lang w:val="en-US"/>
        </w:rPr>
        <w:t>the</w:t>
      </w:r>
      <w:proofErr w:type="gramEnd"/>
      <w:r w:rsidRPr="00767A10">
        <w:rPr>
          <w:sz w:val="20"/>
          <w:szCs w:val="20"/>
          <w:lang w:val="en-US"/>
        </w:rPr>
        <w:t xml:space="preserve"> energy research credit, which applies to all qualified expenditures, not just those in excess of a base amount.</w:t>
      </w:r>
    </w:p>
    <w:p w14:paraId="422E80DE" w14:textId="77777777" w:rsidR="00A758CB" w:rsidRPr="00767A10" w:rsidRDefault="00A758CB" w:rsidP="00D83FFD">
      <w:pPr>
        <w:pStyle w:val="Body"/>
        <w:numPr>
          <w:ilvl w:val="0"/>
          <w:numId w:val="67"/>
        </w:numPr>
        <w:spacing w:before="200"/>
        <w:rPr>
          <w:sz w:val="20"/>
          <w:szCs w:val="20"/>
        </w:rPr>
      </w:pPr>
      <w:r w:rsidRPr="00767A10">
        <w:rPr>
          <w:sz w:val="20"/>
          <w:szCs w:val="20"/>
        </w:rPr>
        <w:t>For tax years beginning after December 31, 2015, the PATH Act also modifies the research credit to:</w:t>
      </w:r>
    </w:p>
    <w:p w14:paraId="0D1293ED" w14:textId="77777777" w:rsidR="00A758CB" w:rsidRPr="00767A10" w:rsidRDefault="00A758CB" w:rsidP="00D83FFD">
      <w:pPr>
        <w:pStyle w:val="RandCStatute"/>
        <w:numPr>
          <w:ilvl w:val="0"/>
          <w:numId w:val="71"/>
        </w:numPr>
        <w:autoSpaceDE w:val="0"/>
        <w:autoSpaceDN w:val="0"/>
        <w:adjustRightInd w:val="0"/>
        <w:spacing w:before="200" w:after="0"/>
        <w:ind w:left="1080"/>
        <w:rPr>
          <w:sz w:val="20"/>
          <w:szCs w:val="20"/>
          <w:lang w:val="en-US"/>
        </w:rPr>
      </w:pPr>
      <w:r w:rsidRPr="00767A10">
        <w:rPr>
          <w:sz w:val="20"/>
          <w:szCs w:val="20"/>
          <w:lang w:val="en-US"/>
        </w:rPr>
        <w:t>allow an eligible small business to offset both regular tax and AMT liabilities with the credit; and</w:t>
      </w:r>
    </w:p>
    <w:p w14:paraId="1CC1A552" w14:textId="77777777" w:rsidR="00A758CB" w:rsidRPr="00767A10" w:rsidRDefault="00A758CB" w:rsidP="00D83FFD">
      <w:pPr>
        <w:pStyle w:val="RandCStatute"/>
        <w:numPr>
          <w:ilvl w:val="0"/>
          <w:numId w:val="71"/>
        </w:numPr>
        <w:autoSpaceDE w:val="0"/>
        <w:autoSpaceDN w:val="0"/>
        <w:adjustRightInd w:val="0"/>
        <w:spacing w:before="200" w:after="0"/>
        <w:ind w:left="1080"/>
        <w:rPr>
          <w:sz w:val="20"/>
          <w:szCs w:val="20"/>
          <w:lang w:val="en-US"/>
        </w:rPr>
      </w:pPr>
      <w:proofErr w:type="gramStart"/>
      <w:r w:rsidRPr="00767A10">
        <w:rPr>
          <w:sz w:val="20"/>
          <w:szCs w:val="20"/>
          <w:lang w:val="en-US"/>
        </w:rPr>
        <w:t>allow</w:t>
      </w:r>
      <w:proofErr w:type="gramEnd"/>
      <w:r w:rsidRPr="00767A10">
        <w:rPr>
          <w:sz w:val="20"/>
          <w:szCs w:val="20"/>
          <w:lang w:val="en-US"/>
        </w:rPr>
        <w:t xml:space="preserve"> a qualified small business to elect to claim a certain amount of its research credit as a payroll tax credit against its employer FICA tax liability, rather than against its income tax liability.</w:t>
      </w:r>
    </w:p>
    <w:p w14:paraId="4F5ACF73" w14:textId="01C143BB" w:rsidR="00A758CB" w:rsidRPr="00767A10" w:rsidRDefault="00A758CB" w:rsidP="00D83FFD">
      <w:pPr>
        <w:pStyle w:val="Bodynoindent"/>
        <w:keepNext/>
        <w:keepLines/>
        <w:numPr>
          <w:ilvl w:val="0"/>
          <w:numId w:val="66"/>
        </w:numPr>
        <w:spacing w:before="200"/>
        <w:ind w:left="360"/>
        <w:rPr>
          <w:sz w:val="20"/>
          <w:szCs w:val="20"/>
        </w:rPr>
      </w:pPr>
      <w:r w:rsidRPr="00767A10">
        <w:rPr>
          <w:sz w:val="20"/>
          <w:szCs w:val="20"/>
        </w:rPr>
        <w:t>Work Opportunity Credit</w:t>
      </w:r>
      <w:r w:rsidR="00767A10" w:rsidRPr="00767A10">
        <w:rPr>
          <w:sz w:val="20"/>
          <w:szCs w:val="20"/>
          <w:lang w:val="en-US"/>
        </w:rPr>
        <w:t xml:space="preserve"> </w:t>
      </w:r>
      <w:r w:rsidR="00BA44E6">
        <w:rPr>
          <w:sz w:val="20"/>
          <w:szCs w:val="20"/>
          <w:lang w:val="en-US"/>
        </w:rPr>
        <w:t>[</w:t>
      </w:r>
      <w:r w:rsidRPr="00767A10">
        <w:rPr>
          <w:sz w:val="20"/>
          <w:szCs w:val="20"/>
        </w:rPr>
        <w:t>I.R.C. § 51; PATH Act § 142</w:t>
      </w:r>
      <w:r w:rsidR="00BA44E6">
        <w:rPr>
          <w:sz w:val="20"/>
          <w:szCs w:val="20"/>
          <w:lang w:val="en-US"/>
        </w:rPr>
        <w:t>]</w:t>
      </w:r>
    </w:p>
    <w:p w14:paraId="69D55EB8" w14:textId="77777777" w:rsidR="00A758CB" w:rsidRPr="00BA44E6" w:rsidRDefault="00A758CB" w:rsidP="00D83FFD">
      <w:pPr>
        <w:pStyle w:val="Body"/>
        <w:keepNext/>
        <w:keepLines/>
        <w:numPr>
          <w:ilvl w:val="0"/>
          <w:numId w:val="72"/>
        </w:numPr>
        <w:spacing w:before="200"/>
        <w:rPr>
          <w:sz w:val="20"/>
          <w:szCs w:val="20"/>
        </w:rPr>
      </w:pPr>
      <w:r w:rsidRPr="00BA44E6">
        <w:rPr>
          <w:sz w:val="20"/>
          <w:szCs w:val="20"/>
        </w:rPr>
        <w:t>Generally effective for individuals who begin work for the employer after December 31, 2014; the provision relating to wages paid to qualified long-term unemployment recipients is effective for individuals who begin work for the employer after December 31, 2015.</w:t>
      </w:r>
    </w:p>
    <w:p w14:paraId="325B078D" w14:textId="77777777" w:rsidR="00BA44E6" w:rsidRDefault="00A758CB" w:rsidP="00D83FFD">
      <w:pPr>
        <w:pStyle w:val="Body"/>
        <w:keepLines/>
        <w:numPr>
          <w:ilvl w:val="0"/>
          <w:numId w:val="72"/>
        </w:numPr>
        <w:spacing w:before="200"/>
        <w:rPr>
          <w:sz w:val="20"/>
          <w:szCs w:val="20"/>
        </w:rPr>
      </w:pPr>
      <w:r w:rsidRPr="00BA44E6">
        <w:rPr>
          <w:sz w:val="20"/>
          <w:szCs w:val="20"/>
        </w:rPr>
        <w:t>The PATH Act extends for 5 years the present-law employment credit provision (through tax years beginning on or before December 31, 2019).</w:t>
      </w:r>
    </w:p>
    <w:p w14:paraId="31DBD4FE" w14:textId="77777777" w:rsidR="00BA44E6" w:rsidRDefault="00A758CB" w:rsidP="00D83FFD">
      <w:pPr>
        <w:pStyle w:val="Body"/>
        <w:keepLines/>
        <w:numPr>
          <w:ilvl w:val="0"/>
          <w:numId w:val="72"/>
        </w:numPr>
        <w:spacing w:before="200"/>
        <w:rPr>
          <w:sz w:val="20"/>
          <w:szCs w:val="20"/>
        </w:rPr>
      </w:pPr>
      <w:r w:rsidRPr="00BA44E6">
        <w:rPr>
          <w:sz w:val="20"/>
          <w:szCs w:val="20"/>
        </w:rPr>
        <w:t>Additionally, the PATH Act expands the work opportunity tax credit to employers who hire individuals who are qualified long-term unemployment recipients.</w:t>
      </w:r>
    </w:p>
    <w:p w14:paraId="2D01DA72" w14:textId="77777777" w:rsidR="00BA44E6" w:rsidRDefault="00A758CB" w:rsidP="00D83FFD">
      <w:pPr>
        <w:pStyle w:val="Body"/>
        <w:keepLines/>
        <w:numPr>
          <w:ilvl w:val="1"/>
          <w:numId w:val="72"/>
        </w:numPr>
        <w:tabs>
          <w:tab w:val="left" w:pos="1080"/>
        </w:tabs>
        <w:spacing w:before="200"/>
        <w:ind w:left="1080"/>
        <w:rPr>
          <w:sz w:val="20"/>
          <w:szCs w:val="20"/>
        </w:rPr>
      </w:pPr>
      <w:r w:rsidRPr="00BA44E6">
        <w:rPr>
          <w:sz w:val="20"/>
          <w:szCs w:val="20"/>
        </w:rPr>
        <w:lastRenderedPageBreak/>
        <w:t>For purposes of the provision, such persons are individuals who have been certified by the designated local agency as being in a period of unemployment of 27 weeks or more, which includes a period in which the individual was receiving unemployment compensation under state or federal law.</w:t>
      </w:r>
    </w:p>
    <w:p w14:paraId="3BED3CAD" w14:textId="1E8E467A" w:rsidR="00A758CB" w:rsidRPr="00BA44E6" w:rsidRDefault="00A758CB" w:rsidP="00D83FFD">
      <w:pPr>
        <w:pStyle w:val="Body"/>
        <w:keepLines/>
        <w:numPr>
          <w:ilvl w:val="1"/>
          <w:numId w:val="72"/>
        </w:numPr>
        <w:tabs>
          <w:tab w:val="left" w:pos="1080"/>
        </w:tabs>
        <w:spacing w:before="200"/>
        <w:ind w:left="1080"/>
        <w:rPr>
          <w:sz w:val="20"/>
          <w:szCs w:val="20"/>
        </w:rPr>
      </w:pPr>
      <w:r w:rsidRPr="00BA44E6">
        <w:rPr>
          <w:sz w:val="20"/>
          <w:szCs w:val="20"/>
        </w:rPr>
        <w:t>With respect to wages paid to such individuals, employers would be eligible for a 40% credit on the first $6,000 of wages paid to such individual, for a maximum credit of $2,400 per eligible employee.</w:t>
      </w:r>
    </w:p>
    <w:p w14:paraId="2DC4578C" w14:textId="29EA30B7" w:rsidR="00A758CB" w:rsidRPr="00BE36A7" w:rsidRDefault="00A758CB" w:rsidP="00D83FFD">
      <w:pPr>
        <w:pStyle w:val="Bodynoindent"/>
        <w:keepLines/>
        <w:numPr>
          <w:ilvl w:val="0"/>
          <w:numId w:val="66"/>
        </w:numPr>
        <w:spacing w:before="200"/>
        <w:ind w:left="360"/>
        <w:rPr>
          <w:sz w:val="20"/>
          <w:szCs w:val="20"/>
        </w:rPr>
      </w:pPr>
      <w:r w:rsidRPr="00BE36A7">
        <w:rPr>
          <w:sz w:val="20"/>
          <w:szCs w:val="20"/>
        </w:rPr>
        <w:t>Reservist Pay Credit</w:t>
      </w:r>
      <w:r w:rsidR="00BE36A7" w:rsidRPr="00BE36A7">
        <w:rPr>
          <w:sz w:val="20"/>
          <w:szCs w:val="20"/>
          <w:lang w:val="en-US"/>
        </w:rPr>
        <w:t xml:space="preserve"> </w:t>
      </w:r>
      <w:r w:rsidR="00BE36A7">
        <w:rPr>
          <w:sz w:val="20"/>
          <w:szCs w:val="20"/>
          <w:lang w:val="en-US"/>
        </w:rPr>
        <w:t>[</w:t>
      </w:r>
      <w:r w:rsidRPr="00BE36A7">
        <w:rPr>
          <w:sz w:val="20"/>
          <w:szCs w:val="20"/>
        </w:rPr>
        <w:t>I.R.C. § 45P; PATH Act § 122</w:t>
      </w:r>
      <w:r w:rsidR="00BE36A7">
        <w:rPr>
          <w:sz w:val="20"/>
          <w:szCs w:val="20"/>
          <w:lang w:val="en-US"/>
        </w:rPr>
        <w:t>]</w:t>
      </w:r>
    </w:p>
    <w:p w14:paraId="605F50AD" w14:textId="77777777" w:rsidR="00A758CB" w:rsidRPr="00BE36A7" w:rsidRDefault="00A758CB" w:rsidP="00D83FFD">
      <w:pPr>
        <w:pStyle w:val="Body"/>
        <w:keepLines/>
        <w:numPr>
          <w:ilvl w:val="0"/>
          <w:numId w:val="73"/>
        </w:numPr>
        <w:spacing w:before="200"/>
        <w:rPr>
          <w:sz w:val="20"/>
          <w:szCs w:val="20"/>
        </w:rPr>
      </w:pPr>
      <w:r w:rsidRPr="00BE36A7">
        <w:rPr>
          <w:sz w:val="20"/>
          <w:szCs w:val="20"/>
        </w:rPr>
        <w:t>Generally effective after December 31, 2014; the provision making the credit available to employers of any size applies to tax years beginning after December 31, 2015.</w:t>
      </w:r>
    </w:p>
    <w:p w14:paraId="75E828AE" w14:textId="77777777" w:rsidR="00A758CB" w:rsidRPr="00BE36A7" w:rsidRDefault="00A758CB" w:rsidP="00D83FFD">
      <w:pPr>
        <w:pStyle w:val="Body"/>
        <w:keepLines/>
        <w:numPr>
          <w:ilvl w:val="0"/>
          <w:numId w:val="73"/>
        </w:numPr>
        <w:spacing w:before="200"/>
        <w:rPr>
          <w:sz w:val="20"/>
          <w:szCs w:val="20"/>
        </w:rPr>
      </w:pPr>
      <w:r w:rsidRPr="00BE36A7">
        <w:rPr>
          <w:sz w:val="20"/>
          <w:szCs w:val="20"/>
        </w:rPr>
        <w:t>Employers who make differential wage payments may take a 20% credit for those payments. Differential payments compensate reservists called to active duty for all or part of the difference between their private-sector wages and their earnings from the U.S. military.</w:t>
      </w:r>
    </w:p>
    <w:p w14:paraId="3B38BB9E" w14:textId="77777777" w:rsidR="00BE36A7" w:rsidRDefault="00A758CB" w:rsidP="00D83FFD">
      <w:pPr>
        <w:pStyle w:val="Body"/>
        <w:keepLines/>
        <w:numPr>
          <w:ilvl w:val="0"/>
          <w:numId w:val="73"/>
        </w:numPr>
        <w:spacing w:before="200"/>
        <w:rPr>
          <w:sz w:val="20"/>
          <w:szCs w:val="20"/>
        </w:rPr>
      </w:pPr>
      <w:r w:rsidRPr="00BE36A7">
        <w:rPr>
          <w:sz w:val="20"/>
          <w:szCs w:val="20"/>
        </w:rPr>
        <w:t>The PATH Act reinstates the 20% credit for 2015 and makes it permanent.</w:t>
      </w:r>
    </w:p>
    <w:p w14:paraId="666D8E26" w14:textId="6178CA01" w:rsidR="00A758CB" w:rsidRPr="00BE36A7" w:rsidRDefault="00A758CB" w:rsidP="00D83FFD">
      <w:pPr>
        <w:pStyle w:val="Body"/>
        <w:keepLines/>
        <w:numPr>
          <w:ilvl w:val="0"/>
          <w:numId w:val="73"/>
        </w:numPr>
        <w:spacing w:before="200"/>
        <w:rPr>
          <w:sz w:val="20"/>
          <w:szCs w:val="20"/>
        </w:rPr>
      </w:pPr>
      <w:r w:rsidRPr="00BE36A7">
        <w:rPr>
          <w:sz w:val="20"/>
          <w:szCs w:val="20"/>
        </w:rPr>
        <w:t xml:space="preserve">It also permanently modifies the credit by making it available to an employer of any size, rather than only to eligible small business employers. </w:t>
      </w:r>
    </w:p>
    <w:p w14:paraId="750D5E31" w14:textId="7438556F" w:rsidR="00A758CB" w:rsidRPr="00BE36A7" w:rsidRDefault="00A758CB" w:rsidP="00D83FFD">
      <w:pPr>
        <w:pStyle w:val="Bodynoindent"/>
        <w:keepLines/>
        <w:numPr>
          <w:ilvl w:val="0"/>
          <w:numId w:val="66"/>
        </w:numPr>
        <w:spacing w:before="200"/>
        <w:ind w:left="360"/>
        <w:rPr>
          <w:sz w:val="20"/>
          <w:szCs w:val="20"/>
        </w:rPr>
      </w:pPr>
      <w:r w:rsidRPr="00BE36A7">
        <w:rPr>
          <w:sz w:val="20"/>
          <w:szCs w:val="20"/>
        </w:rPr>
        <w:t>Business Energy Credits</w:t>
      </w:r>
      <w:r w:rsidR="00BE36A7" w:rsidRPr="00BE36A7">
        <w:rPr>
          <w:sz w:val="20"/>
          <w:szCs w:val="20"/>
          <w:lang w:val="en-US"/>
        </w:rPr>
        <w:t xml:space="preserve"> </w:t>
      </w:r>
      <w:r w:rsidR="00BE36A7">
        <w:rPr>
          <w:sz w:val="20"/>
          <w:szCs w:val="20"/>
          <w:lang w:val="en-US"/>
        </w:rPr>
        <w:t>[</w:t>
      </w:r>
      <w:r w:rsidRPr="00BE36A7">
        <w:rPr>
          <w:sz w:val="20"/>
          <w:szCs w:val="20"/>
        </w:rPr>
        <w:t>I.R.C. §§ 40, 40A, 45, 45L, 48, 6426, and 6427; PATH Act §§ 184, 185, 186, 187, 188, and 192</w:t>
      </w:r>
      <w:r w:rsidR="00BE36A7">
        <w:rPr>
          <w:sz w:val="20"/>
          <w:szCs w:val="20"/>
          <w:lang w:val="en-US"/>
        </w:rPr>
        <w:t>]</w:t>
      </w:r>
    </w:p>
    <w:p w14:paraId="1CE37491" w14:textId="77777777" w:rsidR="00A758CB" w:rsidRPr="00BE36A7" w:rsidRDefault="00A758CB" w:rsidP="00D83FFD">
      <w:pPr>
        <w:pStyle w:val="Body"/>
        <w:keepLines/>
        <w:numPr>
          <w:ilvl w:val="0"/>
          <w:numId w:val="74"/>
        </w:numPr>
        <w:spacing w:before="200"/>
        <w:rPr>
          <w:sz w:val="20"/>
          <w:szCs w:val="20"/>
        </w:rPr>
      </w:pPr>
      <w:r w:rsidRPr="00BE36A7">
        <w:rPr>
          <w:sz w:val="20"/>
          <w:szCs w:val="20"/>
        </w:rPr>
        <w:t>Generally effective for tax years beginning after December 31, 2014</w:t>
      </w:r>
    </w:p>
    <w:p w14:paraId="3992FA4F" w14:textId="77777777" w:rsidR="00A758CB" w:rsidRPr="00BE36A7" w:rsidRDefault="00A758CB" w:rsidP="00D83FFD">
      <w:pPr>
        <w:pStyle w:val="Body"/>
        <w:keepLines/>
        <w:numPr>
          <w:ilvl w:val="0"/>
          <w:numId w:val="74"/>
        </w:numPr>
        <w:spacing w:before="200"/>
        <w:rPr>
          <w:sz w:val="20"/>
          <w:szCs w:val="20"/>
        </w:rPr>
      </w:pPr>
      <w:r w:rsidRPr="00BE36A7">
        <w:rPr>
          <w:sz w:val="20"/>
          <w:szCs w:val="20"/>
        </w:rPr>
        <w:t>The extensions through 2016 include the following business energy credits:</w:t>
      </w:r>
    </w:p>
    <w:p w14:paraId="569969F6"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 xml:space="preserve">Production of cellulosic biofuel (with cultivated algae, cyanobacteria, and </w:t>
      </w:r>
      <w:proofErr w:type="spellStart"/>
      <w:r w:rsidRPr="00BE36A7">
        <w:rPr>
          <w:sz w:val="20"/>
          <w:szCs w:val="20"/>
        </w:rPr>
        <w:t>lemna</w:t>
      </w:r>
      <w:proofErr w:type="spellEnd"/>
      <w:r w:rsidRPr="00BE36A7">
        <w:rPr>
          <w:sz w:val="20"/>
          <w:szCs w:val="20"/>
        </w:rPr>
        <w:t xml:space="preserve"> added as qualifying feedstocks)</w:t>
      </w:r>
    </w:p>
    <w:p w14:paraId="5682E439"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Production of biodiesel and renewable biodiesel (excise and income tax credits)</w:t>
      </w:r>
    </w:p>
    <w:p w14:paraId="767A4116"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Production of electricity from Indian coal and from renewable resources (with some modifications, including the exclusion of paper that is segregated for recycling)</w:t>
      </w:r>
    </w:p>
    <w:p w14:paraId="4B1FD5CA"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Construction or production of energy-efficient homes (with updated construction standards)</w:t>
      </w:r>
    </w:p>
    <w:p w14:paraId="1F597655"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Manufacture of energy-efficient appliances</w:t>
      </w:r>
    </w:p>
    <w:p w14:paraId="461D6D73" w14:textId="77777777" w:rsidR="00A758CB" w:rsidRPr="00BE36A7" w:rsidRDefault="00A758CB" w:rsidP="00D83FFD">
      <w:pPr>
        <w:pStyle w:val="Body"/>
        <w:keepLines/>
        <w:numPr>
          <w:ilvl w:val="1"/>
          <w:numId w:val="75"/>
        </w:numPr>
        <w:tabs>
          <w:tab w:val="left" w:pos="1080"/>
        </w:tabs>
        <w:spacing w:before="200"/>
        <w:ind w:left="1080"/>
        <w:rPr>
          <w:sz w:val="20"/>
          <w:szCs w:val="20"/>
        </w:rPr>
      </w:pPr>
      <w:r w:rsidRPr="00BE36A7">
        <w:rPr>
          <w:sz w:val="20"/>
          <w:szCs w:val="20"/>
        </w:rPr>
        <w:t>Production of alternative fuels and alternative fuel mixtures (excise tax credit)</w:t>
      </w:r>
    </w:p>
    <w:p w14:paraId="14441F3C" w14:textId="77777777" w:rsidR="00A758CB" w:rsidRPr="00E0300B" w:rsidRDefault="00A758CB" w:rsidP="00D83FFD">
      <w:pPr>
        <w:pStyle w:val="Bodynoindent"/>
        <w:keepLines/>
        <w:numPr>
          <w:ilvl w:val="0"/>
          <w:numId w:val="66"/>
        </w:numPr>
        <w:spacing w:before="200"/>
        <w:ind w:left="360"/>
        <w:rPr>
          <w:sz w:val="20"/>
          <w:szCs w:val="20"/>
        </w:rPr>
      </w:pPr>
      <w:r w:rsidRPr="00E0300B">
        <w:rPr>
          <w:sz w:val="20"/>
          <w:szCs w:val="20"/>
        </w:rPr>
        <w:t>Other Credits</w:t>
      </w:r>
    </w:p>
    <w:p w14:paraId="7BD3DDC9" w14:textId="6D2D85D9" w:rsidR="00A758CB" w:rsidRPr="00E0300B" w:rsidRDefault="00A758CB" w:rsidP="00D83FFD">
      <w:pPr>
        <w:pStyle w:val="Body"/>
        <w:keepLines/>
        <w:numPr>
          <w:ilvl w:val="0"/>
          <w:numId w:val="76"/>
        </w:numPr>
        <w:spacing w:before="200"/>
        <w:rPr>
          <w:sz w:val="20"/>
          <w:szCs w:val="20"/>
        </w:rPr>
      </w:pPr>
      <w:r w:rsidRPr="00E0300B">
        <w:rPr>
          <w:sz w:val="20"/>
          <w:szCs w:val="20"/>
        </w:rPr>
        <w:t>Low-Income Housing</w:t>
      </w:r>
      <w:r w:rsidR="00E0300B" w:rsidRPr="00E0300B">
        <w:rPr>
          <w:sz w:val="20"/>
          <w:szCs w:val="20"/>
          <w:lang w:val="en-US"/>
        </w:rPr>
        <w:t xml:space="preserve"> </w:t>
      </w:r>
      <w:r w:rsidR="00E0300B">
        <w:rPr>
          <w:sz w:val="20"/>
          <w:szCs w:val="20"/>
          <w:lang w:val="en-US"/>
        </w:rPr>
        <w:t>[</w:t>
      </w:r>
      <w:r w:rsidRPr="00E0300B">
        <w:rPr>
          <w:sz w:val="20"/>
          <w:szCs w:val="20"/>
        </w:rPr>
        <w:t>I.R.C. § 42; PATH Act § 131</w:t>
      </w:r>
    </w:p>
    <w:p w14:paraId="09F06455" w14:textId="77777777" w:rsidR="00A758CB" w:rsidRPr="00E0300B" w:rsidRDefault="00A758CB" w:rsidP="00D83FFD">
      <w:pPr>
        <w:pStyle w:val="Body"/>
        <w:keepLines/>
        <w:numPr>
          <w:ilvl w:val="1"/>
          <w:numId w:val="77"/>
        </w:numPr>
        <w:tabs>
          <w:tab w:val="left" w:pos="1080"/>
        </w:tabs>
        <w:spacing w:before="200"/>
        <w:ind w:left="1080"/>
        <w:rPr>
          <w:sz w:val="20"/>
          <w:szCs w:val="20"/>
        </w:rPr>
      </w:pPr>
      <w:r w:rsidRPr="00E0300B">
        <w:rPr>
          <w:sz w:val="20"/>
          <w:szCs w:val="20"/>
        </w:rPr>
        <w:t>Effective on January 1, 2015</w:t>
      </w:r>
    </w:p>
    <w:p w14:paraId="6645C21B" w14:textId="77777777" w:rsidR="00A758CB" w:rsidRPr="00E0300B" w:rsidRDefault="00A758CB" w:rsidP="00D83FFD">
      <w:pPr>
        <w:pStyle w:val="Body"/>
        <w:keepLines/>
        <w:numPr>
          <w:ilvl w:val="1"/>
          <w:numId w:val="77"/>
        </w:numPr>
        <w:tabs>
          <w:tab w:val="left" w:pos="1080"/>
        </w:tabs>
        <w:spacing w:before="200"/>
        <w:ind w:left="1080"/>
        <w:rPr>
          <w:sz w:val="20"/>
          <w:szCs w:val="20"/>
        </w:rPr>
      </w:pPr>
      <w:r w:rsidRPr="00E0300B">
        <w:rPr>
          <w:sz w:val="20"/>
          <w:szCs w:val="20"/>
        </w:rPr>
        <w:t>The PATH Act makes permanent the 9% minimum applicable percentage for newly constructed non-Federally subsidized buildings.</w:t>
      </w:r>
    </w:p>
    <w:p w14:paraId="7F377E9A" w14:textId="5F36C026" w:rsidR="00A758CB" w:rsidRPr="00E0300B" w:rsidRDefault="00A758CB" w:rsidP="00D83FFD">
      <w:pPr>
        <w:pStyle w:val="Body"/>
        <w:keepLines/>
        <w:numPr>
          <w:ilvl w:val="0"/>
          <w:numId w:val="76"/>
        </w:numPr>
        <w:spacing w:before="200"/>
        <w:rPr>
          <w:sz w:val="20"/>
          <w:szCs w:val="20"/>
        </w:rPr>
      </w:pPr>
      <w:r w:rsidRPr="00E0300B">
        <w:rPr>
          <w:sz w:val="20"/>
          <w:szCs w:val="20"/>
        </w:rPr>
        <w:t>Exclusion of Military Housing Allowance for Low-income Housing Allowance</w:t>
      </w:r>
      <w:r w:rsidR="00E0300B" w:rsidRPr="00E0300B">
        <w:rPr>
          <w:sz w:val="20"/>
          <w:szCs w:val="20"/>
          <w:lang w:val="en-US"/>
        </w:rPr>
        <w:t xml:space="preserve"> </w:t>
      </w:r>
      <w:r w:rsidR="00E0300B">
        <w:rPr>
          <w:sz w:val="20"/>
          <w:szCs w:val="20"/>
          <w:lang w:val="en-US"/>
        </w:rPr>
        <w:t>[</w:t>
      </w:r>
      <w:r w:rsidRPr="00E0300B">
        <w:rPr>
          <w:sz w:val="20"/>
          <w:szCs w:val="20"/>
        </w:rPr>
        <w:t>I.R.C. § 42(d); PATH Act § 132</w:t>
      </w:r>
      <w:r w:rsidR="00E0300B">
        <w:rPr>
          <w:sz w:val="20"/>
          <w:szCs w:val="20"/>
          <w:lang w:val="en-US"/>
        </w:rPr>
        <w:t>]</w:t>
      </w:r>
    </w:p>
    <w:p w14:paraId="0F00C34C" w14:textId="77777777" w:rsidR="00A758CB" w:rsidRPr="00E0300B" w:rsidRDefault="00A758CB" w:rsidP="00D83FFD">
      <w:pPr>
        <w:pStyle w:val="Body"/>
        <w:keepLines/>
        <w:numPr>
          <w:ilvl w:val="1"/>
          <w:numId w:val="78"/>
        </w:numPr>
        <w:tabs>
          <w:tab w:val="left" w:pos="1080"/>
        </w:tabs>
        <w:spacing w:before="200"/>
        <w:ind w:left="1080"/>
        <w:rPr>
          <w:sz w:val="20"/>
          <w:szCs w:val="20"/>
        </w:rPr>
      </w:pPr>
      <w:r w:rsidRPr="00E0300B">
        <w:rPr>
          <w:sz w:val="20"/>
          <w:szCs w:val="20"/>
        </w:rPr>
        <w:t>Effective as if included in the enactment of § 3005 of the Housing Assistance Tax Act of 2008</w:t>
      </w:r>
    </w:p>
    <w:p w14:paraId="2B50FD13" w14:textId="77777777" w:rsidR="00A758CB" w:rsidRPr="00E0300B" w:rsidRDefault="00A758CB" w:rsidP="00D83FFD">
      <w:pPr>
        <w:pStyle w:val="Body"/>
        <w:keepLines/>
        <w:numPr>
          <w:ilvl w:val="1"/>
          <w:numId w:val="78"/>
        </w:numPr>
        <w:tabs>
          <w:tab w:val="left" w:pos="1080"/>
        </w:tabs>
        <w:spacing w:before="200"/>
        <w:ind w:left="1080"/>
        <w:rPr>
          <w:sz w:val="20"/>
          <w:szCs w:val="20"/>
        </w:rPr>
      </w:pPr>
      <w:r w:rsidRPr="00E0300B">
        <w:rPr>
          <w:sz w:val="20"/>
          <w:szCs w:val="20"/>
        </w:rPr>
        <w:lastRenderedPageBreak/>
        <w:t>The PATH Act makes permanent the special rule that the military basic housing allowance is not included in income for purposes of the low-income housing credit income eligibility rules.</w:t>
      </w:r>
    </w:p>
    <w:p w14:paraId="2A015D3D" w14:textId="5EF83CBC" w:rsidR="00A758CB" w:rsidRPr="00E0300B" w:rsidRDefault="00A758CB" w:rsidP="00D83FFD">
      <w:pPr>
        <w:pStyle w:val="Body"/>
        <w:keepNext/>
        <w:keepLines/>
        <w:numPr>
          <w:ilvl w:val="0"/>
          <w:numId w:val="76"/>
        </w:numPr>
        <w:spacing w:before="200"/>
        <w:rPr>
          <w:sz w:val="20"/>
          <w:szCs w:val="20"/>
        </w:rPr>
      </w:pPr>
      <w:r w:rsidRPr="00E0300B">
        <w:rPr>
          <w:sz w:val="20"/>
          <w:szCs w:val="20"/>
        </w:rPr>
        <w:t>Indian Employment Credit</w:t>
      </w:r>
      <w:r w:rsidR="00E0300B" w:rsidRPr="00E0300B">
        <w:rPr>
          <w:sz w:val="20"/>
          <w:szCs w:val="20"/>
          <w:lang w:val="en-US"/>
        </w:rPr>
        <w:t xml:space="preserve"> [</w:t>
      </w:r>
      <w:r w:rsidRPr="00E0300B">
        <w:rPr>
          <w:sz w:val="20"/>
          <w:szCs w:val="20"/>
        </w:rPr>
        <w:t>I.R.C. § 45A; PATH Act § 161</w:t>
      </w:r>
      <w:r w:rsidR="00E0300B">
        <w:rPr>
          <w:sz w:val="20"/>
          <w:szCs w:val="20"/>
          <w:lang w:val="en-US"/>
        </w:rPr>
        <w:t>]</w:t>
      </w:r>
    </w:p>
    <w:p w14:paraId="1162C5BB" w14:textId="77777777" w:rsidR="00A758CB" w:rsidRPr="00E0300B" w:rsidRDefault="00A758CB" w:rsidP="00D83FFD">
      <w:pPr>
        <w:pStyle w:val="Body"/>
        <w:keepNext/>
        <w:keepLines/>
        <w:numPr>
          <w:ilvl w:val="1"/>
          <w:numId w:val="79"/>
        </w:numPr>
        <w:tabs>
          <w:tab w:val="left" w:pos="1080"/>
        </w:tabs>
        <w:spacing w:before="200"/>
        <w:ind w:left="1080"/>
        <w:rPr>
          <w:sz w:val="20"/>
          <w:szCs w:val="20"/>
        </w:rPr>
      </w:pPr>
      <w:r w:rsidRPr="00E0300B">
        <w:rPr>
          <w:sz w:val="20"/>
          <w:szCs w:val="20"/>
        </w:rPr>
        <w:t>Effective for tax years beginning after December 31, 2014</w:t>
      </w:r>
    </w:p>
    <w:p w14:paraId="656EBAEC" w14:textId="77777777" w:rsidR="00E0300B" w:rsidRDefault="00A758CB" w:rsidP="00D83FFD">
      <w:pPr>
        <w:pStyle w:val="Body"/>
        <w:keepNext/>
        <w:keepLines/>
        <w:numPr>
          <w:ilvl w:val="1"/>
          <w:numId w:val="79"/>
        </w:numPr>
        <w:tabs>
          <w:tab w:val="left" w:pos="1080"/>
        </w:tabs>
        <w:spacing w:before="200"/>
        <w:ind w:left="1080"/>
        <w:rPr>
          <w:sz w:val="20"/>
          <w:szCs w:val="20"/>
        </w:rPr>
      </w:pPr>
      <w:r w:rsidRPr="00E0300B">
        <w:rPr>
          <w:sz w:val="20"/>
          <w:szCs w:val="20"/>
        </w:rPr>
        <w:t>The Indian employment credit is available to businesses located on Indian reservations that hire unrelated members of the tribe who live on or near the reservation and perform services at the business on the reservation.</w:t>
      </w:r>
    </w:p>
    <w:p w14:paraId="0FA0C3BC" w14:textId="2EAB26B1" w:rsidR="00A758CB" w:rsidRPr="00E0300B" w:rsidRDefault="00A758CB" w:rsidP="00D83FFD">
      <w:pPr>
        <w:pStyle w:val="Body"/>
        <w:keepLines/>
        <w:numPr>
          <w:ilvl w:val="1"/>
          <w:numId w:val="79"/>
        </w:numPr>
        <w:tabs>
          <w:tab w:val="left" w:pos="1080"/>
        </w:tabs>
        <w:spacing w:before="200"/>
        <w:ind w:left="1080"/>
        <w:rPr>
          <w:sz w:val="20"/>
          <w:szCs w:val="20"/>
        </w:rPr>
      </w:pPr>
      <w:r w:rsidRPr="00E0300B">
        <w:rPr>
          <w:sz w:val="20"/>
          <w:szCs w:val="20"/>
        </w:rPr>
        <w:t>The PATH Act extends the credit for 2 years (through tax years beginning on or before December 31, 2016).</w:t>
      </w:r>
    </w:p>
    <w:p w14:paraId="2E7BA5B0" w14:textId="77777777" w:rsidR="00A758CB" w:rsidRPr="00E0300B" w:rsidRDefault="00A758CB" w:rsidP="00D83FFD">
      <w:pPr>
        <w:pStyle w:val="ListParagraph"/>
        <w:keepNext/>
        <w:keepLines/>
        <w:widowControl w:val="0"/>
        <w:numPr>
          <w:ilvl w:val="0"/>
          <w:numId w:val="25"/>
        </w:numPr>
        <w:tabs>
          <w:tab w:val="decimal" w:pos="180"/>
        </w:tabs>
        <w:spacing w:before="200"/>
        <w:ind w:left="0" w:hanging="274"/>
        <w:contextualSpacing w:val="0"/>
        <w:jc w:val="both"/>
        <w:rPr>
          <w:rFonts w:ascii="Times New Roman" w:hAnsi="Times New Roman"/>
          <w:b/>
          <w:sz w:val="20"/>
          <w:szCs w:val="20"/>
        </w:rPr>
      </w:pPr>
      <w:r w:rsidRPr="00E0300B">
        <w:rPr>
          <w:rFonts w:ascii="Times New Roman" w:hAnsi="Times New Roman"/>
          <w:b/>
          <w:sz w:val="20"/>
          <w:szCs w:val="20"/>
        </w:rPr>
        <w:t>Table of Expiration Dates</w:t>
      </w:r>
    </w:p>
    <w:p w14:paraId="5890284D" w14:textId="77777777" w:rsidR="00A758CB" w:rsidRPr="00E0300B" w:rsidRDefault="00A758CB" w:rsidP="00D83FFD">
      <w:pPr>
        <w:pStyle w:val="Bodynoindent"/>
        <w:keepLines/>
        <w:numPr>
          <w:ilvl w:val="0"/>
          <w:numId w:val="80"/>
        </w:numPr>
        <w:spacing w:before="200"/>
        <w:ind w:left="360"/>
        <w:rPr>
          <w:sz w:val="20"/>
          <w:szCs w:val="20"/>
        </w:rPr>
      </w:pPr>
      <w:r w:rsidRPr="00E0300B">
        <w:rPr>
          <w:sz w:val="20"/>
          <w:szCs w:val="20"/>
        </w:rPr>
        <w:t>Several provisions in the Internal Revenue Code were previously subject to a sunset date. Legislation has extended some of those sunset dates and made some of those provisions permanent.</w:t>
      </w:r>
    </w:p>
    <w:p w14:paraId="2D670A3C" w14:textId="5B94B906" w:rsidR="00A758CB" w:rsidRPr="00E0300B" w:rsidRDefault="00A758CB" w:rsidP="00D83FFD">
      <w:pPr>
        <w:pStyle w:val="Bodynoindent"/>
        <w:keepLines/>
        <w:numPr>
          <w:ilvl w:val="0"/>
          <w:numId w:val="80"/>
        </w:numPr>
        <w:spacing w:before="200"/>
        <w:ind w:left="360"/>
        <w:rPr>
          <w:sz w:val="20"/>
          <w:szCs w:val="20"/>
        </w:rPr>
      </w:pPr>
      <w:r w:rsidRPr="00E0300B">
        <w:rPr>
          <w:sz w:val="20"/>
          <w:szCs w:val="20"/>
        </w:rPr>
        <w:t xml:space="preserve">The first column of Figure </w:t>
      </w:r>
      <w:r w:rsidR="00E24EC1">
        <w:rPr>
          <w:sz w:val="20"/>
          <w:szCs w:val="20"/>
          <w:lang w:val="en-US"/>
        </w:rPr>
        <w:t>7</w:t>
      </w:r>
      <w:r w:rsidRPr="00E0300B">
        <w:rPr>
          <w:sz w:val="20"/>
          <w:szCs w:val="20"/>
        </w:rPr>
        <w:t xml:space="preserve"> lists the Internal Revenue Code section for each provision, in numerical order. The second column reports the section of the PATH Act or CCA of 2016 that extended the provision. The third column briefly describes the provision. The last column reports the date the provision expired or will expire or “None” if there is no sunset date.</w:t>
      </w:r>
    </w:p>
    <w:p w14:paraId="650067BA" w14:textId="16FF4A99" w:rsidR="00A758CB" w:rsidRPr="00E0300B" w:rsidRDefault="00A758CB" w:rsidP="00A758CB">
      <w:pPr>
        <w:pStyle w:val="FigNumber"/>
        <w:rPr>
          <w:sz w:val="20"/>
          <w:szCs w:val="20"/>
        </w:rPr>
      </w:pPr>
      <w:r w:rsidRPr="00E0300B">
        <w:rPr>
          <w:sz w:val="20"/>
          <w:szCs w:val="20"/>
        </w:rPr>
        <w:t xml:space="preserve">FIGURE </w:t>
      </w:r>
      <w:r w:rsidR="00E24EC1">
        <w:rPr>
          <w:sz w:val="20"/>
          <w:szCs w:val="20"/>
          <w:lang w:val="en-US"/>
        </w:rPr>
        <w:t>7</w:t>
      </w:r>
      <w:r w:rsidR="00B576ED" w:rsidRPr="00E0300B">
        <w:rPr>
          <w:sz w:val="20"/>
          <w:szCs w:val="20"/>
          <w:lang w:val="en-US"/>
        </w:rPr>
        <w:t>.</w:t>
      </w:r>
      <w:r w:rsidRPr="00E0300B">
        <w:rPr>
          <w:sz w:val="20"/>
          <w:szCs w:val="20"/>
        </w:rPr>
        <w:t xml:space="preserve"> Expiration Dates of Tax </w:t>
      </w:r>
      <w:r w:rsidRPr="00E0300B">
        <w:rPr>
          <w:bCs/>
          <w:sz w:val="20"/>
          <w:szCs w:val="20"/>
        </w:rPr>
        <w:t xml:space="preserve">Provisions </w:t>
      </w:r>
    </w:p>
    <w:tbl>
      <w:tblPr>
        <w:tblW w:w="8688" w:type="dxa"/>
        <w:tblInd w:w="-7" w:type="dxa"/>
        <w:tblLayout w:type="fixed"/>
        <w:tblLook w:val="0480" w:firstRow="0" w:lastRow="0" w:firstColumn="1" w:lastColumn="0" w:noHBand="0" w:noVBand="1"/>
      </w:tblPr>
      <w:tblGrid>
        <w:gridCol w:w="1267"/>
        <w:gridCol w:w="1350"/>
        <w:gridCol w:w="1578"/>
        <w:gridCol w:w="3282"/>
        <w:gridCol w:w="1204"/>
        <w:gridCol w:w="7"/>
      </w:tblGrid>
      <w:tr w:rsidR="00A758CB" w:rsidRPr="00E0300B" w14:paraId="3074AE37" w14:textId="77777777" w:rsidTr="00A758CB">
        <w:tc>
          <w:tcPr>
            <w:tcW w:w="1267" w:type="dxa"/>
            <w:tcBorders>
              <w:top w:val="single" w:sz="12" w:space="0" w:color="auto"/>
              <w:bottom w:val="single" w:sz="4" w:space="0" w:color="auto"/>
            </w:tcBorders>
            <w:shd w:val="clear" w:color="auto" w:fill="auto"/>
            <w:vAlign w:val="bottom"/>
          </w:tcPr>
          <w:p w14:paraId="5B9832CB" w14:textId="77777777" w:rsidR="00A758CB" w:rsidRPr="00E0300B" w:rsidRDefault="00A758CB" w:rsidP="00A758CB">
            <w:pPr>
              <w:keepNext/>
              <w:keepLines/>
              <w:spacing w:before="120"/>
              <w:jc w:val="center"/>
              <w:rPr>
                <w:rFonts w:ascii="Arial Narrow" w:hAnsi="Arial Narrow"/>
                <w:b/>
                <w:sz w:val="20"/>
                <w:szCs w:val="20"/>
              </w:rPr>
            </w:pPr>
            <w:r w:rsidRPr="00E0300B">
              <w:rPr>
                <w:rFonts w:ascii="Arial Narrow" w:hAnsi="Arial Narrow"/>
                <w:b/>
                <w:sz w:val="20"/>
                <w:szCs w:val="20"/>
              </w:rPr>
              <w:t>I.R.C. Section</w:t>
            </w:r>
          </w:p>
        </w:tc>
        <w:tc>
          <w:tcPr>
            <w:tcW w:w="1350" w:type="dxa"/>
            <w:tcBorders>
              <w:top w:val="single" w:sz="12" w:space="0" w:color="auto"/>
              <w:bottom w:val="single" w:sz="4" w:space="0" w:color="auto"/>
            </w:tcBorders>
            <w:vAlign w:val="bottom"/>
          </w:tcPr>
          <w:p w14:paraId="78E188FC" w14:textId="77777777" w:rsidR="00A758CB" w:rsidRPr="00E0300B" w:rsidRDefault="00A758CB" w:rsidP="00A758CB">
            <w:pPr>
              <w:spacing w:before="120"/>
              <w:jc w:val="center"/>
              <w:rPr>
                <w:rFonts w:ascii="Arial Narrow" w:hAnsi="Arial Narrow"/>
                <w:b/>
                <w:sz w:val="20"/>
                <w:szCs w:val="20"/>
              </w:rPr>
            </w:pPr>
            <w:r w:rsidRPr="00E0300B">
              <w:rPr>
                <w:rFonts w:ascii="Arial Narrow" w:hAnsi="Arial Narrow"/>
                <w:b/>
                <w:sz w:val="20"/>
                <w:szCs w:val="20"/>
              </w:rPr>
              <w:t xml:space="preserve">Act </w:t>
            </w:r>
            <w:r w:rsidRPr="00E0300B">
              <w:rPr>
                <w:b/>
                <w:sz w:val="20"/>
                <w:szCs w:val="20"/>
              </w:rPr>
              <w:t>§</w:t>
            </w:r>
          </w:p>
        </w:tc>
        <w:tc>
          <w:tcPr>
            <w:tcW w:w="4860" w:type="dxa"/>
            <w:gridSpan w:val="2"/>
            <w:tcBorders>
              <w:top w:val="single" w:sz="12" w:space="0" w:color="auto"/>
              <w:bottom w:val="single" w:sz="4" w:space="0" w:color="auto"/>
            </w:tcBorders>
            <w:shd w:val="clear" w:color="auto" w:fill="auto"/>
            <w:vAlign w:val="bottom"/>
          </w:tcPr>
          <w:p w14:paraId="7F511352" w14:textId="77777777" w:rsidR="00A758CB" w:rsidRPr="00E0300B" w:rsidRDefault="00A758CB" w:rsidP="00A758CB">
            <w:pPr>
              <w:spacing w:before="120"/>
              <w:jc w:val="center"/>
              <w:rPr>
                <w:rFonts w:ascii="Arial Narrow" w:hAnsi="Arial Narrow"/>
                <w:b/>
                <w:sz w:val="20"/>
                <w:szCs w:val="20"/>
              </w:rPr>
            </w:pPr>
            <w:r w:rsidRPr="00E0300B">
              <w:rPr>
                <w:rFonts w:ascii="Arial Narrow" w:hAnsi="Arial Narrow"/>
                <w:b/>
                <w:sz w:val="20"/>
                <w:szCs w:val="20"/>
              </w:rPr>
              <w:t>Description</w:t>
            </w:r>
          </w:p>
        </w:tc>
        <w:tc>
          <w:tcPr>
            <w:tcW w:w="1211" w:type="dxa"/>
            <w:gridSpan w:val="2"/>
            <w:tcBorders>
              <w:top w:val="single" w:sz="12" w:space="0" w:color="auto"/>
              <w:bottom w:val="single" w:sz="4" w:space="0" w:color="auto"/>
            </w:tcBorders>
          </w:tcPr>
          <w:p w14:paraId="645F20A8" w14:textId="77777777" w:rsidR="00A758CB" w:rsidRPr="00E0300B" w:rsidRDefault="00A758CB" w:rsidP="00A758CB">
            <w:pPr>
              <w:spacing w:before="120"/>
              <w:jc w:val="center"/>
              <w:rPr>
                <w:rFonts w:ascii="Arial Narrow" w:hAnsi="Arial Narrow"/>
                <w:b/>
                <w:sz w:val="20"/>
                <w:szCs w:val="20"/>
              </w:rPr>
            </w:pPr>
            <w:r w:rsidRPr="00E0300B">
              <w:rPr>
                <w:rFonts w:ascii="Arial Narrow" w:hAnsi="Arial Narrow"/>
                <w:b/>
                <w:sz w:val="20"/>
                <w:szCs w:val="20"/>
              </w:rPr>
              <w:t>Expiration Date</w:t>
            </w:r>
          </w:p>
        </w:tc>
      </w:tr>
      <w:tr w:rsidR="00A758CB" w:rsidRPr="00E0300B" w:rsidDel="003767EE" w14:paraId="5BA6B5EB" w14:textId="77777777" w:rsidTr="00A758CB">
        <w:tc>
          <w:tcPr>
            <w:tcW w:w="4195" w:type="dxa"/>
            <w:gridSpan w:val="3"/>
            <w:tcBorders>
              <w:top w:val="single" w:sz="4" w:space="0" w:color="auto"/>
              <w:bottom w:val="single" w:sz="4" w:space="0" w:color="auto"/>
            </w:tcBorders>
            <w:vAlign w:val="bottom"/>
          </w:tcPr>
          <w:p w14:paraId="074C3E03" w14:textId="77777777" w:rsidR="00A758CB" w:rsidRPr="00E0300B" w:rsidRDefault="00A758CB" w:rsidP="00A758CB">
            <w:pPr>
              <w:rPr>
                <w:rFonts w:ascii="Arial Narrow" w:hAnsi="Arial Narrow"/>
                <w:b/>
                <w:sz w:val="20"/>
                <w:szCs w:val="20"/>
              </w:rPr>
            </w:pPr>
          </w:p>
        </w:tc>
        <w:tc>
          <w:tcPr>
            <w:tcW w:w="3282" w:type="dxa"/>
            <w:tcBorders>
              <w:top w:val="single" w:sz="4" w:space="0" w:color="auto"/>
              <w:bottom w:val="single" w:sz="4" w:space="0" w:color="auto"/>
            </w:tcBorders>
            <w:shd w:val="clear" w:color="auto" w:fill="auto"/>
            <w:vAlign w:val="bottom"/>
          </w:tcPr>
          <w:p w14:paraId="12F3BE40" w14:textId="77777777" w:rsidR="00A758CB" w:rsidRPr="00E0300B" w:rsidRDefault="00A758CB" w:rsidP="00A758CB">
            <w:pPr>
              <w:rPr>
                <w:sz w:val="20"/>
                <w:szCs w:val="20"/>
              </w:rPr>
            </w:pPr>
            <w:r w:rsidRPr="00E0300B">
              <w:rPr>
                <w:rFonts w:ascii="Arial Narrow" w:hAnsi="Arial Narrow"/>
                <w:b/>
                <w:sz w:val="20"/>
                <w:szCs w:val="20"/>
              </w:rPr>
              <w:t>Business and Personal Credits</w:t>
            </w:r>
          </w:p>
        </w:tc>
        <w:tc>
          <w:tcPr>
            <w:tcW w:w="1211" w:type="dxa"/>
            <w:gridSpan w:val="2"/>
            <w:tcBorders>
              <w:top w:val="single" w:sz="4" w:space="0" w:color="auto"/>
              <w:bottom w:val="single" w:sz="4" w:space="0" w:color="auto"/>
            </w:tcBorders>
          </w:tcPr>
          <w:p w14:paraId="2BD669D4" w14:textId="77777777" w:rsidR="00A758CB" w:rsidRPr="00E0300B" w:rsidRDefault="00A758CB" w:rsidP="00A758CB">
            <w:pPr>
              <w:jc w:val="center"/>
              <w:rPr>
                <w:rFonts w:ascii="Arial Narrow" w:hAnsi="Arial Narrow"/>
                <w:b/>
                <w:sz w:val="20"/>
                <w:szCs w:val="20"/>
              </w:rPr>
            </w:pPr>
          </w:p>
        </w:tc>
      </w:tr>
      <w:tr w:rsidR="00A758CB" w:rsidRPr="00E0300B" w:rsidDel="003767EE" w14:paraId="4E217E27" w14:textId="77777777" w:rsidTr="00A758CB">
        <w:tc>
          <w:tcPr>
            <w:tcW w:w="1267" w:type="dxa"/>
            <w:tcBorders>
              <w:top w:val="single" w:sz="4" w:space="0" w:color="auto"/>
            </w:tcBorders>
            <w:shd w:val="clear" w:color="auto" w:fill="auto"/>
          </w:tcPr>
          <w:p w14:paraId="259DD249"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24</w:t>
            </w:r>
          </w:p>
        </w:tc>
        <w:tc>
          <w:tcPr>
            <w:tcW w:w="1350" w:type="dxa"/>
          </w:tcPr>
          <w:p w14:paraId="32991329" w14:textId="77777777" w:rsidR="00A758CB" w:rsidRPr="00E0300B" w:rsidRDefault="00A758CB" w:rsidP="00A758CB">
            <w:pPr>
              <w:pStyle w:val="CellBodyfirst"/>
              <w:jc w:val="center"/>
              <w:rPr>
                <w:sz w:val="20"/>
                <w:szCs w:val="20"/>
              </w:rPr>
            </w:pPr>
            <w:r w:rsidRPr="00E0300B">
              <w:rPr>
                <w:sz w:val="20"/>
                <w:szCs w:val="20"/>
              </w:rPr>
              <w:t>PATH 101</w:t>
            </w:r>
          </w:p>
        </w:tc>
        <w:tc>
          <w:tcPr>
            <w:tcW w:w="4860" w:type="dxa"/>
            <w:gridSpan w:val="2"/>
            <w:shd w:val="clear" w:color="auto" w:fill="auto"/>
          </w:tcPr>
          <w:p w14:paraId="3580E12A" w14:textId="77777777" w:rsidR="00A758CB" w:rsidRPr="00E0300B" w:rsidRDefault="00A758CB" w:rsidP="00A758CB">
            <w:pPr>
              <w:pStyle w:val="CellBodyfirst"/>
              <w:rPr>
                <w:sz w:val="20"/>
                <w:szCs w:val="20"/>
              </w:rPr>
            </w:pPr>
            <w:r w:rsidRPr="00E0300B">
              <w:rPr>
                <w:sz w:val="20"/>
                <w:szCs w:val="20"/>
              </w:rPr>
              <w:t>Additional child tax credit: Reduction of the earnings threshold from $10,000 to $3,000 for refundable portion of the credit</w:t>
            </w:r>
          </w:p>
        </w:tc>
        <w:tc>
          <w:tcPr>
            <w:tcW w:w="1211" w:type="dxa"/>
            <w:gridSpan w:val="2"/>
            <w:tcBorders>
              <w:top w:val="single" w:sz="4" w:space="0" w:color="auto"/>
            </w:tcBorders>
            <w:vAlign w:val="center"/>
          </w:tcPr>
          <w:p w14:paraId="2C4AD6D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rsidDel="003767EE" w14:paraId="7838A94C" w14:textId="77777777" w:rsidTr="00A758CB">
        <w:tc>
          <w:tcPr>
            <w:tcW w:w="1267" w:type="dxa"/>
            <w:shd w:val="clear" w:color="auto" w:fill="auto"/>
          </w:tcPr>
          <w:p w14:paraId="75F17BE6" w14:textId="77777777" w:rsidR="00A758CB" w:rsidRPr="00E0300B" w:rsidRDefault="00A758CB" w:rsidP="00A758CB">
            <w:pPr>
              <w:pStyle w:val="CellBodyC"/>
              <w:rPr>
                <w:sz w:val="20"/>
                <w:szCs w:val="20"/>
              </w:rPr>
            </w:pPr>
            <w:r w:rsidRPr="00E0300B">
              <w:rPr>
                <w:sz w:val="20"/>
                <w:szCs w:val="20"/>
              </w:rPr>
              <w:t>25A</w:t>
            </w:r>
          </w:p>
        </w:tc>
        <w:tc>
          <w:tcPr>
            <w:tcW w:w="1350" w:type="dxa"/>
          </w:tcPr>
          <w:p w14:paraId="4C2B2FA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102</w:t>
            </w:r>
          </w:p>
        </w:tc>
        <w:tc>
          <w:tcPr>
            <w:tcW w:w="4860" w:type="dxa"/>
            <w:gridSpan w:val="2"/>
            <w:shd w:val="clear" w:color="auto" w:fill="auto"/>
          </w:tcPr>
          <w:p w14:paraId="2FD0C2E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American opportunity tax credit</w:t>
            </w:r>
          </w:p>
        </w:tc>
        <w:tc>
          <w:tcPr>
            <w:tcW w:w="1211" w:type="dxa"/>
            <w:gridSpan w:val="2"/>
            <w:vAlign w:val="bottom"/>
          </w:tcPr>
          <w:p w14:paraId="76D22DE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rsidDel="003767EE" w14:paraId="288F27CB" w14:textId="77777777" w:rsidTr="00A758CB">
        <w:tc>
          <w:tcPr>
            <w:tcW w:w="1267" w:type="dxa"/>
            <w:shd w:val="clear" w:color="auto" w:fill="auto"/>
          </w:tcPr>
          <w:p w14:paraId="30C3BE79"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25C</w:t>
            </w:r>
          </w:p>
        </w:tc>
        <w:tc>
          <w:tcPr>
            <w:tcW w:w="1350" w:type="dxa"/>
            <w:vAlign w:val="bottom"/>
          </w:tcPr>
          <w:p w14:paraId="606EF72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181</w:t>
            </w:r>
          </w:p>
        </w:tc>
        <w:tc>
          <w:tcPr>
            <w:tcW w:w="4860" w:type="dxa"/>
            <w:gridSpan w:val="2"/>
            <w:shd w:val="clear" w:color="auto" w:fill="auto"/>
            <w:vAlign w:val="bottom"/>
          </w:tcPr>
          <w:p w14:paraId="1C0C9326"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Credit for nonbusiness energy property*</w:t>
            </w:r>
          </w:p>
        </w:tc>
        <w:tc>
          <w:tcPr>
            <w:tcW w:w="1211" w:type="dxa"/>
            <w:gridSpan w:val="2"/>
            <w:vAlign w:val="bottom"/>
          </w:tcPr>
          <w:p w14:paraId="2975D593"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rsidDel="003767EE" w14:paraId="0DC38E6F" w14:textId="77777777" w:rsidTr="00A758CB">
        <w:tc>
          <w:tcPr>
            <w:tcW w:w="1267" w:type="dxa"/>
            <w:shd w:val="clear" w:color="auto" w:fill="auto"/>
          </w:tcPr>
          <w:p w14:paraId="16F663DA"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25D</w:t>
            </w:r>
          </w:p>
        </w:tc>
        <w:tc>
          <w:tcPr>
            <w:tcW w:w="1350" w:type="dxa"/>
          </w:tcPr>
          <w:p w14:paraId="0561522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CAA 304(a)</w:t>
            </w:r>
          </w:p>
        </w:tc>
        <w:tc>
          <w:tcPr>
            <w:tcW w:w="4860" w:type="dxa"/>
            <w:gridSpan w:val="2"/>
            <w:shd w:val="clear" w:color="auto" w:fill="auto"/>
            <w:vAlign w:val="bottom"/>
          </w:tcPr>
          <w:p w14:paraId="01995F3D"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Credit for residential energy property*</w:t>
            </w:r>
          </w:p>
        </w:tc>
        <w:tc>
          <w:tcPr>
            <w:tcW w:w="1211" w:type="dxa"/>
            <w:gridSpan w:val="2"/>
            <w:vAlign w:val="bottom"/>
          </w:tcPr>
          <w:p w14:paraId="73E75C0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2022</w:t>
            </w:r>
          </w:p>
        </w:tc>
      </w:tr>
      <w:tr w:rsidR="00A758CB" w:rsidRPr="00E0300B" w:rsidDel="003767EE" w14:paraId="17ADDB2A" w14:textId="77777777" w:rsidTr="00A758CB">
        <w:tc>
          <w:tcPr>
            <w:tcW w:w="1267" w:type="dxa"/>
            <w:shd w:val="clear" w:color="auto" w:fill="auto"/>
          </w:tcPr>
          <w:p w14:paraId="223BF56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30B(a)</w:t>
            </w:r>
          </w:p>
        </w:tc>
        <w:tc>
          <w:tcPr>
            <w:tcW w:w="1350" w:type="dxa"/>
          </w:tcPr>
          <w:p w14:paraId="7141D89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193</w:t>
            </w:r>
          </w:p>
        </w:tc>
        <w:tc>
          <w:tcPr>
            <w:tcW w:w="4860" w:type="dxa"/>
            <w:gridSpan w:val="2"/>
            <w:shd w:val="clear" w:color="auto" w:fill="auto"/>
            <w:vAlign w:val="bottom"/>
          </w:tcPr>
          <w:p w14:paraId="061EFBD7"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Alternative motor vehicle credit for qualified fuel cell motor vehicles </w:t>
            </w:r>
          </w:p>
        </w:tc>
        <w:tc>
          <w:tcPr>
            <w:tcW w:w="1211" w:type="dxa"/>
            <w:gridSpan w:val="2"/>
          </w:tcPr>
          <w:p w14:paraId="6DB018A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2EC2CC9" w14:textId="77777777" w:rsidTr="00A758CB">
        <w:tblPrEx>
          <w:tblCellMar>
            <w:left w:w="115" w:type="dxa"/>
            <w:right w:w="115" w:type="dxa"/>
          </w:tblCellMar>
        </w:tblPrEx>
        <w:trPr>
          <w:gridAfter w:val="1"/>
          <w:wAfter w:w="7" w:type="dxa"/>
        </w:trPr>
        <w:tc>
          <w:tcPr>
            <w:tcW w:w="1267" w:type="dxa"/>
            <w:shd w:val="clear" w:color="auto" w:fill="auto"/>
          </w:tcPr>
          <w:p w14:paraId="03BDABB5"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30C</w:t>
            </w:r>
          </w:p>
        </w:tc>
        <w:tc>
          <w:tcPr>
            <w:tcW w:w="1350" w:type="dxa"/>
          </w:tcPr>
          <w:p w14:paraId="1E71033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182</w:t>
            </w:r>
          </w:p>
        </w:tc>
        <w:tc>
          <w:tcPr>
            <w:tcW w:w="4860" w:type="dxa"/>
            <w:gridSpan w:val="2"/>
            <w:shd w:val="clear" w:color="auto" w:fill="auto"/>
          </w:tcPr>
          <w:p w14:paraId="709615BF"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Alternative fuel vehicle refueling property credit</w:t>
            </w:r>
          </w:p>
        </w:tc>
        <w:tc>
          <w:tcPr>
            <w:tcW w:w="1204" w:type="dxa"/>
            <w:vAlign w:val="bottom"/>
          </w:tcPr>
          <w:p w14:paraId="48CD316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13C8A413" w14:textId="77777777" w:rsidTr="00A758CB">
        <w:tblPrEx>
          <w:tblCellMar>
            <w:left w:w="115" w:type="dxa"/>
            <w:right w:w="115" w:type="dxa"/>
          </w:tblCellMar>
        </w:tblPrEx>
        <w:trPr>
          <w:gridAfter w:val="1"/>
          <w:wAfter w:w="7" w:type="dxa"/>
        </w:trPr>
        <w:tc>
          <w:tcPr>
            <w:tcW w:w="1267" w:type="dxa"/>
            <w:shd w:val="clear" w:color="auto" w:fill="auto"/>
          </w:tcPr>
          <w:p w14:paraId="397EC6A1"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30D</w:t>
            </w:r>
          </w:p>
        </w:tc>
        <w:tc>
          <w:tcPr>
            <w:tcW w:w="1350" w:type="dxa"/>
          </w:tcPr>
          <w:p w14:paraId="4F96DD6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183</w:t>
            </w:r>
          </w:p>
        </w:tc>
        <w:tc>
          <w:tcPr>
            <w:tcW w:w="4860" w:type="dxa"/>
            <w:gridSpan w:val="2"/>
            <w:shd w:val="clear" w:color="auto" w:fill="auto"/>
          </w:tcPr>
          <w:p w14:paraId="69B81A12"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New qualified plug-in electric drive motor vehicle credit</w:t>
            </w:r>
          </w:p>
        </w:tc>
        <w:tc>
          <w:tcPr>
            <w:tcW w:w="1204" w:type="dxa"/>
            <w:vAlign w:val="bottom"/>
          </w:tcPr>
          <w:p w14:paraId="56CD0F1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5FFF1229" w14:textId="77777777" w:rsidTr="00A758CB">
        <w:tblPrEx>
          <w:tblCellMar>
            <w:left w:w="115" w:type="dxa"/>
            <w:right w:w="115" w:type="dxa"/>
          </w:tblCellMar>
        </w:tblPrEx>
        <w:trPr>
          <w:gridAfter w:val="1"/>
          <w:wAfter w:w="7" w:type="dxa"/>
        </w:trPr>
        <w:tc>
          <w:tcPr>
            <w:tcW w:w="1267" w:type="dxa"/>
            <w:shd w:val="clear" w:color="auto" w:fill="auto"/>
          </w:tcPr>
          <w:p w14:paraId="134B21A8"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32(b)(3)(A)</w:t>
            </w:r>
          </w:p>
        </w:tc>
        <w:tc>
          <w:tcPr>
            <w:tcW w:w="1350" w:type="dxa"/>
          </w:tcPr>
          <w:p w14:paraId="4456D8B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103</w:t>
            </w:r>
          </w:p>
        </w:tc>
        <w:tc>
          <w:tcPr>
            <w:tcW w:w="4860" w:type="dxa"/>
            <w:gridSpan w:val="2"/>
            <w:shd w:val="clear" w:color="auto" w:fill="auto"/>
          </w:tcPr>
          <w:p w14:paraId="52C49E2D"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Earned income tax credit: 45% for 3 or more qualifying children </w:t>
            </w:r>
          </w:p>
        </w:tc>
        <w:tc>
          <w:tcPr>
            <w:tcW w:w="1204" w:type="dxa"/>
          </w:tcPr>
          <w:p w14:paraId="5BF4F8F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5C8A501F" w14:textId="77777777" w:rsidTr="00A758CB">
        <w:tblPrEx>
          <w:tblCellMar>
            <w:left w:w="115" w:type="dxa"/>
            <w:right w:w="115" w:type="dxa"/>
          </w:tblCellMar>
        </w:tblPrEx>
        <w:trPr>
          <w:gridAfter w:val="1"/>
          <w:wAfter w:w="7" w:type="dxa"/>
        </w:trPr>
        <w:tc>
          <w:tcPr>
            <w:tcW w:w="1267" w:type="dxa"/>
            <w:shd w:val="clear" w:color="auto" w:fill="auto"/>
          </w:tcPr>
          <w:p w14:paraId="57689C37"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32(b)(3)(B)</w:t>
            </w:r>
          </w:p>
        </w:tc>
        <w:tc>
          <w:tcPr>
            <w:tcW w:w="1350" w:type="dxa"/>
          </w:tcPr>
          <w:p w14:paraId="633DC45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103</w:t>
            </w:r>
          </w:p>
        </w:tc>
        <w:tc>
          <w:tcPr>
            <w:tcW w:w="4860" w:type="dxa"/>
            <w:gridSpan w:val="2"/>
            <w:shd w:val="clear" w:color="auto" w:fill="auto"/>
          </w:tcPr>
          <w:p w14:paraId="53A2400E"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Earned income credit increase beginning and ending income levels for joint returns by $5,000 indexed after 2009 </w:t>
            </w:r>
          </w:p>
        </w:tc>
        <w:tc>
          <w:tcPr>
            <w:tcW w:w="1204" w:type="dxa"/>
          </w:tcPr>
          <w:p w14:paraId="12803BF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21A86428" w14:textId="77777777" w:rsidTr="00A758CB">
        <w:tc>
          <w:tcPr>
            <w:tcW w:w="1267" w:type="dxa"/>
            <w:shd w:val="clear" w:color="auto" w:fill="auto"/>
          </w:tcPr>
          <w:p w14:paraId="41308EBA" w14:textId="77777777" w:rsidR="00A758CB" w:rsidRPr="00E0300B" w:rsidRDefault="00A758CB" w:rsidP="00A758CB">
            <w:pPr>
              <w:tabs>
                <w:tab w:val="left" w:pos="300"/>
                <w:tab w:val="center" w:pos="488"/>
              </w:tabs>
              <w:jc w:val="center"/>
              <w:rPr>
                <w:rFonts w:ascii="Arial Narrow" w:hAnsi="Arial Narrow"/>
                <w:sz w:val="20"/>
                <w:szCs w:val="20"/>
              </w:rPr>
            </w:pPr>
            <w:r w:rsidRPr="00E0300B">
              <w:rPr>
                <w:rFonts w:ascii="Arial Narrow" w:hAnsi="Arial Narrow"/>
                <w:sz w:val="20"/>
                <w:szCs w:val="20"/>
              </w:rPr>
              <w:t>35</w:t>
            </w:r>
          </w:p>
        </w:tc>
        <w:tc>
          <w:tcPr>
            <w:tcW w:w="1350" w:type="dxa"/>
            <w:vAlign w:val="bottom"/>
          </w:tcPr>
          <w:p w14:paraId="7EE04AC3"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7DA108D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Health coverage tax credit </w:t>
            </w:r>
          </w:p>
        </w:tc>
        <w:tc>
          <w:tcPr>
            <w:tcW w:w="1211" w:type="dxa"/>
            <w:gridSpan w:val="2"/>
            <w:vAlign w:val="bottom"/>
          </w:tcPr>
          <w:p w14:paraId="25DCC61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3084E8FA" w14:textId="77777777" w:rsidTr="00A758CB">
        <w:tc>
          <w:tcPr>
            <w:tcW w:w="1267" w:type="dxa"/>
            <w:shd w:val="clear" w:color="auto" w:fill="auto"/>
          </w:tcPr>
          <w:p w14:paraId="5417196A"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40(b)(6)(H)</w:t>
            </w:r>
          </w:p>
        </w:tc>
        <w:tc>
          <w:tcPr>
            <w:tcW w:w="1350" w:type="dxa"/>
          </w:tcPr>
          <w:p w14:paraId="1536CAE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184</w:t>
            </w:r>
          </w:p>
        </w:tc>
        <w:tc>
          <w:tcPr>
            <w:tcW w:w="4860" w:type="dxa"/>
            <w:gridSpan w:val="2"/>
            <w:shd w:val="clear" w:color="auto" w:fill="auto"/>
          </w:tcPr>
          <w:p w14:paraId="7212E02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Second-generation biofuel producer credit </w:t>
            </w:r>
          </w:p>
        </w:tc>
        <w:tc>
          <w:tcPr>
            <w:tcW w:w="1211" w:type="dxa"/>
            <w:gridSpan w:val="2"/>
            <w:vAlign w:val="bottom"/>
          </w:tcPr>
          <w:p w14:paraId="592D0E2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1C8FFF95" w14:textId="77777777" w:rsidTr="00A758CB">
        <w:tc>
          <w:tcPr>
            <w:tcW w:w="1267" w:type="dxa"/>
            <w:shd w:val="clear" w:color="auto" w:fill="auto"/>
          </w:tcPr>
          <w:p w14:paraId="75EA8D7E"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40A(a)</w:t>
            </w:r>
          </w:p>
        </w:tc>
        <w:tc>
          <w:tcPr>
            <w:tcW w:w="1350" w:type="dxa"/>
          </w:tcPr>
          <w:p w14:paraId="4243105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185</w:t>
            </w:r>
          </w:p>
        </w:tc>
        <w:tc>
          <w:tcPr>
            <w:tcW w:w="4860" w:type="dxa"/>
            <w:gridSpan w:val="2"/>
            <w:shd w:val="clear" w:color="auto" w:fill="auto"/>
            <w:vAlign w:val="bottom"/>
          </w:tcPr>
          <w:p w14:paraId="21D68CEF"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Income tax credits for biodiesel fuel, biodiesel used to produce a qualified mixture, and small </w:t>
            </w:r>
            <w:proofErr w:type="spellStart"/>
            <w:r w:rsidRPr="00E0300B">
              <w:rPr>
                <w:rFonts w:ascii="Arial Narrow" w:hAnsi="Arial Narrow"/>
                <w:sz w:val="20"/>
                <w:szCs w:val="20"/>
              </w:rPr>
              <w:t>agribiodiesel</w:t>
            </w:r>
            <w:proofErr w:type="spellEnd"/>
            <w:r w:rsidRPr="00E0300B">
              <w:rPr>
                <w:rFonts w:ascii="Arial Narrow" w:hAnsi="Arial Narrow"/>
                <w:sz w:val="20"/>
                <w:szCs w:val="20"/>
              </w:rPr>
              <w:t xml:space="preserve"> producers</w:t>
            </w:r>
          </w:p>
        </w:tc>
        <w:tc>
          <w:tcPr>
            <w:tcW w:w="1211" w:type="dxa"/>
            <w:gridSpan w:val="2"/>
          </w:tcPr>
          <w:p w14:paraId="3EE9708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2773E149" w14:textId="77777777" w:rsidTr="00A758CB">
        <w:tc>
          <w:tcPr>
            <w:tcW w:w="1267" w:type="dxa"/>
            <w:shd w:val="clear" w:color="auto" w:fill="auto"/>
          </w:tcPr>
          <w:p w14:paraId="5B4CC49A"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40A(f)</w:t>
            </w:r>
          </w:p>
        </w:tc>
        <w:tc>
          <w:tcPr>
            <w:tcW w:w="1350" w:type="dxa"/>
          </w:tcPr>
          <w:p w14:paraId="2B1F411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185</w:t>
            </w:r>
          </w:p>
        </w:tc>
        <w:tc>
          <w:tcPr>
            <w:tcW w:w="4860" w:type="dxa"/>
            <w:gridSpan w:val="2"/>
            <w:shd w:val="clear" w:color="auto" w:fill="auto"/>
          </w:tcPr>
          <w:p w14:paraId="691177A2"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Income tax credits for renewable diesel fuel and renewable diesel used to produce a qualified mixture</w:t>
            </w:r>
          </w:p>
        </w:tc>
        <w:tc>
          <w:tcPr>
            <w:tcW w:w="1211" w:type="dxa"/>
            <w:gridSpan w:val="2"/>
          </w:tcPr>
          <w:p w14:paraId="5E275EF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2EB0D354" w14:textId="77777777" w:rsidTr="00A758CB">
        <w:tc>
          <w:tcPr>
            <w:tcW w:w="1267" w:type="dxa"/>
            <w:shd w:val="clear" w:color="auto" w:fill="auto"/>
          </w:tcPr>
          <w:p w14:paraId="23966B0A"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41</w:t>
            </w:r>
          </w:p>
        </w:tc>
        <w:tc>
          <w:tcPr>
            <w:tcW w:w="1350" w:type="dxa"/>
          </w:tcPr>
          <w:p w14:paraId="5C9516FA"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121</w:t>
            </w:r>
          </w:p>
        </w:tc>
        <w:tc>
          <w:tcPr>
            <w:tcW w:w="4860" w:type="dxa"/>
            <w:gridSpan w:val="2"/>
            <w:shd w:val="clear" w:color="auto" w:fill="auto"/>
          </w:tcPr>
          <w:p w14:paraId="5E9F657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Tax credit for research and experimentation expenses*</w:t>
            </w:r>
          </w:p>
        </w:tc>
        <w:tc>
          <w:tcPr>
            <w:tcW w:w="1211" w:type="dxa"/>
            <w:gridSpan w:val="2"/>
            <w:vAlign w:val="bottom"/>
          </w:tcPr>
          <w:p w14:paraId="240353C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4E6520E4" w14:textId="77777777" w:rsidTr="00A758CB">
        <w:tc>
          <w:tcPr>
            <w:tcW w:w="1267" w:type="dxa"/>
            <w:shd w:val="clear" w:color="auto" w:fill="auto"/>
          </w:tcPr>
          <w:p w14:paraId="50A80A8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42</w:t>
            </w:r>
          </w:p>
        </w:tc>
        <w:tc>
          <w:tcPr>
            <w:tcW w:w="1350" w:type="dxa"/>
          </w:tcPr>
          <w:p w14:paraId="59A945D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131</w:t>
            </w:r>
          </w:p>
        </w:tc>
        <w:tc>
          <w:tcPr>
            <w:tcW w:w="4860" w:type="dxa"/>
            <w:gridSpan w:val="2"/>
            <w:shd w:val="clear" w:color="auto" w:fill="auto"/>
          </w:tcPr>
          <w:p w14:paraId="4DE9570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Determination of low-income housing credit rate for credit allocations with respect to non–federally subsidized buildings</w:t>
            </w:r>
          </w:p>
        </w:tc>
        <w:tc>
          <w:tcPr>
            <w:tcW w:w="1211" w:type="dxa"/>
            <w:gridSpan w:val="2"/>
          </w:tcPr>
          <w:p w14:paraId="0BBC35B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32672ED1" w14:textId="77777777" w:rsidTr="00A758CB">
        <w:tc>
          <w:tcPr>
            <w:tcW w:w="1267" w:type="dxa"/>
            <w:shd w:val="clear" w:color="auto" w:fill="auto"/>
          </w:tcPr>
          <w:p w14:paraId="18ABB741"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42(d)</w:t>
            </w:r>
          </w:p>
        </w:tc>
        <w:tc>
          <w:tcPr>
            <w:tcW w:w="1350" w:type="dxa"/>
          </w:tcPr>
          <w:p w14:paraId="0EA1E5B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132</w:t>
            </w:r>
          </w:p>
        </w:tc>
        <w:tc>
          <w:tcPr>
            <w:tcW w:w="4860" w:type="dxa"/>
            <w:gridSpan w:val="2"/>
            <w:shd w:val="clear" w:color="auto" w:fill="auto"/>
          </w:tcPr>
          <w:p w14:paraId="73F6AB04"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Low-income housing credit treatment of military basic housing allowances </w:t>
            </w:r>
          </w:p>
        </w:tc>
        <w:tc>
          <w:tcPr>
            <w:tcW w:w="1211" w:type="dxa"/>
            <w:gridSpan w:val="2"/>
          </w:tcPr>
          <w:p w14:paraId="590BBD3A" w14:textId="77777777" w:rsidR="00A758CB" w:rsidRPr="00E0300B" w:rsidDel="00E90BAE"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073A5A14" w14:textId="77777777" w:rsidTr="00A758CB">
        <w:tc>
          <w:tcPr>
            <w:tcW w:w="1267" w:type="dxa"/>
            <w:shd w:val="clear" w:color="auto" w:fill="auto"/>
          </w:tcPr>
          <w:p w14:paraId="3B7BCC1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w:t>
            </w:r>
          </w:p>
        </w:tc>
        <w:tc>
          <w:tcPr>
            <w:tcW w:w="1350" w:type="dxa"/>
          </w:tcPr>
          <w:p w14:paraId="1752334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187</w:t>
            </w:r>
          </w:p>
        </w:tc>
        <w:tc>
          <w:tcPr>
            <w:tcW w:w="4860" w:type="dxa"/>
            <w:gridSpan w:val="2"/>
            <w:shd w:val="clear" w:color="auto" w:fill="auto"/>
          </w:tcPr>
          <w:p w14:paraId="4784F95D"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Beginning-of-construction date for renewable power facilities eligible to claim the electricity production credit</w:t>
            </w:r>
          </w:p>
        </w:tc>
        <w:tc>
          <w:tcPr>
            <w:tcW w:w="1211" w:type="dxa"/>
            <w:gridSpan w:val="2"/>
          </w:tcPr>
          <w:p w14:paraId="535F39D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76F21C22" w14:textId="77777777" w:rsidTr="00A758CB">
        <w:tc>
          <w:tcPr>
            <w:tcW w:w="1267" w:type="dxa"/>
            <w:shd w:val="clear" w:color="auto" w:fill="auto"/>
          </w:tcPr>
          <w:p w14:paraId="649E5F7F"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45(e)(10)</w:t>
            </w:r>
          </w:p>
        </w:tc>
        <w:tc>
          <w:tcPr>
            <w:tcW w:w="1350" w:type="dxa"/>
          </w:tcPr>
          <w:p w14:paraId="2AC267C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186</w:t>
            </w:r>
          </w:p>
        </w:tc>
        <w:tc>
          <w:tcPr>
            <w:tcW w:w="4860" w:type="dxa"/>
            <w:gridSpan w:val="2"/>
            <w:shd w:val="clear" w:color="auto" w:fill="auto"/>
          </w:tcPr>
          <w:p w14:paraId="7F12F7B4"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Credit for production of Indian coal</w:t>
            </w:r>
          </w:p>
        </w:tc>
        <w:tc>
          <w:tcPr>
            <w:tcW w:w="1211" w:type="dxa"/>
            <w:gridSpan w:val="2"/>
            <w:vAlign w:val="bottom"/>
          </w:tcPr>
          <w:p w14:paraId="15B5B51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553B9263" w14:textId="77777777" w:rsidTr="00A758CB">
        <w:tc>
          <w:tcPr>
            <w:tcW w:w="1267" w:type="dxa"/>
            <w:shd w:val="clear" w:color="auto" w:fill="auto"/>
          </w:tcPr>
          <w:p w14:paraId="412E3532"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lastRenderedPageBreak/>
              <w:t>45A</w:t>
            </w:r>
          </w:p>
        </w:tc>
        <w:tc>
          <w:tcPr>
            <w:tcW w:w="1350" w:type="dxa"/>
          </w:tcPr>
          <w:p w14:paraId="24BB87E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161</w:t>
            </w:r>
          </w:p>
        </w:tc>
        <w:tc>
          <w:tcPr>
            <w:tcW w:w="4860" w:type="dxa"/>
            <w:gridSpan w:val="2"/>
            <w:shd w:val="clear" w:color="auto" w:fill="auto"/>
          </w:tcPr>
          <w:p w14:paraId="495A2A8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Indian employment tax credit</w:t>
            </w:r>
          </w:p>
        </w:tc>
        <w:tc>
          <w:tcPr>
            <w:tcW w:w="1211" w:type="dxa"/>
            <w:gridSpan w:val="2"/>
            <w:vAlign w:val="bottom"/>
          </w:tcPr>
          <w:p w14:paraId="231E1C9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6EBB2C25" w14:textId="77777777" w:rsidTr="00A758CB">
        <w:tc>
          <w:tcPr>
            <w:tcW w:w="1267" w:type="dxa"/>
            <w:shd w:val="clear" w:color="auto" w:fill="auto"/>
          </w:tcPr>
          <w:p w14:paraId="696BCF62"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45D</w:t>
            </w:r>
          </w:p>
        </w:tc>
        <w:tc>
          <w:tcPr>
            <w:tcW w:w="1350" w:type="dxa"/>
          </w:tcPr>
          <w:p w14:paraId="67FFC043"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141</w:t>
            </w:r>
          </w:p>
        </w:tc>
        <w:tc>
          <w:tcPr>
            <w:tcW w:w="4860" w:type="dxa"/>
            <w:gridSpan w:val="2"/>
            <w:shd w:val="clear" w:color="auto" w:fill="auto"/>
          </w:tcPr>
          <w:p w14:paraId="597FA62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New markets tax credit</w:t>
            </w:r>
          </w:p>
        </w:tc>
        <w:tc>
          <w:tcPr>
            <w:tcW w:w="1211" w:type="dxa"/>
            <w:gridSpan w:val="2"/>
            <w:vAlign w:val="bottom"/>
          </w:tcPr>
          <w:p w14:paraId="1115070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30430796" w14:textId="77777777" w:rsidTr="00A758CB">
        <w:tc>
          <w:tcPr>
            <w:tcW w:w="1267" w:type="dxa"/>
            <w:shd w:val="clear" w:color="auto" w:fill="auto"/>
          </w:tcPr>
          <w:p w14:paraId="1D9985C6"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45G</w:t>
            </w:r>
          </w:p>
        </w:tc>
        <w:tc>
          <w:tcPr>
            <w:tcW w:w="1350" w:type="dxa"/>
            <w:vAlign w:val="bottom"/>
          </w:tcPr>
          <w:p w14:paraId="25ADBA0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162</w:t>
            </w:r>
          </w:p>
        </w:tc>
        <w:tc>
          <w:tcPr>
            <w:tcW w:w="4860" w:type="dxa"/>
            <w:gridSpan w:val="2"/>
            <w:shd w:val="clear" w:color="auto" w:fill="auto"/>
          </w:tcPr>
          <w:p w14:paraId="14C546E7"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Railroad track maintenance credit</w:t>
            </w:r>
          </w:p>
        </w:tc>
        <w:tc>
          <w:tcPr>
            <w:tcW w:w="1211" w:type="dxa"/>
            <w:gridSpan w:val="2"/>
            <w:vAlign w:val="bottom"/>
          </w:tcPr>
          <w:p w14:paraId="6F3DC88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47B95BF4" w14:textId="77777777" w:rsidTr="00A758CB">
        <w:tc>
          <w:tcPr>
            <w:tcW w:w="1267" w:type="dxa"/>
            <w:shd w:val="clear" w:color="auto" w:fill="auto"/>
          </w:tcPr>
          <w:p w14:paraId="1686DAD7"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45J</w:t>
            </w:r>
          </w:p>
        </w:tc>
        <w:tc>
          <w:tcPr>
            <w:tcW w:w="1350" w:type="dxa"/>
          </w:tcPr>
          <w:p w14:paraId="4E86194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0985D62D"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Placed-in-service date for eligibility for the credit for production from certified advanced nuclear power facilities</w:t>
            </w:r>
          </w:p>
        </w:tc>
        <w:tc>
          <w:tcPr>
            <w:tcW w:w="1211" w:type="dxa"/>
            <w:gridSpan w:val="2"/>
          </w:tcPr>
          <w:p w14:paraId="6E76341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2020</w:t>
            </w:r>
          </w:p>
        </w:tc>
      </w:tr>
      <w:tr w:rsidR="00A758CB" w:rsidRPr="00E0300B" w14:paraId="6717C406" w14:textId="77777777" w:rsidTr="00A758CB">
        <w:tc>
          <w:tcPr>
            <w:tcW w:w="1267" w:type="dxa"/>
            <w:shd w:val="clear" w:color="auto" w:fill="auto"/>
          </w:tcPr>
          <w:p w14:paraId="2D097463"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45L</w:t>
            </w:r>
          </w:p>
        </w:tc>
        <w:tc>
          <w:tcPr>
            <w:tcW w:w="1350" w:type="dxa"/>
          </w:tcPr>
          <w:p w14:paraId="5EC2BE2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188</w:t>
            </w:r>
          </w:p>
        </w:tc>
        <w:tc>
          <w:tcPr>
            <w:tcW w:w="4860" w:type="dxa"/>
            <w:gridSpan w:val="2"/>
            <w:shd w:val="clear" w:color="auto" w:fill="auto"/>
          </w:tcPr>
          <w:p w14:paraId="70059CE1"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Credit for constructing new energy-efficient homes</w:t>
            </w:r>
          </w:p>
        </w:tc>
        <w:tc>
          <w:tcPr>
            <w:tcW w:w="1211" w:type="dxa"/>
            <w:gridSpan w:val="2"/>
            <w:vAlign w:val="bottom"/>
          </w:tcPr>
          <w:p w14:paraId="2260653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7D065D7A" w14:textId="77777777" w:rsidTr="00A758CB">
        <w:tc>
          <w:tcPr>
            <w:tcW w:w="1267" w:type="dxa"/>
            <w:shd w:val="clear" w:color="auto" w:fill="auto"/>
          </w:tcPr>
          <w:p w14:paraId="15C7FA3E"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45N</w:t>
            </w:r>
          </w:p>
        </w:tc>
        <w:tc>
          <w:tcPr>
            <w:tcW w:w="1350" w:type="dxa"/>
          </w:tcPr>
          <w:p w14:paraId="33D7CAC1"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163</w:t>
            </w:r>
          </w:p>
        </w:tc>
        <w:tc>
          <w:tcPr>
            <w:tcW w:w="4860" w:type="dxa"/>
            <w:gridSpan w:val="2"/>
            <w:shd w:val="clear" w:color="auto" w:fill="auto"/>
          </w:tcPr>
          <w:p w14:paraId="788A2AB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Mine rescue team training credit</w:t>
            </w:r>
          </w:p>
        </w:tc>
        <w:tc>
          <w:tcPr>
            <w:tcW w:w="1211" w:type="dxa"/>
            <w:gridSpan w:val="2"/>
            <w:vAlign w:val="bottom"/>
          </w:tcPr>
          <w:p w14:paraId="6795E88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4230BC9" w14:textId="77777777" w:rsidTr="00A758CB">
        <w:tc>
          <w:tcPr>
            <w:tcW w:w="1267" w:type="dxa"/>
            <w:shd w:val="clear" w:color="auto" w:fill="auto"/>
          </w:tcPr>
          <w:p w14:paraId="783D1AB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45P</w:t>
            </w:r>
          </w:p>
        </w:tc>
        <w:tc>
          <w:tcPr>
            <w:tcW w:w="1350" w:type="dxa"/>
          </w:tcPr>
          <w:p w14:paraId="5B37A39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122</w:t>
            </w:r>
          </w:p>
        </w:tc>
        <w:tc>
          <w:tcPr>
            <w:tcW w:w="4860" w:type="dxa"/>
            <w:gridSpan w:val="2"/>
            <w:shd w:val="clear" w:color="auto" w:fill="auto"/>
          </w:tcPr>
          <w:p w14:paraId="008BDD7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Employer wage credit for payments to activated military reservists*</w:t>
            </w:r>
          </w:p>
        </w:tc>
        <w:tc>
          <w:tcPr>
            <w:tcW w:w="1211" w:type="dxa"/>
            <w:gridSpan w:val="2"/>
          </w:tcPr>
          <w:p w14:paraId="10BB7FD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48928230" w14:textId="77777777" w:rsidTr="00A758CB">
        <w:tblPrEx>
          <w:tblCellMar>
            <w:left w:w="115" w:type="dxa"/>
            <w:right w:w="115" w:type="dxa"/>
          </w:tblCellMar>
        </w:tblPrEx>
        <w:trPr>
          <w:gridAfter w:val="1"/>
          <w:wAfter w:w="7" w:type="dxa"/>
        </w:trPr>
        <w:tc>
          <w:tcPr>
            <w:tcW w:w="1267" w:type="dxa"/>
            <w:shd w:val="clear" w:color="auto" w:fill="auto"/>
          </w:tcPr>
          <w:p w14:paraId="4F87C5FE"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48(a)(5)</w:t>
            </w:r>
          </w:p>
        </w:tc>
        <w:tc>
          <w:tcPr>
            <w:tcW w:w="1350" w:type="dxa"/>
          </w:tcPr>
          <w:p w14:paraId="26C38AA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187</w:t>
            </w:r>
          </w:p>
        </w:tc>
        <w:tc>
          <w:tcPr>
            <w:tcW w:w="4860" w:type="dxa"/>
            <w:gridSpan w:val="2"/>
            <w:shd w:val="clear" w:color="auto" w:fill="auto"/>
          </w:tcPr>
          <w:p w14:paraId="36AB4E6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Election to claim energy credit in lieu of electricity production credit</w:t>
            </w:r>
          </w:p>
        </w:tc>
        <w:tc>
          <w:tcPr>
            <w:tcW w:w="1204" w:type="dxa"/>
          </w:tcPr>
          <w:p w14:paraId="64EBE3E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33C4C32D" w14:textId="77777777" w:rsidTr="00A758CB">
        <w:tblPrEx>
          <w:tblCellMar>
            <w:left w:w="115" w:type="dxa"/>
            <w:right w:w="115" w:type="dxa"/>
          </w:tblCellMar>
        </w:tblPrEx>
        <w:trPr>
          <w:gridAfter w:val="1"/>
          <w:wAfter w:w="7" w:type="dxa"/>
        </w:trPr>
        <w:tc>
          <w:tcPr>
            <w:tcW w:w="1267" w:type="dxa"/>
            <w:shd w:val="clear" w:color="auto" w:fill="auto"/>
          </w:tcPr>
          <w:p w14:paraId="3799358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48(a)(6)</w:t>
            </w:r>
          </w:p>
        </w:tc>
        <w:tc>
          <w:tcPr>
            <w:tcW w:w="1350" w:type="dxa"/>
          </w:tcPr>
          <w:p w14:paraId="0BA7E1A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303</w:t>
            </w:r>
          </w:p>
        </w:tc>
        <w:tc>
          <w:tcPr>
            <w:tcW w:w="4860" w:type="dxa"/>
            <w:gridSpan w:val="2"/>
            <w:shd w:val="clear" w:color="auto" w:fill="auto"/>
          </w:tcPr>
          <w:p w14:paraId="42877F9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Increased credit for business solar energy property</w:t>
            </w:r>
            <w:r w:rsidRPr="00E0300B">
              <w:rPr>
                <w:sz w:val="20"/>
                <w:szCs w:val="20"/>
              </w:rPr>
              <w:t xml:space="preserve"> </w:t>
            </w:r>
          </w:p>
        </w:tc>
        <w:tc>
          <w:tcPr>
            <w:tcW w:w="1204" w:type="dxa"/>
          </w:tcPr>
          <w:p w14:paraId="6336436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2022</w:t>
            </w:r>
          </w:p>
        </w:tc>
      </w:tr>
      <w:tr w:rsidR="00A758CB" w:rsidRPr="00E0300B" w14:paraId="29169482" w14:textId="77777777" w:rsidTr="00A758CB">
        <w:tc>
          <w:tcPr>
            <w:tcW w:w="1267" w:type="dxa"/>
            <w:shd w:val="clear" w:color="auto" w:fill="auto"/>
          </w:tcPr>
          <w:p w14:paraId="1E805963"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51</w:t>
            </w:r>
          </w:p>
        </w:tc>
        <w:tc>
          <w:tcPr>
            <w:tcW w:w="1350" w:type="dxa"/>
          </w:tcPr>
          <w:p w14:paraId="3CF1DBB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142</w:t>
            </w:r>
          </w:p>
        </w:tc>
        <w:tc>
          <w:tcPr>
            <w:tcW w:w="4860" w:type="dxa"/>
            <w:gridSpan w:val="2"/>
            <w:shd w:val="clear" w:color="auto" w:fill="auto"/>
          </w:tcPr>
          <w:p w14:paraId="2587EB61"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Work opportunity tax credit </w:t>
            </w:r>
          </w:p>
        </w:tc>
        <w:tc>
          <w:tcPr>
            <w:tcW w:w="1211" w:type="dxa"/>
            <w:gridSpan w:val="2"/>
            <w:vAlign w:val="bottom"/>
          </w:tcPr>
          <w:p w14:paraId="6A5DBC8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40B7FA72" w14:textId="77777777" w:rsidTr="00A758CB">
        <w:trPr>
          <w:trHeight w:val="360"/>
        </w:trPr>
        <w:tc>
          <w:tcPr>
            <w:tcW w:w="4195" w:type="dxa"/>
            <w:gridSpan w:val="3"/>
            <w:tcBorders>
              <w:top w:val="single" w:sz="4" w:space="0" w:color="auto"/>
              <w:bottom w:val="single" w:sz="4" w:space="0" w:color="auto"/>
            </w:tcBorders>
            <w:vAlign w:val="bottom"/>
          </w:tcPr>
          <w:p w14:paraId="624C16AB" w14:textId="77777777" w:rsidR="00A758CB" w:rsidRPr="00E0300B" w:rsidRDefault="00A758CB" w:rsidP="00A758CB">
            <w:pPr>
              <w:spacing w:before="120"/>
              <w:rPr>
                <w:rFonts w:ascii="Arial Narrow" w:hAnsi="Arial Narrow"/>
                <w:b/>
                <w:sz w:val="20"/>
                <w:szCs w:val="20"/>
              </w:rPr>
            </w:pPr>
          </w:p>
        </w:tc>
        <w:tc>
          <w:tcPr>
            <w:tcW w:w="3282" w:type="dxa"/>
            <w:tcBorders>
              <w:top w:val="single" w:sz="4" w:space="0" w:color="auto"/>
              <w:bottom w:val="single" w:sz="4" w:space="0" w:color="auto"/>
            </w:tcBorders>
            <w:shd w:val="clear" w:color="auto" w:fill="auto"/>
            <w:vAlign w:val="bottom"/>
          </w:tcPr>
          <w:p w14:paraId="1C0E76FD" w14:textId="77777777" w:rsidR="00A758CB" w:rsidRPr="00E0300B" w:rsidRDefault="00A758CB" w:rsidP="00A758CB">
            <w:pPr>
              <w:spacing w:before="120"/>
              <w:rPr>
                <w:rFonts w:ascii="Arial Narrow" w:hAnsi="Arial Narrow"/>
                <w:b/>
                <w:sz w:val="20"/>
                <w:szCs w:val="20"/>
              </w:rPr>
            </w:pPr>
            <w:r w:rsidRPr="00E0300B">
              <w:rPr>
                <w:rFonts w:ascii="Arial Narrow" w:hAnsi="Arial Narrow"/>
                <w:b/>
                <w:sz w:val="20"/>
                <w:szCs w:val="20"/>
              </w:rPr>
              <w:t>Income and Deductions</w:t>
            </w:r>
          </w:p>
        </w:tc>
        <w:tc>
          <w:tcPr>
            <w:tcW w:w="1211" w:type="dxa"/>
            <w:gridSpan w:val="2"/>
            <w:tcBorders>
              <w:top w:val="single" w:sz="4" w:space="0" w:color="auto"/>
              <w:bottom w:val="single" w:sz="4" w:space="0" w:color="auto"/>
            </w:tcBorders>
          </w:tcPr>
          <w:p w14:paraId="71F78BB8" w14:textId="77777777" w:rsidR="00A758CB" w:rsidRPr="00E0300B" w:rsidRDefault="00A758CB" w:rsidP="00A758CB">
            <w:pPr>
              <w:spacing w:before="120"/>
              <w:jc w:val="center"/>
              <w:rPr>
                <w:rFonts w:ascii="Arial Narrow" w:hAnsi="Arial Narrow"/>
                <w:b/>
                <w:sz w:val="20"/>
                <w:szCs w:val="20"/>
              </w:rPr>
            </w:pPr>
          </w:p>
        </w:tc>
      </w:tr>
      <w:tr w:rsidR="00A758CB" w:rsidRPr="00E0300B" w14:paraId="0BE5FA5F" w14:textId="77777777" w:rsidTr="00A758CB">
        <w:tc>
          <w:tcPr>
            <w:tcW w:w="1267" w:type="dxa"/>
            <w:tcBorders>
              <w:top w:val="single" w:sz="4" w:space="0" w:color="auto"/>
            </w:tcBorders>
            <w:shd w:val="clear" w:color="auto" w:fill="auto"/>
          </w:tcPr>
          <w:p w14:paraId="6D0FB0C4"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54E</w:t>
            </w:r>
          </w:p>
        </w:tc>
        <w:tc>
          <w:tcPr>
            <w:tcW w:w="1350" w:type="dxa"/>
            <w:tcBorders>
              <w:top w:val="single" w:sz="4" w:space="0" w:color="auto"/>
            </w:tcBorders>
          </w:tcPr>
          <w:p w14:paraId="0DFD48BD" w14:textId="77777777" w:rsidR="00A758CB" w:rsidRPr="00E0300B" w:rsidRDefault="00A758CB" w:rsidP="00A758CB">
            <w:pPr>
              <w:spacing w:before="120"/>
              <w:ind w:left="144" w:hanging="144"/>
              <w:jc w:val="center"/>
              <w:rPr>
                <w:rFonts w:ascii="Arial Narrow" w:hAnsi="Arial Narrow"/>
                <w:sz w:val="20"/>
                <w:szCs w:val="20"/>
              </w:rPr>
            </w:pPr>
            <w:r w:rsidRPr="00E0300B">
              <w:rPr>
                <w:rFonts w:ascii="Arial Narrow" w:hAnsi="Arial Narrow"/>
                <w:sz w:val="20"/>
                <w:szCs w:val="20"/>
              </w:rPr>
              <w:t>PATH 164</w:t>
            </w:r>
          </w:p>
        </w:tc>
        <w:tc>
          <w:tcPr>
            <w:tcW w:w="4860" w:type="dxa"/>
            <w:gridSpan w:val="2"/>
            <w:tcBorders>
              <w:top w:val="single" w:sz="4" w:space="0" w:color="auto"/>
            </w:tcBorders>
            <w:shd w:val="clear" w:color="auto" w:fill="auto"/>
          </w:tcPr>
          <w:p w14:paraId="48DC461D" w14:textId="77777777" w:rsidR="00A758CB" w:rsidRPr="00E0300B" w:rsidRDefault="00A758CB" w:rsidP="00A758CB">
            <w:pPr>
              <w:spacing w:before="120"/>
              <w:ind w:left="144" w:hanging="144"/>
              <w:rPr>
                <w:rFonts w:ascii="Arial Narrow" w:hAnsi="Arial Narrow"/>
                <w:sz w:val="20"/>
                <w:szCs w:val="20"/>
              </w:rPr>
            </w:pPr>
            <w:r w:rsidRPr="00E0300B">
              <w:rPr>
                <w:rFonts w:ascii="Arial Narrow" w:hAnsi="Arial Narrow"/>
                <w:sz w:val="20"/>
                <w:szCs w:val="20"/>
              </w:rPr>
              <w:t>Allocation of bond cap for qualified zone academy bonds</w:t>
            </w:r>
          </w:p>
        </w:tc>
        <w:tc>
          <w:tcPr>
            <w:tcW w:w="1211" w:type="dxa"/>
            <w:gridSpan w:val="2"/>
            <w:tcBorders>
              <w:top w:val="single" w:sz="4" w:space="0" w:color="auto"/>
            </w:tcBorders>
            <w:vAlign w:val="bottom"/>
          </w:tcPr>
          <w:p w14:paraId="457A9D01" w14:textId="77777777" w:rsidR="00A758CB" w:rsidRPr="00E0300B" w:rsidRDefault="00A758CB" w:rsidP="00A758CB">
            <w:pPr>
              <w:spacing w:before="120"/>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4654EAAC" w14:textId="77777777" w:rsidTr="00A758CB">
        <w:tc>
          <w:tcPr>
            <w:tcW w:w="1267" w:type="dxa"/>
            <w:shd w:val="clear" w:color="auto" w:fill="auto"/>
          </w:tcPr>
          <w:p w14:paraId="10C2BB2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62(a)(2)(D)</w:t>
            </w:r>
          </w:p>
        </w:tc>
        <w:tc>
          <w:tcPr>
            <w:tcW w:w="1350" w:type="dxa"/>
          </w:tcPr>
          <w:p w14:paraId="1993445A"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104</w:t>
            </w:r>
          </w:p>
        </w:tc>
        <w:tc>
          <w:tcPr>
            <w:tcW w:w="4860" w:type="dxa"/>
            <w:gridSpan w:val="2"/>
            <w:shd w:val="clear" w:color="auto" w:fill="auto"/>
          </w:tcPr>
          <w:p w14:paraId="41B20178"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Educator deduction (kindergarten–grade 12)*</w:t>
            </w:r>
          </w:p>
        </w:tc>
        <w:tc>
          <w:tcPr>
            <w:tcW w:w="1211" w:type="dxa"/>
            <w:gridSpan w:val="2"/>
            <w:vAlign w:val="bottom"/>
          </w:tcPr>
          <w:p w14:paraId="64EF2B1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69E295F2" w14:textId="77777777" w:rsidTr="00A758CB">
        <w:tblPrEx>
          <w:tblCellMar>
            <w:left w:w="115" w:type="dxa"/>
            <w:right w:w="115" w:type="dxa"/>
          </w:tblCellMar>
        </w:tblPrEx>
        <w:trPr>
          <w:gridAfter w:val="1"/>
          <w:wAfter w:w="7" w:type="dxa"/>
        </w:trPr>
        <w:tc>
          <w:tcPr>
            <w:tcW w:w="1267" w:type="dxa"/>
            <w:shd w:val="clear" w:color="auto" w:fill="auto"/>
          </w:tcPr>
          <w:p w14:paraId="42BB8FBE"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108</w:t>
            </w:r>
          </w:p>
        </w:tc>
        <w:tc>
          <w:tcPr>
            <w:tcW w:w="1350" w:type="dxa"/>
          </w:tcPr>
          <w:p w14:paraId="30863BE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151</w:t>
            </w:r>
          </w:p>
        </w:tc>
        <w:tc>
          <w:tcPr>
            <w:tcW w:w="4860" w:type="dxa"/>
            <w:gridSpan w:val="2"/>
            <w:shd w:val="clear" w:color="auto" w:fill="auto"/>
          </w:tcPr>
          <w:p w14:paraId="28B4B22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COD income exclusion for discharge of principal residence debt</w:t>
            </w:r>
          </w:p>
        </w:tc>
        <w:tc>
          <w:tcPr>
            <w:tcW w:w="1204" w:type="dxa"/>
          </w:tcPr>
          <w:p w14:paraId="37238CF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2200C961" w14:textId="77777777" w:rsidTr="00A758CB">
        <w:tc>
          <w:tcPr>
            <w:tcW w:w="1267" w:type="dxa"/>
            <w:shd w:val="clear" w:color="auto" w:fill="auto"/>
          </w:tcPr>
          <w:p w14:paraId="349F5F0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132(f)</w:t>
            </w:r>
          </w:p>
        </w:tc>
        <w:tc>
          <w:tcPr>
            <w:tcW w:w="1350" w:type="dxa"/>
          </w:tcPr>
          <w:p w14:paraId="610E2C0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105</w:t>
            </w:r>
          </w:p>
        </w:tc>
        <w:tc>
          <w:tcPr>
            <w:tcW w:w="4860" w:type="dxa"/>
            <w:gridSpan w:val="2"/>
            <w:shd w:val="clear" w:color="auto" w:fill="auto"/>
          </w:tcPr>
          <w:p w14:paraId="77BC9648"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Parity for income exclusion of employer-provided mass transit and parking benefits</w:t>
            </w:r>
          </w:p>
        </w:tc>
        <w:tc>
          <w:tcPr>
            <w:tcW w:w="1211" w:type="dxa"/>
            <w:gridSpan w:val="2"/>
          </w:tcPr>
          <w:p w14:paraId="18DE44C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50A114CC" w14:textId="77777777" w:rsidTr="00A758CB">
        <w:tc>
          <w:tcPr>
            <w:tcW w:w="1267" w:type="dxa"/>
            <w:shd w:val="clear" w:color="auto" w:fill="auto"/>
          </w:tcPr>
          <w:p w14:paraId="133A4E3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163(h)(3)(E)</w:t>
            </w:r>
          </w:p>
        </w:tc>
        <w:tc>
          <w:tcPr>
            <w:tcW w:w="1350" w:type="dxa"/>
          </w:tcPr>
          <w:p w14:paraId="3ED7E58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152</w:t>
            </w:r>
          </w:p>
        </w:tc>
        <w:tc>
          <w:tcPr>
            <w:tcW w:w="4860" w:type="dxa"/>
            <w:gridSpan w:val="2"/>
            <w:shd w:val="clear" w:color="auto" w:fill="auto"/>
          </w:tcPr>
          <w:p w14:paraId="7B8E544B"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Mortgage insurance premium deduction as qualified residence interest </w:t>
            </w:r>
          </w:p>
        </w:tc>
        <w:tc>
          <w:tcPr>
            <w:tcW w:w="1211" w:type="dxa"/>
            <w:gridSpan w:val="2"/>
          </w:tcPr>
          <w:p w14:paraId="1E44CE0A"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307AB955" w14:textId="77777777" w:rsidTr="00A758CB">
        <w:tc>
          <w:tcPr>
            <w:tcW w:w="1267" w:type="dxa"/>
            <w:shd w:val="clear" w:color="auto" w:fill="auto"/>
          </w:tcPr>
          <w:p w14:paraId="4EA7B4A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164(b)</w:t>
            </w:r>
          </w:p>
        </w:tc>
        <w:tc>
          <w:tcPr>
            <w:tcW w:w="1350" w:type="dxa"/>
          </w:tcPr>
          <w:p w14:paraId="12CAE6C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106</w:t>
            </w:r>
          </w:p>
        </w:tc>
        <w:tc>
          <w:tcPr>
            <w:tcW w:w="4860" w:type="dxa"/>
            <w:gridSpan w:val="2"/>
            <w:shd w:val="clear" w:color="auto" w:fill="auto"/>
          </w:tcPr>
          <w:p w14:paraId="0D0528C8"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Deduction for state and local general sales taxes</w:t>
            </w:r>
          </w:p>
        </w:tc>
        <w:tc>
          <w:tcPr>
            <w:tcW w:w="1211" w:type="dxa"/>
            <w:gridSpan w:val="2"/>
            <w:vAlign w:val="bottom"/>
          </w:tcPr>
          <w:p w14:paraId="19FA402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1A42B827" w14:textId="77777777" w:rsidTr="00A758CB">
        <w:tc>
          <w:tcPr>
            <w:tcW w:w="1267" w:type="dxa"/>
            <w:shd w:val="clear" w:color="auto" w:fill="auto"/>
          </w:tcPr>
          <w:p w14:paraId="6F24C413"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168(e)(3)(A)</w:t>
            </w:r>
          </w:p>
        </w:tc>
        <w:tc>
          <w:tcPr>
            <w:tcW w:w="1350" w:type="dxa"/>
          </w:tcPr>
          <w:p w14:paraId="7082F0B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165</w:t>
            </w:r>
          </w:p>
        </w:tc>
        <w:tc>
          <w:tcPr>
            <w:tcW w:w="4860" w:type="dxa"/>
            <w:gridSpan w:val="2"/>
            <w:shd w:val="clear" w:color="auto" w:fill="auto"/>
          </w:tcPr>
          <w:p w14:paraId="6A59277E"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3-year depreciation for race horses 2 years old or younger</w:t>
            </w:r>
          </w:p>
        </w:tc>
        <w:tc>
          <w:tcPr>
            <w:tcW w:w="1211" w:type="dxa"/>
            <w:gridSpan w:val="2"/>
          </w:tcPr>
          <w:p w14:paraId="794D019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DB603EC" w14:textId="77777777" w:rsidTr="00A758CB">
        <w:tc>
          <w:tcPr>
            <w:tcW w:w="1267" w:type="dxa"/>
            <w:shd w:val="clear" w:color="auto" w:fill="auto"/>
          </w:tcPr>
          <w:p w14:paraId="0C9F6FEF"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168(e)(3)(E)</w:t>
            </w:r>
          </w:p>
        </w:tc>
        <w:tc>
          <w:tcPr>
            <w:tcW w:w="1350" w:type="dxa"/>
          </w:tcPr>
          <w:p w14:paraId="5B95ED6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123</w:t>
            </w:r>
          </w:p>
        </w:tc>
        <w:tc>
          <w:tcPr>
            <w:tcW w:w="4860" w:type="dxa"/>
            <w:gridSpan w:val="2"/>
            <w:shd w:val="clear" w:color="auto" w:fill="auto"/>
          </w:tcPr>
          <w:p w14:paraId="21C1707F"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15-year straight-line cost recovery for qualified leasehold improvements, qualified restaurant property, and qualified retail improvements</w:t>
            </w:r>
          </w:p>
        </w:tc>
        <w:tc>
          <w:tcPr>
            <w:tcW w:w="1211" w:type="dxa"/>
            <w:gridSpan w:val="2"/>
          </w:tcPr>
          <w:p w14:paraId="1505771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34C20937" w14:textId="77777777" w:rsidTr="00A758CB">
        <w:tc>
          <w:tcPr>
            <w:tcW w:w="1267" w:type="dxa"/>
            <w:shd w:val="clear" w:color="auto" w:fill="auto"/>
          </w:tcPr>
          <w:p w14:paraId="1AC13D6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w:t>
            </w:r>
            <w:proofErr w:type="spellStart"/>
            <w:r w:rsidRPr="00E0300B">
              <w:rPr>
                <w:rFonts w:ascii="Arial Narrow" w:hAnsi="Arial Narrow"/>
                <w:sz w:val="20"/>
                <w:szCs w:val="20"/>
              </w:rPr>
              <w:t>i</w:t>
            </w:r>
            <w:proofErr w:type="spellEnd"/>
            <w:r w:rsidRPr="00E0300B">
              <w:rPr>
                <w:rFonts w:ascii="Arial Narrow" w:hAnsi="Arial Narrow"/>
                <w:sz w:val="20"/>
                <w:szCs w:val="20"/>
              </w:rPr>
              <w:t>)(15)(D)</w:t>
            </w:r>
          </w:p>
        </w:tc>
        <w:tc>
          <w:tcPr>
            <w:tcW w:w="1350" w:type="dxa"/>
          </w:tcPr>
          <w:p w14:paraId="025DECB2"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166</w:t>
            </w:r>
          </w:p>
        </w:tc>
        <w:tc>
          <w:tcPr>
            <w:tcW w:w="4860" w:type="dxa"/>
            <w:gridSpan w:val="2"/>
            <w:shd w:val="clear" w:color="auto" w:fill="auto"/>
          </w:tcPr>
          <w:p w14:paraId="684E0C54"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7-year recovery period for motorsports entertainment complexes</w:t>
            </w:r>
          </w:p>
        </w:tc>
        <w:tc>
          <w:tcPr>
            <w:tcW w:w="1211" w:type="dxa"/>
            <w:gridSpan w:val="2"/>
          </w:tcPr>
          <w:p w14:paraId="153BDE0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4DC40D9A" w14:textId="77777777" w:rsidTr="00A758CB">
        <w:tc>
          <w:tcPr>
            <w:tcW w:w="1267" w:type="dxa"/>
            <w:shd w:val="clear" w:color="auto" w:fill="auto"/>
          </w:tcPr>
          <w:p w14:paraId="12E845D2"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168(j)</w:t>
            </w:r>
          </w:p>
        </w:tc>
        <w:tc>
          <w:tcPr>
            <w:tcW w:w="1350" w:type="dxa"/>
          </w:tcPr>
          <w:p w14:paraId="73CB3DA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167</w:t>
            </w:r>
          </w:p>
        </w:tc>
        <w:tc>
          <w:tcPr>
            <w:tcW w:w="4860" w:type="dxa"/>
            <w:gridSpan w:val="2"/>
            <w:shd w:val="clear" w:color="auto" w:fill="auto"/>
          </w:tcPr>
          <w:p w14:paraId="57097B52"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Accelerated depreciation for Indian reservation property*</w:t>
            </w:r>
          </w:p>
        </w:tc>
        <w:tc>
          <w:tcPr>
            <w:tcW w:w="1211" w:type="dxa"/>
            <w:gridSpan w:val="2"/>
            <w:vAlign w:val="bottom"/>
          </w:tcPr>
          <w:p w14:paraId="21CCED9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32C9A193" w14:textId="77777777" w:rsidTr="00A758CB">
        <w:tblPrEx>
          <w:tblCellMar>
            <w:left w:w="115" w:type="dxa"/>
            <w:right w:w="115" w:type="dxa"/>
          </w:tblCellMar>
        </w:tblPrEx>
        <w:trPr>
          <w:gridAfter w:val="1"/>
          <w:wAfter w:w="7" w:type="dxa"/>
        </w:trPr>
        <w:tc>
          <w:tcPr>
            <w:tcW w:w="1267" w:type="dxa"/>
            <w:shd w:val="clear" w:color="auto" w:fill="auto"/>
          </w:tcPr>
          <w:p w14:paraId="754AB2EB"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168(k)</w:t>
            </w:r>
          </w:p>
        </w:tc>
        <w:tc>
          <w:tcPr>
            <w:tcW w:w="1350" w:type="dxa"/>
          </w:tcPr>
          <w:p w14:paraId="4DBEE9BD"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143</w:t>
            </w:r>
          </w:p>
        </w:tc>
        <w:tc>
          <w:tcPr>
            <w:tcW w:w="4860" w:type="dxa"/>
            <w:gridSpan w:val="2"/>
            <w:shd w:val="clear" w:color="auto" w:fill="auto"/>
          </w:tcPr>
          <w:p w14:paraId="3019E7FB"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50% additional first-year depreciation (AFYD)</w:t>
            </w:r>
          </w:p>
        </w:tc>
        <w:tc>
          <w:tcPr>
            <w:tcW w:w="1204" w:type="dxa"/>
            <w:vAlign w:val="bottom"/>
          </w:tcPr>
          <w:p w14:paraId="6CE5465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00B73915" w14:textId="77777777" w:rsidTr="00A758CB">
        <w:tblPrEx>
          <w:tblCellMar>
            <w:left w:w="115" w:type="dxa"/>
            <w:right w:w="115" w:type="dxa"/>
          </w:tblCellMar>
        </w:tblPrEx>
        <w:trPr>
          <w:gridAfter w:val="1"/>
          <w:wAfter w:w="7" w:type="dxa"/>
        </w:trPr>
        <w:tc>
          <w:tcPr>
            <w:tcW w:w="1267" w:type="dxa"/>
            <w:shd w:val="clear" w:color="auto" w:fill="auto"/>
          </w:tcPr>
          <w:p w14:paraId="7C485000"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168(k)(4)</w:t>
            </w:r>
          </w:p>
        </w:tc>
        <w:tc>
          <w:tcPr>
            <w:tcW w:w="1350" w:type="dxa"/>
          </w:tcPr>
          <w:p w14:paraId="7D321AC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143</w:t>
            </w:r>
          </w:p>
        </w:tc>
        <w:tc>
          <w:tcPr>
            <w:tcW w:w="4860" w:type="dxa"/>
            <w:gridSpan w:val="2"/>
            <w:shd w:val="clear" w:color="auto" w:fill="auto"/>
          </w:tcPr>
          <w:p w14:paraId="0639BA55"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Election to accelerate alternative minimum tax credits in lieu of AFYD</w:t>
            </w:r>
          </w:p>
        </w:tc>
        <w:tc>
          <w:tcPr>
            <w:tcW w:w="1204" w:type="dxa"/>
          </w:tcPr>
          <w:p w14:paraId="6FADFC5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690053BA" w14:textId="77777777" w:rsidTr="00A758CB">
        <w:tblPrEx>
          <w:tblCellMar>
            <w:left w:w="115" w:type="dxa"/>
            <w:right w:w="115" w:type="dxa"/>
          </w:tblCellMar>
        </w:tblPrEx>
        <w:trPr>
          <w:gridAfter w:val="1"/>
          <w:wAfter w:w="7" w:type="dxa"/>
        </w:trPr>
        <w:tc>
          <w:tcPr>
            <w:tcW w:w="1267" w:type="dxa"/>
            <w:shd w:val="clear" w:color="auto" w:fill="auto"/>
          </w:tcPr>
          <w:p w14:paraId="10157E39"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168(l)</w:t>
            </w:r>
          </w:p>
        </w:tc>
        <w:tc>
          <w:tcPr>
            <w:tcW w:w="1350" w:type="dxa"/>
          </w:tcPr>
          <w:p w14:paraId="23980EE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189</w:t>
            </w:r>
          </w:p>
        </w:tc>
        <w:tc>
          <w:tcPr>
            <w:tcW w:w="4860" w:type="dxa"/>
            <w:gridSpan w:val="2"/>
            <w:shd w:val="clear" w:color="auto" w:fill="auto"/>
          </w:tcPr>
          <w:p w14:paraId="1B8069C2"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Special depreciation allowance for second generation biofuel plant property</w:t>
            </w:r>
          </w:p>
        </w:tc>
        <w:tc>
          <w:tcPr>
            <w:tcW w:w="1204" w:type="dxa"/>
          </w:tcPr>
          <w:p w14:paraId="2865EB4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55A872AB" w14:textId="77777777" w:rsidTr="00A758CB">
        <w:tc>
          <w:tcPr>
            <w:tcW w:w="1267" w:type="dxa"/>
            <w:shd w:val="clear" w:color="auto" w:fill="auto"/>
          </w:tcPr>
          <w:p w14:paraId="4C9906F6"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170(b)</w:t>
            </w:r>
          </w:p>
        </w:tc>
        <w:tc>
          <w:tcPr>
            <w:tcW w:w="1350" w:type="dxa"/>
          </w:tcPr>
          <w:p w14:paraId="25ACDB3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111</w:t>
            </w:r>
          </w:p>
        </w:tc>
        <w:tc>
          <w:tcPr>
            <w:tcW w:w="4860" w:type="dxa"/>
            <w:gridSpan w:val="2"/>
            <w:shd w:val="clear" w:color="auto" w:fill="auto"/>
          </w:tcPr>
          <w:p w14:paraId="7363A52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Special rules for charitable contributions of conservation easements*</w:t>
            </w:r>
          </w:p>
        </w:tc>
        <w:tc>
          <w:tcPr>
            <w:tcW w:w="1211" w:type="dxa"/>
            <w:gridSpan w:val="2"/>
          </w:tcPr>
          <w:p w14:paraId="50C2A10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73553FA4" w14:textId="77777777" w:rsidTr="00A758CB">
        <w:tc>
          <w:tcPr>
            <w:tcW w:w="1267" w:type="dxa"/>
            <w:shd w:val="clear" w:color="auto" w:fill="auto"/>
          </w:tcPr>
          <w:p w14:paraId="3A43DDE4"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170(e)</w:t>
            </w:r>
          </w:p>
        </w:tc>
        <w:tc>
          <w:tcPr>
            <w:tcW w:w="1350" w:type="dxa"/>
          </w:tcPr>
          <w:p w14:paraId="58A45083"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113</w:t>
            </w:r>
          </w:p>
        </w:tc>
        <w:tc>
          <w:tcPr>
            <w:tcW w:w="4860" w:type="dxa"/>
            <w:gridSpan w:val="2"/>
            <w:shd w:val="clear" w:color="auto" w:fill="auto"/>
          </w:tcPr>
          <w:p w14:paraId="32B1A5E1"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Enhanced charitable deduction for contributions of food inventory*</w:t>
            </w:r>
          </w:p>
        </w:tc>
        <w:tc>
          <w:tcPr>
            <w:tcW w:w="1211" w:type="dxa"/>
            <w:gridSpan w:val="2"/>
          </w:tcPr>
          <w:p w14:paraId="64357EF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2571517D" w14:textId="77777777" w:rsidTr="00A758CB">
        <w:tc>
          <w:tcPr>
            <w:tcW w:w="1267" w:type="dxa"/>
            <w:shd w:val="clear" w:color="auto" w:fill="auto"/>
          </w:tcPr>
          <w:p w14:paraId="28777C54"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179</w:t>
            </w:r>
          </w:p>
        </w:tc>
        <w:tc>
          <w:tcPr>
            <w:tcW w:w="1350" w:type="dxa"/>
          </w:tcPr>
          <w:p w14:paraId="0AE95ED6"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124</w:t>
            </w:r>
          </w:p>
        </w:tc>
        <w:tc>
          <w:tcPr>
            <w:tcW w:w="4860" w:type="dxa"/>
            <w:gridSpan w:val="2"/>
            <w:shd w:val="clear" w:color="auto" w:fill="auto"/>
          </w:tcPr>
          <w:p w14:paraId="35E7F3B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Increase in expensing limits to $500,000/$200,000 and expansion of definition of eligible property to qualified real property*</w:t>
            </w:r>
          </w:p>
        </w:tc>
        <w:tc>
          <w:tcPr>
            <w:tcW w:w="1211" w:type="dxa"/>
            <w:gridSpan w:val="2"/>
          </w:tcPr>
          <w:p w14:paraId="1E7C666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0D781550" w14:textId="77777777" w:rsidTr="00A758CB">
        <w:tc>
          <w:tcPr>
            <w:tcW w:w="1267" w:type="dxa"/>
            <w:shd w:val="clear" w:color="auto" w:fill="auto"/>
          </w:tcPr>
          <w:p w14:paraId="074FFA9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179D(h)</w:t>
            </w:r>
          </w:p>
        </w:tc>
        <w:tc>
          <w:tcPr>
            <w:tcW w:w="1350" w:type="dxa"/>
          </w:tcPr>
          <w:p w14:paraId="224DF01D"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190</w:t>
            </w:r>
          </w:p>
        </w:tc>
        <w:tc>
          <w:tcPr>
            <w:tcW w:w="4860" w:type="dxa"/>
            <w:gridSpan w:val="2"/>
            <w:shd w:val="clear" w:color="auto" w:fill="auto"/>
          </w:tcPr>
          <w:p w14:paraId="23016047"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Energy-efficient commercial buildings deduction </w:t>
            </w:r>
          </w:p>
        </w:tc>
        <w:tc>
          <w:tcPr>
            <w:tcW w:w="1211" w:type="dxa"/>
            <w:gridSpan w:val="2"/>
          </w:tcPr>
          <w:p w14:paraId="06D7522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0B1F570" w14:textId="77777777" w:rsidTr="00A758CB">
        <w:tc>
          <w:tcPr>
            <w:tcW w:w="1267" w:type="dxa"/>
            <w:shd w:val="clear" w:color="auto" w:fill="auto"/>
          </w:tcPr>
          <w:p w14:paraId="52D661C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179E</w:t>
            </w:r>
          </w:p>
        </w:tc>
        <w:tc>
          <w:tcPr>
            <w:tcW w:w="1350" w:type="dxa"/>
          </w:tcPr>
          <w:p w14:paraId="0572B0B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168</w:t>
            </w:r>
          </w:p>
        </w:tc>
        <w:tc>
          <w:tcPr>
            <w:tcW w:w="4860" w:type="dxa"/>
            <w:gridSpan w:val="2"/>
            <w:shd w:val="clear" w:color="auto" w:fill="auto"/>
          </w:tcPr>
          <w:p w14:paraId="1BF33680"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Election to expense advanced mine safety equipment </w:t>
            </w:r>
          </w:p>
        </w:tc>
        <w:tc>
          <w:tcPr>
            <w:tcW w:w="1211" w:type="dxa"/>
            <w:gridSpan w:val="2"/>
            <w:vAlign w:val="bottom"/>
          </w:tcPr>
          <w:p w14:paraId="5C7E9F4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1101B17F" w14:textId="77777777" w:rsidTr="00A758CB">
        <w:tc>
          <w:tcPr>
            <w:tcW w:w="1267" w:type="dxa"/>
            <w:shd w:val="clear" w:color="auto" w:fill="auto"/>
          </w:tcPr>
          <w:p w14:paraId="46218076"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181(f)</w:t>
            </w:r>
          </w:p>
        </w:tc>
        <w:tc>
          <w:tcPr>
            <w:tcW w:w="1350" w:type="dxa"/>
          </w:tcPr>
          <w:p w14:paraId="0E4A003E"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169</w:t>
            </w:r>
          </w:p>
        </w:tc>
        <w:tc>
          <w:tcPr>
            <w:tcW w:w="4860" w:type="dxa"/>
            <w:gridSpan w:val="2"/>
            <w:shd w:val="clear" w:color="auto" w:fill="auto"/>
          </w:tcPr>
          <w:p w14:paraId="47F81381"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Special expensing rules for film and television productions*</w:t>
            </w:r>
          </w:p>
        </w:tc>
        <w:tc>
          <w:tcPr>
            <w:tcW w:w="1211" w:type="dxa"/>
            <w:gridSpan w:val="2"/>
          </w:tcPr>
          <w:p w14:paraId="1311128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6F3CE055" w14:textId="77777777" w:rsidTr="00A758CB">
        <w:tc>
          <w:tcPr>
            <w:tcW w:w="1267" w:type="dxa"/>
            <w:shd w:val="clear" w:color="auto" w:fill="auto"/>
          </w:tcPr>
          <w:p w14:paraId="09031BC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199</w:t>
            </w:r>
          </w:p>
        </w:tc>
        <w:tc>
          <w:tcPr>
            <w:tcW w:w="1350" w:type="dxa"/>
          </w:tcPr>
          <w:p w14:paraId="574E1F9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170</w:t>
            </w:r>
          </w:p>
        </w:tc>
        <w:tc>
          <w:tcPr>
            <w:tcW w:w="4860" w:type="dxa"/>
            <w:gridSpan w:val="2"/>
            <w:shd w:val="clear" w:color="auto" w:fill="auto"/>
          </w:tcPr>
          <w:p w14:paraId="6B1F1D27"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Domestic production activities deduction for activities in Puerto Rico</w:t>
            </w:r>
          </w:p>
        </w:tc>
        <w:tc>
          <w:tcPr>
            <w:tcW w:w="1211" w:type="dxa"/>
            <w:gridSpan w:val="2"/>
          </w:tcPr>
          <w:p w14:paraId="23AE4294"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D9ADB73" w14:textId="77777777" w:rsidTr="00A758CB">
        <w:tc>
          <w:tcPr>
            <w:tcW w:w="1267" w:type="dxa"/>
            <w:shd w:val="clear" w:color="auto" w:fill="auto"/>
          </w:tcPr>
          <w:p w14:paraId="0D772268"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213</w:t>
            </w:r>
          </w:p>
        </w:tc>
        <w:tc>
          <w:tcPr>
            <w:tcW w:w="1350" w:type="dxa"/>
          </w:tcPr>
          <w:p w14:paraId="2E6F974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0A0B0158"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7.5% adjusted gross income (AGI) floor for individuals age 65 and older for medical expenses</w:t>
            </w:r>
          </w:p>
        </w:tc>
        <w:tc>
          <w:tcPr>
            <w:tcW w:w="1211" w:type="dxa"/>
            <w:gridSpan w:val="2"/>
          </w:tcPr>
          <w:p w14:paraId="633F473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59E28147" w14:textId="77777777" w:rsidTr="00A758CB">
        <w:tc>
          <w:tcPr>
            <w:tcW w:w="1267" w:type="dxa"/>
            <w:shd w:val="clear" w:color="auto" w:fill="auto"/>
          </w:tcPr>
          <w:p w14:paraId="08E18A8C"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222</w:t>
            </w:r>
          </w:p>
        </w:tc>
        <w:tc>
          <w:tcPr>
            <w:tcW w:w="1350" w:type="dxa"/>
          </w:tcPr>
          <w:p w14:paraId="4F8CC013"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153</w:t>
            </w:r>
          </w:p>
        </w:tc>
        <w:tc>
          <w:tcPr>
            <w:tcW w:w="4860" w:type="dxa"/>
            <w:gridSpan w:val="2"/>
            <w:shd w:val="clear" w:color="auto" w:fill="auto"/>
          </w:tcPr>
          <w:p w14:paraId="65B180FA"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Deduction for qualified tuition and related expenses </w:t>
            </w:r>
          </w:p>
        </w:tc>
        <w:tc>
          <w:tcPr>
            <w:tcW w:w="1211" w:type="dxa"/>
            <w:gridSpan w:val="2"/>
            <w:vAlign w:val="bottom"/>
          </w:tcPr>
          <w:p w14:paraId="65ADDC1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76899061" w14:textId="77777777" w:rsidTr="00A758CB">
        <w:tc>
          <w:tcPr>
            <w:tcW w:w="1267" w:type="dxa"/>
            <w:shd w:val="clear" w:color="auto" w:fill="auto"/>
          </w:tcPr>
          <w:p w14:paraId="61866FD6"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408(d)(8)</w:t>
            </w:r>
          </w:p>
        </w:tc>
        <w:tc>
          <w:tcPr>
            <w:tcW w:w="1350" w:type="dxa"/>
          </w:tcPr>
          <w:p w14:paraId="7D7D45EC"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PATH 112</w:t>
            </w:r>
          </w:p>
        </w:tc>
        <w:tc>
          <w:tcPr>
            <w:tcW w:w="4860" w:type="dxa"/>
            <w:gridSpan w:val="2"/>
            <w:shd w:val="clear" w:color="auto" w:fill="auto"/>
          </w:tcPr>
          <w:p w14:paraId="49F05F20"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 xml:space="preserve">Tax-free distributions from IRAs for charitable purposes </w:t>
            </w:r>
          </w:p>
        </w:tc>
        <w:tc>
          <w:tcPr>
            <w:tcW w:w="1211" w:type="dxa"/>
            <w:gridSpan w:val="2"/>
            <w:vAlign w:val="bottom"/>
          </w:tcPr>
          <w:p w14:paraId="257E3A26"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None</w:t>
            </w:r>
          </w:p>
        </w:tc>
      </w:tr>
      <w:tr w:rsidR="00A758CB" w:rsidRPr="00E0300B" w14:paraId="0D44A3CF" w14:textId="77777777" w:rsidTr="00A758CB">
        <w:tc>
          <w:tcPr>
            <w:tcW w:w="4195" w:type="dxa"/>
            <w:gridSpan w:val="3"/>
            <w:vAlign w:val="bottom"/>
          </w:tcPr>
          <w:p w14:paraId="1674CB82" w14:textId="77777777" w:rsidR="00A758CB" w:rsidRPr="00E0300B" w:rsidRDefault="00A758CB" w:rsidP="00477DF1">
            <w:pPr>
              <w:keepNext/>
              <w:keepLines/>
              <w:spacing w:before="120"/>
              <w:rPr>
                <w:rFonts w:ascii="Arial Narrow" w:hAnsi="Arial Narrow"/>
                <w:b/>
                <w:sz w:val="20"/>
                <w:szCs w:val="20"/>
              </w:rPr>
            </w:pPr>
          </w:p>
        </w:tc>
        <w:tc>
          <w:tcPr>
            <w:tcW w:w="4493" w:type="dxa"/>
            <w:gridSpan w:val="3"/>
            <w:shd w:val="clear" w:color="auto" w:fill="auto"/>
            <w:vAlign w:val="bottom"/>
          </w:tcPr>
          <w:p w14:paraId="19AFEDDB" w14:textId="77777777" w:rsidR="00A758CB" w:rsidRPr="00E0300B" w:rsidRDefault="00A758CB" w:rsidP="00477DF1">
            <w:pPr>
              <w:keepNext/>
              <w:keepLines/>
              <w:spacing w:before="120"/>
              <w:rPr>
                <w:rFonts w:ascii="Arial Narrow" w:hAnsi="Arial Narrow"/>
                <w:sz w:val="20"/>
                <w:szCs w:val="20"/>
              </w:rPr>
            </w:pPr>
            <w:r w:rsidRPr="00E0300B">
              <w:rPr>
                <w:rFonts w:ascii="Arial Narrow" w:hAnsi="Arial Narrow"/>
                <w:b/>
                <w:sz w:val="20"/>
                <w:szCs w:val="20"/>
              </w:rPr>
              <w:t>Employer Plans</w:t>
            </w:r>
          </w:p>
        </w:tc>
      </w:tr>
      <w:tr w:rsidR="00A758CB" w:rsidRPr="00E0300B" w14:paraId="03D0FF23" w14:textId="77777777" w:rsidTr="00A758CB">
        <w:tc>
          <w:tcPr>
            <w:tcW w:w="1267" w:type="dxa"/>
            <w:shd w:val="clear" w:color="auto" w:fill="auto"/>
          </w:tcPr>
          <w:p w14:paraId="1D4CE6FC"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420</w:t>
            </w:r>
          </w:p>
        </w:tc>
        <w:tc>
          <w:tcPr>
            <w:tcW w:w="1350" w:type="dxa"/>
          </w:tcPr>
          <w:p w14:paraId="2A462086"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5F5A7963" w14:textId="77777777" w:rsidR="00A758CB" w:rsidRPr="00E0300B" w:rsidRDefault="00A758CB" w:rsidP="00477DF1">
            <w:pPr>
              <w:keepNext/>
              <w:keepLines/>
              <w:spacing w:before="120"/>
              <w:rPr>
                <w:rFonts w:ascii="Arial Narrow" w:hAnsi="Arial Narrow"/>
                <w:sz w:val="20"/>
                <w:szCs w:val="20"/>
              </w:rPr>
            </w:pPr>
            <w:r w:rsidRPr="00E0300B">
              <w:rPr>
                <w:rFonts w:ascii="Arial Narrow" w:hAnsi="Arial Narrow"/>
                <w:sz w:val="20"/>
                <w:szCs w:val="20"/>
              </w:rPr>
              <w:t>Transfer of excess pension assets to retiree health and life insurance accounts</w:t>
            </w:r>
          </w:p>
        </w:tc>
        <w:tc>
          <w:tcPr>
            <w:tcW w:w="1211" w:type="dxa"/>
            <w:gridSpan w:val="2"/>
          </w:tcPr>
          <w:p w14:paraId="2CEFBA76" w14:textId="77777777" w:rsidR="00A758CB" w:rsidRPr="00E0300B" w:rsidRDefault="00A758CB" w:rsidP="00477DF1">
            <w:pPr>
              <w:keepNext/>
              <w:keepLines/>
              <w:spacing w:before="120"/>
              <w:jc w:val="center"/>
              <w:rPr>
                <w:rFonts w:ascii="Arial Narrow" w:hAnsi="Arial Narrow"/>
                <w:sz w:val="20"/>
                <w:szCs w:val="20"/>
              </w:rPr>
            </w:pPr>
            <w:r w:rsidRPr="00E0300B">
              <w:rPr>
                <w:rFonts w:ascii="Arial Narrow" w:hAnsi="Arial Narrow"/>
                <w:sz w:val="20"/>
                <w:szCs w:val="20"/>
              </w:rPr>
              <w:t>2025</w:t>
            </w:r>
          </w:p>
        </w:tc>
      </w:tr>
      <w:tr w:rsidR="00A758CB" w:rsidRPr="00E0300B" w14:paraId="7E946CFF" w14:textId="77777777" w:rsidTr="00A758CB">
        <w:tc>
          <w:tcPr>
            <w:tcW w:w="1267" w:type="dxa"/>
            <w:shd w:val="clear" w:color="auto" w:fill="auto"/>
          </w:tcPr>
          <w:p w14:paraId="03D89306"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lastRenderedPageBreak/>
              <w:t>431</w:t>
            </w:r>
          </w:p>
        </w:tc>
        <w:tc>
          <w:tcPr>
            <w:tcW w:w="1350" w:type="dxa"/>
          </w:tcPr>
          <w:p w14:paraId="268CEE3A"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079BDE85" w14:textId="77777777" w:rsidR="00A758CB" w:rsidRPr="00E0300B" w:rsidRDefault="00A758CB" w:rsidP="00477DF1">
            <w:pPr>
              <w:keepNext/>
              <w:keepLines/>
              <w:spacing w:before="120"/>
              <w:rPr>
                <w:rFonts w:ascii="Arial Narrow" w:hAnsi="Arial Narrow"/>
                <w:sz w:val="20"/>
                <w:szCs w:val="20"/>
              </w:rPr>
            </w:pPr>
            <w:r w:rsidRPr="00E0300B">
              <w:rPr>
                <w:rFonts w:ascii="Arial Narrow" w:hAnsi="Arial Narrow"/>
                <w:sz w:val="20"/>
                <w:szCs w:val="20"/>
              </w:rPr>
              <w:t>Automatic amortization extension for multiemployer defined benefit pension plans</w:t>
            </w:r>
          </w:p>
        </w:tc>
        <w:tc>
          <w:tcPr>
            <w:tcW w:w="1211" w:type="dxa"/>
            <w:gridSpan w:val="2"/>
          </w:tcPr>
          <w:p w14:paraId="01B457AE" w14:textId="77777777" w:rsidR="00A758CB" w:rsidRPr="00E0300B" w:rsidRDefault="00A758CB" w:rsidP="00477DF1">
            <w:pPr>
              <w:keepNext/>
              <w:keepLines/>
              <w:spacing w:before="120"/>
              <w:jc w:val="center"/>
              <w:rPr>
                <w:rFonts w:ascii="Arial Narrow" w:hAnsi="Arial Narrow"/>
                <w:sz w:val="20"/>
                <w:szCs w:val="20"/>
              </w:rPr>
            </w:pPr>
            <w:r w:rsidRPr="00E0300B">
              <w:rPr>
                <w:rFonts w:ascii="Arial Narrow" w:hAnsi="Arial Narrow"/>
                <w:sz w:val="20"/>
                <w:szCs w:val="20"/>
              </w:rPr>
              <w:t>2014</w:t>
            </w:r>
          </w:p>
        </w:tc>
      </w:tr>
      <w:tr w:rsidR="00A758CB" w:rsidRPr="00E0300B" w14:paraId="42ED4A24" w14:textId="77777777" w:rsidTr="00A758CB">
        <w:tc>
          <w:tcPr>
            <w:tcW w:w="1267" w:type="dxa"/>
            <w:shd w:val="clear" w:color="auto" w:fill="auto"/>
          </w:tcPr>
          <w:p w14:paraId="1F267B16"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432</w:t>
            </w:r>
          </w:p>
        </w:tc>
        <w:tc>
          <w:tcPr>
            <w:tcW w:w="1350" w:type="dxa"/>
          </w:tcPr>
          <w:p w14:paraId="224CBC8E"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74EA6AF3"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Additional funding rules for multiemployer defined benefit pension plans in endangered or critical status</w:t>
            </w:r>
          </w:p>
        </w:tc>
        <w:tc>
          <w:tcPr>
            <w:tcW w:w="1211" w:type="dxa"/>
            <w:gridSpan w:val="2"/>
          </w:tcPr>
          <w:p w14:paraId="6015E489"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2014</w:t>
            </w:r>
          </w:p>
        </w:tc>
      </w:tr>
      <w:tr w:rsidR="00A758CB" w:rsidRPr="00E0300B" w14:paraId="0FD0C2DF" w14:textId="77777777" w:rsidTr="00A758CB">
        <w:tc>
          <w:tcPr>
            <w:tcW w:w="1267" w:type="dxa"/>
            <w:shd w:val="clear" w:color="auto" w:fill="auto"/>
          </w:tcPr>
          <w:p w14:paraId="24420FE9"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Pub. L. No. 109-280, §§ 201, 221**</w:t>
            </w:r>
          </w:p>
        </w:tc>
        <w:tc>
          <w:tcPr>
            <w:tcW w:w="1350" w:type="dxa"/>
          </w:tcPr>
          <w:p w14:paraId="15692667"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7DF2FF34" w14:textId="77777777" w:rsidR="00A758CB" w:rsidRPr="00E0300B" w:rsidRDefault="00A758CB" w:rsidP="00A758CB">
            <w:pPr>
              <w:spacing w:before="120"/>
              <w:rPr>
                <w:rFonts w:ascii="Arial Narrow" w:hAnsi="Arial Narrow"/>
                <w:sz w:val="20"/>
                <w:szCs w:val="20"/>
              </w:rPr>
            </w:pPr>
            <w:r w:rsidRPr="00E0300B">
              <w:rPr>
                <w:rFonts w:ascii="Arial Narrow" w:hAnsi="Arial Narrow"/>
                <w:sz w:val="20"/>
                <w:szCs w:val="20"/>
              </w:rPr>
              <w:t>Deemed approval of adoption, use, or cessation of shortfall funding method for multiemployer defined benefit pension plans</w:t>
            </w:r>
          </w:p>
        </w:tc>
        <w:tc>
          <w:tcPr>
            <w:tcW w:w="1211" w:type="dxa"/>
            <w:gridSpan w:val="2"/>
          </w:tcPr>
          <w:p w14:paraId="6E355A29" w14:textId="77777777" w:rsidR="00A758CB" w:rsidRPr="00E0300B" w:rsidRDefault="00A758CB" w:rsidP="00A758CB">
            <w:pPr>
              <w:spacing w:before="120"/>
              <w:jc w:val="center"/>
              <w:rPr>
                <w:rFonts w:ascii="Arial Narrow" w:hAnsi="Arial Narrow"/>
                <w:sz w:val="20"/>
                <w:szCs w:val="20"/>
              </w:rPr>
            </w:pPr>
            <w:r w:rsidRPr="00E0300B">
              <w:rPr>
                <w:rFonts w:ascii="Arial Narrow" w:hAnsi="Arial Narrow"/>
                <w:sz w:val="20"/>
                <w:szCs w:val="20"/>
              </w:rPr>
              <w:t>2014</w:t>
            </w:r>
          </w:p>
        </w:tc>
      </w:tr>
      <w:tr w:rsidR="00A758CB" w:rsidRPr="00E0300B" w14:paraId="5DA823AE" w14:textId="77777777" w:rsidTr="00A758CB">
        <w:trPr>
          <w:trHeight w:val="378"/>
        </w:trPr>
        <w:tc>
          <w:tcPr>
            <w:tcW w:w="4195" w:type="dxa"/>
            <w:gridSpan w:val="3"/>
            <w:tcBorders>
              <w:top w:val="single" w:sz="4" w:space="0" w:color="auto"/>
              <w:bottom w:val="single" w:sz="4" w:space="0" w:color="auto"/>
            </w:tcBorders>
            <w:vAlign w:val="bottom"/>
          </w:tcPr>
          <w:p w14:paraId="56D08EBF" w14:textId="77777777" w:rsidR="00A758CB" w:rsidRPr="00E0300B" w:rsidRDefault="00A758CB" w:rsidP="00A758CB">
            <w:pPr>
              <w:spacing w:before="120"/>
              <w:rPr>
                <w:rFonts w:ascii="Arial Narrow" w:hAnsi="Arial Narrow"/>
                <w:b/>
                <w:sz w:val="20"/>
                <w:szCs w:val="20"/>
              </w:rPr>
            </w:pPr>
          </w:p>
        </w:tc>
        <w:tc>
          <w:tcPr>
            <w:tcW w:w="3282" w:type="dxa"/>
            <w:tcBorders>
              <w:top w:val="single" w:sz="4" w:space="0" w:color="auto"/>
              <w:bottom w:val="single" w:sz="4" w:space="0" w:color="auto"/>
            </w:tcBorders>
            <w:shd w:val="clear" w:color="auto" w:fill="auto"/>
            <w:vAlign w:val="bottom"/>
          </w:tcPr>
          <w:p w14:paraId="1A0115E6" w14:textId="77777777" w:rsidR="00A758CB" w:rsidRPr="00E0300B" w:rsidRDefault="00A758CB" w:rsidP="00A758CB">
            <w:pPr>
              <w:spacing w:before="120"/>
              <w:ind w:firstLine="24"/>
              <w:rPr>
                <w:rFonts w:ascii="Arial Narrow" w:hAnsi="Arial Narrow"/>
                <w:b/>
                <w:sz w:val="20"/>
                <w:szCs w:val="20"/>
              </w:rPr>
            </w:pPr>
            <w:r w:rsidRPr="00E0300B">
              <w:rPr>
                <w:rFonts w:ascii="Arial Narrow" w:hAnsi="Arial Narrow"/>
                <w:b/>
                <w:sz w:val="20"/>
                <w:szCs w:val="20"/>
              </w:rPr>
              <w:t>Accounting Methods, Corporations, and Other Provisions</w:t>
            </w:r>
          </w:p>
        </w:tc>
        <w:tc>
          <w:tcPr>
            <w:tcW w:w="1211" w:type="dxa"/>
            <w:gridSpan w:val="2"/>
            <w:tcBorders>
              <w:top w:val="single" w:sz="4" w:space="0" w:color="auto"/>
              <w:bottom w:val="single" w:sz="4" w:space="0" w:color="auto"/>
            </w:tcBorders>
          </w:tcPr>
          <w:p w14:paraId="36B1CA3C" w14:textId="77777777" w:rsidR="00A758CB" w:rsidRPr="00E0300B" w:rsidRDefault="00A758CB" w:rsidP="00A758CB">
            <w:pPr>
              <w:spacing w:before="120"/>
              <w:jc w:val="center"/>
              <w:rPr>
                <w:rFonts w:ascii="Arial Narrow" w:hAnsi="Arial Narrow"/>
                <w:b/>
                <w:sz w:val="20"/>
                <w:szCs w:val="20"/>
              </w:rPr>
            </w:pPr>
          </w:p>
        </w:tc>
      </w:tr>
      <w:tr w:rsidR="00A758CB" w:rsidRPr="00E0300B" w14:paraId="4F2C7178" w14:textId="77777777" w:rsidTr="00A758CB">
        <w:tc>
          <w:tcPr>
            <w:tcW w:w="1267" w:type="dxa"/>
            <w:shd w:val="clear" w:color="auto" w:fill="auto"/>
          </w:tcPr>
          <w:p w14:paraId="166DB9C8" w14:textId="77777777" w:rsidR="00A758CB" w:rsidRPr="00E0300B" w:rsidRDefault="00A758CB" w:rsidP="00A758CB">
            <w:pPr>
              <w:pStyle w:val="CellBodyCfirst"/>
              <w:rPr>
                <w:sz w:val="20"/>
                <w:szCs w:val="20"/>
              </w:rPr>
            </w:pPr>
            <w:r w:rsidRPr="00E0300B">
              <w:rPr>
                <w:sz w:val="20"/>
                <w:szCs w:val="20"/>
              </w:rPr>
              <w:t>451(</w:t>
            </w:r>
            <w:proofErr w:type="spellStart"/>
            <w:r w:rsidRPr="00E0300B">
              <w:rPr>
                <w:sz w:val="20"/>
                <w:szCs w:val="20"/>
              </w:rPr>
              <w:t>i</w:t>
            </w:r>
            <w:proofErr w:type="spellEnd"/>
            <w:r w:rsidRPr="00E0300B">
              <w:rPr>
                <w:sz w:val="20"/>
                <w:szCs w:val="20"/>
              </w:rPr>
              <w:t>)</w:t>
            </w:r>
          </w:p>
        </w:tc>
        <w:tc>
          <w:tcPr>
            <w:tcW w:w="1350" w:type="dxa"/>
          </w:tcPr>
          <w:p w14:paraId="0A7CF2E5" w14:textId="77777777" w:rsidR="00A758CB" w:rsidRPr="00E0300B" w:rsidRDefault="00A758CB" w:rsidP="00A758CB">
            <w:pPr>
              <w:pStyle w:val="CellBodyfirst"/>
              <w:jc w:val="center"/>
              <w:rPr>
                <w:sz w:val="20"/>
                <w:szCs w:val="20"/>
              </w:rPr>
            </w:pPr>
            <w:r w:rsidRPr="00E0300B">
              <w:rPr>
                <w:sz w:val="20"/>
                <w:szCs w:val="20"/>
              </w:rPr>
              <w:t>PATH 191</w:t>
            </w:r>
          </w:p>
        </w:tc>
        <w:tc>
          <w:tcPr>
            <w:tcW w:w="4860" w:type="dxa"/>
            <w:gridSpan w:val="2"/>
            <w:shd w:val="clear" w:color="auto" w:fill="auto"/>
          </w:tcPr>
          <w:p w14:paraId="767EE85F" w14:textId="77777777" w:rsidR="00A758CB" w:rsidRPr="00E0300B" w:rsidRDefault="00A758CB" w:rsidP="00A758CB">
            <w:pPr>
              <w:pStyle w:val="CellBodyfirst"/>
              <w:rPr>
                <w:sz w:val="20"/>
                <w:szCs w:val="20"/>
              </w:rPr>
            </w:pPr>
            <w:r w:rsidRPr="00E0300B">
              <w:rPr>
                <w:sz w:val="20"/>
                <w:szCs w:val="20"/>
              </w:rPr>
              <w:t>Special rule for sales or dispositions to implement FERC or state electric restructuring policy</w:t>
            </w:r>
          </w:p>
        </w:tc>
        <w:tc>
          <w:tcPr>
            <w:tcW w:w="1211" w:type="dxa"/>
            <w:gridSpan w:val="2"/>
          </w:tcPr>
          <w:p w14:paraId="7DA572A7" w14:textId="77777777" w:rsidR="00A758CB" w:rsidRPr="00E0300B" w:rsidRDefault="00A758CB" w:rsidP="00A758CB">
            <w:pPr>
              <w:pStyle w:val="CellBodyfirst"/>
              <w:jc w:val="center"/>
              <w:rPr>
                <w:sz w:val="20"/>
                <w:szCs w:val="20"/>
              </w:rPr>
            </w:pPr>
            <w:r w:rsidRPr="00E0300B">
              <w:rPr>
                <w:sz w:val="20"/>
                <w:szCs w:val="20"/>
              </w:rPr>
              <w:t>2016</w:t>
            </w:r>
          </w:p>
        </w:tc>
      </w:tr>
      <w:tr w:rsidR="00A758CB" w:rsidRPr="00E0300B" w14:paraId="4955F9DB" w14:textId="77777777" w:rsidTr="00A758CB">
        <w:tc>
          <w:tcPr>
            <w:tcW w:w="1267" w:type="dxa"/>
            <w:shd w:val="clear" w:color="auto" w:fill="auto"/>
          </w:tcPr>
          <w:p w14:paraId="7709EBB9"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512</w:t>
            </w:r>
          </w:p>
        </w:tc>
        <w:tc>
          <w:tcPr>
            <w:tcW w:w="1350" w:type="dxa"/>
          </w:tcPr>
          <w:p w14:paraId="52A4FDF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114</w:t>
            </w:r>
          </w:p>
        </w:tc>
        <w:tc>
          <w:tcPr>
            <w:tcW w:w="4860" w:type="dxa"/>
            <w:gridSpan w:val="2"/>
            <w:shd w:val="clear" w:color="auto" w:fill="auto"/>
          </w:tcPr>
          <w:p w14:paraId="1EAF939F"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Modification of tax treatment of certain payments to controlling exempt organizations </w:t>
            </w:r>
          </w:p>
        </w:tc>
        <w:tc>
          <w:tcPr>
            <w:tcW w:w="1211" w:type="dxa"/>
            <w:gridSpan w:val="2"/>
          </w:tcPr>
          <w:p w14:paraId="50BEF8A7"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6971A9F8" w14:textId="77777777" w:rsidTr="00A758CB">
        <w:tc>
          <w:tcPr>
            <w:tcW w:w="1267" w:type="dxa"/>
            <w:shd w:val="clear" w:color="auto" w:fill="auto"/>
          </w:tcPr>
          <w:p w14:paraId="025F2293"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871</w:t>
            </w:r>
          </w:p>
        </w:tc>
        <w:tc>
          <w:tcPr>
            <w:tcW w:w="1350" w:type="dxa"/>
          </w:tcPr>
          <w:p w14:paraId="16BE16F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125</w:t>
            </w:r>
          </w:p>
        </w:tc>
        <w:tc>
          <w:tcPr>
            <w:tcW w:w="4860" w:type="dxa"/>
            <w:gridSpan w:val="2"/>
            <w:shd w:val="clear" w:color="auto" w:fill="auto"/>
          </w:tcPr>
          <w:p w14:paraId="158449CB"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Treatment of certain regulated investment company (RIC) dividends</w:t>
            </w:r>
          </w:p>
        </w:tc>
        <w:tc>
          <w:tcPr>
            <w:tcW w:w="1211" w:type="dxa"/>
            <w:gridSpan w:val="2"/>
          </w:tcPr>
          <w:p w14:paraId="0F0FBA7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62784FAF" w14:textId="77777777" w:rsidTr="00A758CB">
        <w:tc>
          <w:tcPr>
            <w:tcW w:w="1267" w:type="dxa"/>
            <w:shd w:val="clear" w:color="auto" w:fill="auto"/>
          </w:tcPr>
          <w:p w14:paraId="48926C28"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897(h)(4)(A)</w:t>
            </w:r>
          </w:p>
        </w:tc>
        <w:tc>
          <w:tcPr>
            <w:tcW w:w="1350" w:type="dxa"/>
          </w:tcPr>
          <w:p w14:paraId="344C04F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133</w:t>
            </w:r>
          </w:p>
        </w:tc>
        <w:tc>
          <w:tcPr>
            <w:tcW w:w="4860" w:type="dxa"/>
            <w:gridSpan w:val="2"/>
            <w:shd w:val="clear" w:color="auto" w:fill="auto"/>
          </w:tcPr>
          <w:p w14:paraId="63662CD3" w14:textId="77777777" w:rsidR="00A758CB" w:rsidRPr="00E0300B" w:rsidRDefault="00A758CB" w:rsidP="00A758CB">
            <w:pPr>
              <w:ind w:left="144" w:hanging="144"/>
              <w:rPr>
                <w:rFonts w:ascii="Arial" w:hAnsi="Arial" w:cs="Arial"/>
                <w:sz w:val="20"/>
                <w:szCs w:val="20"/>
              </w:rPr>
            </w:pPr>
            <w:r w:rsidRPr="00E0300B">
              <w:rPr>
                <w:rFonts w:ascii="Arial Narrow" w:hAnsi="Arial Narrow"/>
                <w:sz w:val="20"/>
                <w:szCs w:val="20"/>
              </w:rPr>
              <w:t>RIC qualified investment entity treatment for FIRPTA</w:t>
            </w:r>
          </w:p>
        </w:tc>
        <w:tc>
          <w:tcPr>
            <w:tcW w:w="1211" w:type="dxa"/>
            <w:gridSpan w:val="2"/>
            <w:vAlign w:val="bottom"/>
          </w:tcPr>
          <w:p w14:paraId="61D278F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7E59D1D0" w14:textId="77777777" w:rsidTr="00A758CB">
        <w:tc>
          <w:tcPr>
            <w:tcW w:w="1267" w:type="dxa"/>
            <w:shd w:val="clear" w:color="auto" w:fill="auto"/>
          </w:tcPr>
          <w:p w14:paraId="3C95DB3E"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953, 954</w:t>
            </w:r>
          </w:p>
        </w:tc>
        <w:tc>
          <w:tcPr>
            <w:tcW w:w="1350" w:type="dxa"/>
          </w:tcPr>
          <w:p w14:paraId="5C08BE3A"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128</w:t>
            </w:r>
          </w:p>
        </w:tc>
        <w:tc>
          <w:tcPr>
            <w:tcW w:w="4860" w:type="dxa"/>
            <w:gridSpan w:val="2"/>
            <w:shd w:val="clear" w:color="auto" w:fill="auto"/>
          </w:tcPr>
          <w:p w14:paraId="567695B4"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Active financing exceptions under subpart F</w:t>
            </w:r>
          </w:p>
        </w:tc>
        <w:tc>
          <w:tcPr>
            <w:tcW w:w="1211" w:type="dxa"/>
            <w:gridSpan w:val="2"/>
            <w:vAlign w:val="bottom"/>
          </w:tcPr>
          <w:p w14:paraId="1E5A040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11D2F258" w14:textId="77777777" w:rsidTr="00A758CB">
        <w:tc>
          <w:tcPr>
            <w:tcW w:w="1267" w:type="dxa"/>
            <w:shd w:val="clear" w:color="auto" w:fill="auto"/>
          </w:tcPr>
          <w:p w14:paraId="56D32520"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954(c)(6)</w:t>
            </w:r>
          </w:p>
        </w:tc>
        <w:tc>
          <w:tcPr>
            <w:tcW w:w="1350" w:type="dxa"/>
          </w:tcPr>
          <w:p w14:paraId="7D44338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144</w:t>
            </w:r>
          </w:p>
        </w:tc>
        <w:tc>
          <w:tcPr>
            <w:tcW w:w="4860" w:type="dxa"/>
            <w:gridSpan w:val="2"/>
            <w:shd w:val="clear" w:color="auto" w:fill="auto"/>
          </w:tcPr>
          <w:p w14:paraId="3C79F2B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Look-through treatment of payments between related controlled foreign corporations under the foreign personal holding company rules</w:t>
            </w:r>
          </w:p>
        </w:tc>
        <w:tc>
          <w:tcPr>
            <w:tcW w:w="1211" w:type="dxa"/>
            <w:gridSpan w:val="2"/>
          </w:tcPr>
          <w:p w14:paraId="2D618909"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2019</w:t>
            </w:r>
          </w:p>
        </w:tc>
      </w:tr>
      <w:tr w:rsidR="00A758CB" w:rsidRPr="00E0300B" w14:paraId="44261721" w14:textId="77777777" w:rsidTr="00A758CB">
        <w:tc>
          <w:tcPr>
            <w:tcW w:w="1267" w:type="dxa"/>
            <w:shd w:val="clear" w:color="auto" w:fill="auto"/>
          </w:tcPr>
          <w:p w14:paraId="64A7C5CD"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1202</w:t>
            </w:r>
          </w:p>
        </w:tc>
        <w:tc>
          <w:tcPr>
            <w:tcW w:w="1350" w:type="dxa"/>
          </w:tcPr>
          <w:p w14:paraId="135C2D4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126</w:t>
            </w:r>
          </w:p>
        </w:tc>
        <w:tc>
          <w:tcPr>
            <w:tcW w:w="4860" w:type="dxa"/>
            <w:gridSpan w:val="2"/>
            <w:shd w:val="clear" w:color="auto" w:fill="auto"/>
          </w:tcPr>
          <w:p w14:paraId="5241D48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100% exclusion for qualified small business stock</w:t>
            </w:r>
          </w:p>
        </w:tc>
        <w:tc>
          <w:tcPr>
            <w:tcW w:w="1211" w:type="dxa"/>
            <w:gridSpan w:val="2"/>
            <w:vAlign w:val="bottom"/>
          </w:tcPr>
          <w:p w14:paraId="42835A25"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77DBDCEB" w14:textId="77777777" w:rsidTr="00A758CB">
        <w:tc>
          <w:tcPr>
            <w:tcW w:w="1267" w:type="dxa"/>
            <w:shd w:val="clear" w:color="auto" w:fill="auto"/>
          </w:tcPr>
          <w:p w14:paraId="04523717"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1367</w:t>
            </w:r>
          </w:p>
        </w:tc>
        <w:tc>
          <w:tcPr>
            <w:tcW w:w="1350" w:type="dxa"/>
          </w:tcPr>
          <w:p w14:paraId="6118289F"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115</w:t>
            </w:r>
          </w:p>
        </w:tc>
        <w:tc>
          <w:tcPr>
            <w:tcW w:w="4860" w:type="dxa"/>
            <w:gridSpan w:val="2"/>
            <w:shd w:val="clear" w:color="auto" w:fill="auto"/>
          </w:tcPr>
          <w:p w14:paraId="76DB4F99"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Basis adjustment to stock of S corporations making charitable contributions of property</w:t>
            </w:r>
          </w:p>
        </w:tc>
        <w:tc>
          <w:tcPr>
            <w:tcW w:w="1211" w:type="dxa"/>
            <w:gridSpan w:val="2"/>
          </w:tcPr>
          <w:p w14:paraId="568999BD"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3D1BC043" w14:textId="77777777" w:rsidTr="00A758CB">
        <w:tc>
          <w:tcPr>
            <w:tcW w:w="1267" w:type="dxa"/>
            <w:shd w:val="clear" w:color="auto" w:fill="auto"/>
          </w:tcPr>
          <w:p w14:paraId="48B72DD7"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1374</w:t>
            </w:r>
          </w:p>
        </w:tc>
        <w:tc>
          <w:tcPr>
            <w:tcW w:w="1350" w:type="dxa"/>
          </w:tcPr>
          <w:p w14:paraId="36665E5C"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w:t>
            </w:r>
            <w:r w:rsidRPr="00E0300B" w:rsidDel="00496151">
              <w:rPr>
                <w:rFonts w:ascii="Arial Narrow" w:hAnsi="Arial Narrow"/>
                <w:sz w:val="20"/>
                <w:szCs w:val="20"/>
              </w:rPr>
              <w:t xml:space="preserve"> </w:t>
            </w:r>
            <w:r w:rsidRPr="00E0300B">
              <w:rPr>
                <w:rFonts w:ascii="Arial Narrow" w:hAnsi="Arial Narrow"/>
                <w:sz w:val="20"/>
                <w:szCs w:val="20"/>
              </w:rPr>
              <w:t>127</w:t>
            </w:r>
          </w:p>
        </w:tc>
        <w:tc>
          <w:tcPr>
            <w:tcW w:w="4860" w:type="dxa"/>
            <w:gridSpan w:val="2"/>
            <w:shd w:val="clear" w:color="auto" w:fill="auto"/>
          </w:tcPr>
          <w:p w14:paraId="103EAD51"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Reduced recognition period for S corporation built-in gains tax</w:t>
            </w:r>
          </w:p>
        </w:tc>
        <w:tc>
          <w:tcPr>
            <w:tcW w:w="1211" w:type="dxa"/>
            <w:gridSpan w:val="2"/>
          </w:tcPr>
          <w:p w14:paraId="4F8BB140"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None</w:t>
            </w:r>
          </w:p>
        </w:tc>
      </w:tr>
      <w:tr w:rsidR="00A758CB" w:rsidRPr="00E0300B" w14:paraId="6413E5EA" w14:textId="77777777" w:rsidTr="00A758CB">
        <w:tc>
          <w:tcPr>
            <w:tcW w:w="4195" w:type="dxa"/>
            <w:gridSpan w:val="3"/>
            <w:tcBorders>
              <w:top w:val="single" w:sz="4" w:space="0" w:color="auto"/>
              <w:bottom w:val="single" w:sz="4" w:space="0" w:color="auto"/>
            </w:tcBorders>
            <w:vAlign w:val="bottom"/>
          </w:tcPr>
          <w:p w14:paraId="6CABA646" w14:textId="77777777" w:rsidR="00A758CB" w:rsidRPr="00E0300B" w:rsidRDefault="00A758CB" w:rsidP="00A758CB">
            <w:pPr>
              <w:spacing w:before="120"/>
              <w:rPr>
                <w:rFonts w:ascii="Arial Narrow" w:hAnsi="Arial Narrow"/>
                <w:b/>
                <w:sz w:val="20"/>
                <w:szCs w:val="20"/>
              </w:rPr>
            </w:pPr>
          </w:p>
        </w:tc>
        <w:tc>
          <w:tcPr>
            <w:tcW w:w="3282" w:type="dxa"/>
            <w:tcBorders>
              <w:top w:val="single" w:sz="4" w:space="0" w:color="auto"/>
              <w:bottom w:val="single" w:sz="4" w:space="0" w:color="auto"/>
            </w:tcBorders>
            <w:shd w:val="clear" w:color="auto" w:fill="auto"/>
            <w:vAlign w:val="bottom"/>
          </w:tcPr>
          <w:p w14:paraId="1016C6C4" w14:textId="77777777" w:rsidR="00A758CB" w:rsidRPr="00E0300B" w:rsidRDefault="00A758CB" w:rsidP="00A758CB">
            <w:pPr>
              <w:spacing w:before="120"/>
              <w:rPr>
                <w:rFonts w:ascii="Arial Narrow" w:hAnsi="Arial Narrow"/>
                <w:b/>
                <w:sz w:val="20"/>
                <w:szCs w:val="20"/>
              </w:rPr>
            </w:pPr>
            <w:r w:rsidRPr="00E0300B">
              <w:rPr>
                <w:rFonts w:ascii="Arial Narrow" w:hAnsi="Arial Narrow"/>
                <w:b/>
                <w:sz w:val="20"/>
                <w:szCs w:val="20"/>
              </w:rPr>
              <w:t>Zone and Disaster Area Incentives</w:t>
            </w:r>
          </w:p>
        </w:tc>
        <w:tc>
          <w:tcPr>
            <w:tcW w:w="1211" w:type="dxa"/>
            <w:gridSpan w:val="2"/>
            <w:tcBorders>
              <w:top w:val="single" w:sz="4" w:space="0" w:color="auto"/>
              <w:bottom w:val="single" w:sz="4" w:space="0" w:color="auto"/>
            </w:tcBorders>
          </w:tcPr>
          <w:p w14:paraId="54D40014" w14:textId="77777777" w:rsidR="00A758CB" w:rsidRPr="00E0300B" w:rsidRDefault="00A758CB" w:rsidP="00A758CB">
            <w:pPr>
              <w:spacing w:before="120"/>
              <w:jc w:val="center"/>
              <w:rPr>
                <w:rFonts w:ascii="Arial Narrow" w:hAnsi="Arial Narrow"/>
                <w:b/>
                <w:sz w:val="20"/>
                <w:szCs w:val="20"/>
              </w:rPr>
            </w:pPr>
          </w:p>
        </w:tc>
      </w:tr>
      <w:tr w:rsidR="00A758CB" w:rsidRPr="00E0300B" w14:paraId="5ED47800" w14:textId="77777777" w:rsidTr="00A758CB">
        <w:tc>
          <w:tcPr>
            <w:tcW w:w="1267" w:type="dxa"/>
            <w:tcBorders>
              <w:top w:val="single" w:sz="4" w:space="0" w:color="auto"/>
            </w:tcBorders>
            <w:shd w:val="clear" w:color="auto" w:fill="auto"/>
          </w:tcPr>
          <w:p w14:paraId="6A683C5D" w14:textId="77777777" w:rsidR="00A758CB" w:rsidRPr="00E0300B" w:rsidRDefault="00A758CB" w:rsidP="00A758CB">
            <w:pPr>
              <w:pStyle w:val="CellBodyCfirst"/>
              <w:rPr>
                <w:sz w:val="20"/>
                <w:szCs w:val="20"/>
              </w:rPr>
            </w:pPr>
            <w:r w:rsidRPr="00E0300B">
              <w:rPr>
                <w:sz w:val="20"/>
                <w:szCs w:val="20"/>
              </w:rPr>
              <w:t xml:space="preserve">1391, 1394, </w:t>
            </w:r>
          </w:p>
        </w:tc>
        <w:tc>
          <w:tcPr>
            <w:tcW w:w="1350" w:type="dxa"/>
            <w:tcBorders>
              <w:top w:val="single" w:sz="4" w:space="0" w:color="auto"/>
            </w:tcBorders>
          </w:tcPr>
          <w:p w14:paraId="3BE0AD61" w14:textId="77777777" w:rsidR="00A758CB" w:rsidRPr="00E0300B" w:rsidRDefault="00A758CB" w:rsidP="00A758CB">
            <w:pPr>
              <w:spacing w:before="120"/>
              <w:ind w:left="144" w:hanging="144"/>
              <w:jc w:val="center"/>
              <w:rPr>
                <w:rFonts w:ascii="Arial Narrow" w:hAnsi="Arial Narrow"/>
                <w:sz w:val="20"/>
                <w:szCs w:val="20"/>
              </w:rPr>
            </w:pPr>
            <w:r w:rsidRPr="00E0300B">
              <w:rPr>
                <w:rFonts w:ascii="Arial Narrow" w:hAnsi="Arial Narrow"/>
                <w:sz w:val="20"/>
                <w:szCs w:val="20"/>
              </w:rPr>
              <w:t>PATH 171</w:t>
            </w:r>
          </w:p>
        </w:tc>
        <w:tc>
          <w:tcPr>
            <w:tcW w:w="4860" w:type="dxa"/>
            <w:gridSpan w:val="2"/>
            <w:tcBorders>
              <w:top w:val="single" w:sz="4" w:space="0" w:color="auto"/>
            </w:tcBorders>
            <w:shd w:val="clear" w:color="auto" w:fill="auto"/>
          </w:tcPr>
          <w:p w14:paraId="356823CD" w14:textId="77777777" w:rsidR="00A758CB" w:rsidRPr="00E0300B" w:rsidRDefault="00A758CB" w:rsidP="00A758CB">
            <w:pPr>
              <w:spacing w:before="120"/>
              <w:ind w:left="144" w:hanging="144"/>
              <w:rPr>
                <w:rFonts w:ascii="Arial Narrow" w:hAnsi="Arial Narrow"/>
                <w:sz w:val="20"/>
                <w:szCs w:val="20"/>
              </w:rPr>
            </w:pPr>
            <w:r w:rsidRPr="00E0300B">
              <w:rPr>
                <w:rFonts w:ascii="Arial Narrow" w:hAnsi="Arial Narrow"/>
                <w:sz w:val="20"/>
                <w:szCs w:val="20"/>
              </w:rPr>
              <w:t xml:space="preserve">Designation of empowerment zones and related provisions for exclusion for gain on qualified small business stock, tax-exempt bonds, employment credit, increased section 179 expensing, and </w:t>
            </w:r>
            <w:proofErr w:type="spellStart"/>
            <w:r w:rsidRPr="00E0300B">
              <w:rPr>
                <w:rFonts w:ascii="Arial Narrow" w:hAnsi="Arial Narrow"/>
                <w:sz w:val="20"/>
                <w:szCs w:val="20"/>
              </w:rPr>
              <w:t>nonrecognition</w:t>
            </w:r>
            <w:proofErr w:type="spellEnd"/>
            <w:r w:rsidRPr="00E0300B">
              <w:rPr>
                <w:rFonts w:ascii="Arial Narrow" w:hAnsi="Arial Narrow"/>
                <w:sz w:val="20"/>
                <w:szCs w:val="20"/>
              </w:rPr>
              <w:t xml:space="preserve"> of gain on rollover of investments</w:t>
            </w:r>
          </w:p>
        </w:tc>
        <w:tc>
          <w:tcPr>
            <w:tcW w:w="1211" w:type="dxa"/>
            <w:gridSpan w:val="2"/>
            <w:tcBorders>
              <w:top w:val="single" w:sz="4" w:space="0" w:color="auto"/>
            </w:tcBorders>
          </w:tcPr>
          <w:p w14:paraId="773246D6" w14:textId="77777777" w:rsidR="00A758CB" w:rsidRPr="00E0300B" w:rsidRDefault="00A758CB" w:rsidP="00A758CB">
            <w:pPr>
              <w:spacing w:before="120"/>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2AD14355" w14:textId="77777777" w:rsidTr="00A758CB">
        <w:tc>
          <w:tcPr>
            <w:tcW w:w="1267" w:type="dxa"/>
            <w:shd w:val="clear" w:color="auto" w:fill="auto"/>
          </w:tcPr>
          <w:p w14:paraId="180C865F"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1400L</w:t>
            </w:r>
          </w:p>
        </w:tc>
        <w:tc>
          <w:tcPr>
            <w:tcW w:w="1350" w:type="dxa"/>
          </w:tcPr>
          <w:p w14:paraId="338BB358"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116BFFBA"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New York Liberty Zone tax-exempt bond financing</w:t>
            </w:r>
          </w:p>
        </w:tc>
        <w:tc>
          <w:tcPr>
            <w:tcW w:w="1211" w:type="dxa"/>
            <w:gridSpan w:val="2"/>
            <w:vAlign w:val="bottom"/>
          </w:tcPr>
          <w:p w14:paraId="773E445B"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2013</w:t>
            </w:r>
          </w:p>
        </w:tc>
      </w:tr>
      <w:tr w:rsidR="00A758CB" w:rsidRPr="00E0300B" w14:paraId="5C284449" w14:textId="77777777" w:rsidTr="00A758CB">
        <w:tc>
          <w:tcPr>
            <w:tcW w:w="1267" w:type="dxa"/>
            <w:shd w:val="clear" w:color="auto" w:fill="auto"/>
          </w:tcPr>
          <w:p w14:paraId="3910D97D"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Pub. L. No. 110-343, § 702**</w:t>
            </w:r>
          </w:p>
        </w:tc>
        <w:tc>
          <w:tcPr>
            <w:tcW w:w="1350" w:type="dxa"/>
          </w:tcPr>
          <w:p w14:paraId="5674606F"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Not Extended</w:t>
            </w:r>
          </w:p>
        </w:tc>
        <w:tc>
          <w:tcPr>
            <w:tcW w:w="4860" w:type="dxa"/>
            <w:gridSpan w:val="2"/>
            <w:shd w:val="clear" w:color="auto" w:fill="auto"/>
          </w:tcPr>
          <w:p w14:paraId="49A45BDD"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 xml:space="preserve">Extension of replacement period for </w:t>
            </w:r>
            <w:proofErr w:type="spellStart"/>
            <w:r w:rsidRPr="00E0300B">
              <w:rPr>
                <w:rFonts w:ascii="Arial Narrow" w:hAnsi="Arial Narrow"/>
                <w:sz w:val="20"/>
                <w:szCs w:val="20"/>
              </w:rPr>
              <w:t>nonrecognition</w:t>
            </w:r>
            <w:proofErr w:type="spellEnd"/>
            <w:r w:rsidRPr="00E0300B">
              <w:rPr>
                <w:rFonts w:ascii="Arial Narrow" w:hAnsi="Arial Narrow"/>
                <w:sz w:val="20"/>
                <w:szCs w:val="20"/>
              </w:rPr>
              <w:t xml:space="preserve"> of gain for areas damaged by 2008 Midwestern severe storms, tornadoes, and flooding</w:t>
            </w:r>
          </w:p>
        </w:tc>
        <w:tc>
          <w:tcPr>
            <w:tcW w:w="1211" w:type="dxa"/>
            <w:gridSpan w:val="2"/>
          </w:tcPr>
          <w:p w14:paraId="41650972"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2013</w:t>
            </w:r>
          </w:p>
        </w:tc>
      </w:tr>
      <w:tr w:rsidR="00A758CB" w:rsidRPr="00E0300B" w14:paraId="554127BA" w14:textId="77777777" w:rsidTr="00A758CB">
        <w:tc>
          <w:tcPr>
            <w:tcW w:w="4195" w:type="dxa"/>
            <w:gridSpan w:val="3"/>
            <w:tcBorders>
              <w:top w:val="single" w:sz="4" w:space="0" w:color="auto"/>
              <w:bottom w:val="single" w:sz="4" w:space="0" w:color="auto"/>
            </w:tcBorders>
            <w:vAlign w:val="bottom"/>
          </w:tcPr>
          <w:p w14:paraId="0FD0979D" w14:textId="77777777" w:rsidR="00A758CB" w:rsidRPr="00E0300B" w:rsidRDefault="00A758CB" w:rsidP="00A758CB">
            <w:pPr>
              <w:spacing w:before="120"/>
              <w:rPr>
                <w:rFonts w:ascii="Arial Narrow" w:hAnsi="Arial Narrow"/>
                <w:b/>
                <w:sz w:val="20"/>
                <w:szCs w:val="20"/>
              </w:rPr>
            </w:pPr>
          </w:p>
        </w:tc>
        <w:tc>
          <w:tcPr>
            <w:tcW w:w="3282" w:type="dxa"/>
            <w:tcBorders>
              <w:top w:val="single" w:sz="4" w:space="0" w:color="auto"/>
              <w:bottom w:val="single" w:sz="4" w:space="0" w:color="auto"/>
            </w:tcBorders>
            <w:shd w:val="clear" w:color="auto" w:fill="auto"/>
            <w:vAlign w:val="bottom"/>
          </w:tcPr>
          <w:p w14:paraId="50551583" w14:textId="77777777" w:rsidR="00A758CB" w:rsidRPr="00E0300B" w:rsidRDefault="00A758CB" w:rsidP="00A758CB">
            <w:pPr>
              <w:spacing w:before="120"/>
              <w:rPr>
                <w:rFonts w:ascii="Arial Narrow" w:hAnsi="Arial Narrow"/>
                <w:b/>
                <w:sz w:val="20"/>
                <w:szCs w:val="20"/>
              </w:rPr>
            </w:pPr>
            <w:r w:rsidRPr="00E0300B">
              <w:rPr>
                <w:rFonts w:ascii="Arial Narrow" w:hAnsi="Arial Narrow"/>
                <w:b/>
                <w:sz w:val="20"/>
                <w:szCs w:val="20"/>
              </w:rPr>
              <w:t>Excise Taxes</w:t>
            </w:r>
          </w:p>
        </w:tc>
        <w:tc>
          <w:tcPr>
            <w:tcW w:w="1211" w:type="dxa"/>
            <w:gridSpan w:val="2"/>
            <w:tcBorders>
              <w:top w:val="single" w:sz="4" w:space="0" w:color="auto"/>
              <w:bottom w:val="single" w:sz="4" w:space="0" w:color="auto"/>
            </w:tcBorders>
          </w:tcPr>
          <w:p w14:paraId="6B271442" w14:textId="77777777" w:rsidR="00A758CB" w:rsidRPr="00E0300B" w:rsidRDefault="00A758CB" w:rsidP="00A758CB">
            <w:pPr>
              <w:spacing w:before="120"/>
              <w:jc w:val="center"/>
              <w:rPr>
                <w:rFonts w:ascii="Arial Narrow" w:hAnsi="Arial Narrow"/>
                <w:b/>
                <w:sz w:val="20"/>
                <w:szCs w:val="20"/>
              </w:rPr>
            </w:pPr>
          </w:p>
        </w:tc>
      </w:tr>
      <w:tr w:rsidR="00A758CB" w:rsidRPr="00E0300B" w14:paraId="75AF3585" w14:textId="77777777" w:rsidTr="00A758CB">
        <w:tblPrEx>
          <w:tblCellMar>
            <w:left w:w="115" w:type="dxa"/>
            <w:right w:w="115" w:type="dxa"/>
          </w:tblCellMar>
        </w:tblPrEx>
        <w:trPr>
          <w:gridAfter w:val="1"/>
          <w:wAfter w:w="7" w:type="dxa"/>
        </w:trPr>
        <w:tc>
          <w:tcPr>
            <w:tcW w:w="1267" w:type="dxa"/>
            <w:shd w:val="clear" w:color="auto" w:fill="auto"/>
          </w:tcPr>
          <w:p w14:paraId="3F9DFF3C" w14:textId="77777777" w:rsidR="00A758CB" w:rsidRPr="00E0300B" w:rsidRDefault="00A758CB" w:rsidP="00A758CB">
            <w:pPr>
              <w:spacing w:before="120"/>
              <w:jc w:val="center"/>
              <w:rPr>
                <w:sz w:val="20"/>
                <w:szCs w:val="20"/>
              </w:rPr>
            </w:pPr>
            <w:r w:rsidRPr="00E0300B">
              <w:rPr>
                <w:rFonts w:ascii="Arial Narrow" w:hAnsi="Arial Narrow"/>
                <w:sz w:val="20"/>
                <w:szCs w:val="20"/>
              </w:rPr>
              <w:t>4041, 4081</w:t>
            </w:r>
          </w:p>
        </w:tc>
        <w:tc>
          <w:tcPr>
            <w:tcW w:w="1350" w:type="dxa"/>
          </w:tcPr>
          <w:p w14:paraId="2B557385"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083D7D2D" w14:textId="77777777" w:rsidR="00A758CB" w:rsidRPr="00E0300B" w:rsidRDefault="00A758CB" w:rsidP="00A758CB">
            <w:pPr>
              <w:pStyle w:val="CellBodyfirst"/>
              <w:rPr>
                <w:sz w:val="20"/>
                <w:szCs w:val="20"/>
              </w:rPr>
            </w:pPr>
            <w:r w:rsidRPr="00E0300B">
              <w:rPr>
                <w:sz w:val="20"/>
                <w:szCs w:val="20"/>
              </w:rPr>
              <w:t>All but 4.3¢ per gallon of the taxes on highway gasoline, diesel fuel, kerosene, and alternative fuels</w:t>
            </w:r>
          </w:p>
        </w:tc>
        <w:tc>
          <w:tcPr>
            <w:tcW w:w="1204" w:type="dxa"/>
          </w:tcPr>
          <w:p w14:paraId="39F7E23E"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23782625" w14:textId="77777777" w:rsidTr="00A758CB">
        <w:tblPrEx>
          <w:tblCellMar>
            <w:left w:w="115" w:type="dxa"/>
            <w:right w:w="115" w:type="dxa"/>
          </w:tblCellMar>
        </w:tblPrEx>
        <w:trPr>
          <w:gridAfter w:val="1"/>
          <w:wAfter w:w="7" w:type="dxa"/>
        </w:trPr>
        <w:tc>
          <w:tcPr>
            <w:tcW w:w="1267" w:type="dxa"/>
            <w:shd w:val="clear" w:color="auto" w:fill="auto"/>
          </w:tcPr>
          <w:p w14:paraId="5DA516B7" w14:textId="77777777" w:rsidR="00A758CB" w:rsidRPr="00E0300B" w:rsidRDefault="00A758CB" w:rsidP="00A758CB">
            <w:pPr>
              <w:pStyle w:val="CellBodyCfirst"/>
              <w:rPr>
                <w:sz w:val="20"/>
                <w:szCs w:val="20"/>
              </w:rPr>
            </w:pPr>
            <w:r w:rsidRPr="00E0300B">
              <w:rPr>
                <w:sz w:val="20"/>
                <w:szCs w:val="20"/>
              </w:rPr>
              <w:t>4041</w:t>
            </w:r>
          </w:p>
        </w:tc>
        <w:tc>
          <w:tcPr>
            <w:tcW w:w="1350" w:type="dxa"/>
          </w:tcPr>
          <w:p w14:paraId="21655DCC"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48CC237D" w14:textId="77777777" w:rsidR="00A758CB" w:rsidRPr="00E0300B" w:rsidRDefault="00A758CB" w:rsidP="00A758CB">
            <w:pPr>
              <w:pStyle w:val="CellBodyfirst"/>
              <w:rPr>
                <w:sz w:val="20"/>
                <w:szCs w:val="20"/>
              </w:rPr>
            </w:pPr>
            <w:r w:rsidRPr="00E0300B">
              <w:rPr>
                <w:sz w:val="20"/>
                <w:szCs w:val="20"/>
              </w:rPr>
              <w:t>Reduced rate of tax on partially exempt methanol or ethanol fuel</w:t>
            </w:r>
          </w:p>
        </w:tc>
        <w:tc>
          <w:tcPr>
            <w:tcW w:w="1204" w:type="dxa"/>
          </w:tcPr>
          <w:p w14:paraId="5A7A5E15"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6A431F41" w14:textId="77777777" w:rsidTr="00A758CB">
        <w:tblPrEx>
          <w:tblCellMar>
            <w:left w:w="115" w:type="dxa"/>
            <w:right w:w="115" w:type="dxa"/>
          </w:tblCellMar>
        </w:tblPrEx>
        <w:trPr>
          <w:gridAfter w:val="1"/>
          <w:wAfter w:w="7" w:type="dxa"/>
        </w:trPr>
        <w:tc>
          <w:tcPr>
            <w:tcW w:w="1267" w:type="dxa"/>
            <w:shd w:val="clear" w:color="auto" w:fill="auto"/>
          </w:tcPr>
          <w:p w14:paraId="535C1D1A" w14:textId="77777777" w:rsidR="00A758CB" w:rsidRPr="00E0300B" w:rsidRDefault="00A758CB" w:rsidP="00A758CB">
            <w:pPr>
              <w:pStyle w:val="CellBodyCfirst"/>
              <w:rPr>
                <w:sz w:val="20"/>
                <w:szCs w:val="20"/>
              </w:rPr>
            </w:pPr>
            <w:r w:rsidRPr="00E0300B">
              <w:rPr>
                <w:sz w:val="20"/>
                <w:szCs w:val="20"/>
              </w:rPr>
              <w:t>4043</w:t>
            </w:r>
          </w:p>
        </w:tc>
        <w:tc>
          <w:tcPr>
            <w:tcW w:w="1350" w:type="dxa"/>
          </w:tcPr>
          <w:p w14:paraId="0FD5491D"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046288C6" w14:textId="77777777" w:rsidR="00A758CB" w:rsidRPr="00E0300B" w:rsidRDefault="00A758CB" w:rsidP="00A758CB">
            <w:pPr>
              <w:pStyle w:val="CellBodyfirst"/>
              <w:rPr>
                <w:sz w:val="20"/>
                <w:szCs w:val="20"/>
              </w:rPr>
            </w:pPr>
            <w:r w:rsidRPr="00E0300B">
              <w:rPr>
                <w:sz w:val="20"/>
                <w:szCs w:val="20"/>
              </w:rPr>
              <w:t>Surtax on fuel used in aircraft in a fractional ownership program</w:t>
            </w:r>
          </w:p>
        </w:tc>
        <w:tc>
          <w:tcPr>
            <w:tcW w:w="1204" w:type="dxa"/>
          </w:tcPr>
          <w:p w14:paraId="5325BFFD" w14:textId="77777777" w:rsidR="00A758CB" w:rsidRPr="00E0300B" w:rsidRDefault="00A758CB" w:rsidP="00A758CB">
            <w:pPr>
              <w:pStyle w:val="CellBodyfirst"/>
              <w:jc w:val="center"/>
              <w:rPr>
                <w:sz w:val="20"/>
                <w:szCs w:val="20"/>
              </w:rPr>
            </w:pPr>
            <w:r w:rsidRPr="00E0300B">
              <w:rPr>
                <w:sz w:val="20"/>
                <w:szCs w:val="20"/>
              </w:rPr>
              <w:t>09/30/2021</w:t>
            </w:r>
          </w:p>
        </w:tc>
      </w:tr>
      <w:tr w:rsidR="00A758CB" w:rsidRPr="00E0300B" w14:paraId="5C89B21C" w14:textId="77777777" w:rsidTr="00A758CB">
        <w:tblPrEx>
          <w:tblCellMar>
            <w:left w:w="115" w:type="dxa"/>
            <w:right w:w="115" w:type="dxa"/>
          </w:tblCellMar>
        </w:tblPrEx>
        <w:trPr>
          <w:gridAfter w:val="1"/>
          <w:wAfter w:w="7" w:type="dxa"/>
        </w:trPr>
        <w:tc>
          <w:tcPr>
            <w:tcW w:w="1267" w:type="dxa"/>
            <w:shd w:val="clear" w:color="auto" w:fill="auto"/>
          </w:tcPr>
          <w:p w14:paraId="2C12F25B" w14:textId="77777777" w:rsidR="00A758CB" w:rsidRPr="00E0300B" w:rsidRDefault="00A758CB" w:rsidP="00A758CB">
            <w:pPr>
              <w:pStyle w:val="CellBodyCfirst"/>
              <w:rPr>
                <w:sz w:val="20"/>
                <w:szCs w:val="20"/>
              </w:rPr>
            </w:pPr>
            <w:r w:rsidRPr="00E0300B">
              <w:rPr>
                <w:sz w:val="20"/>
                <w:szCs w:val="20"/>
              </w:rPr>
              <w:t>4051</w:t>
            </w:r>
          </w:p>
        </w:tc>
        <w:tc>
          <w:tcPr>
            <w:tcW w:w="1350" w:type="dxa"/>
          </w:tcPr>
          <w:p w14:paraId="6DE85C8E"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0633A914" w14:textId="77777777" w:rsidR="00A758CB" w:rsidRPr="00E0300B" w:rsidRDefault="00A758CB" w:rsidP="00A758CB">
            <w:pPr>
              <w:pStyle w:val="CellBodyfirst"/>
              <w:rPr>
                <w:sz w:val="20"/>
                <w:szCs w:val="20"/>
              </w:rPr>
            </w:pPr>
            <w:r w:rsidRPr="00E0300B">
              <w:rPr>
                <w:sz w:val="20"/>
                <w:szCs w:val="20"/>
              </w:rPr>
              <w:t>Tax on retail sale of heavy highway vehicles</w:t>
            </w:r>
          </w:p>
        </w:tc>
        <w:tc>
          <w:tcPr>
            <w:tcW w:w="1204" w:type="dxa"/>
            <w:vAlign w:val="bottom"/>
          </w:tcPr>
          <w:p w14:paraId="06EA108D"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21E7AAF9" w14:textId="77777777" w:rsidTr="00A758CB">
        <w:tblPrEx>
          <w:tblCellMar>
            <w:left w:w="115" w:type="dxa"/>
            <w:right w:w="115" w:type="dxa"/>
          </w:tblCellMar>
        </w:tblPrEx>
        <w:trPr>
          <w:gridAfter w:val="1"/>
          <w:wAfter w:w="7" w:type="dxa"/>
        </w:trPr>
        <w:tc>
          <w:tcPr>
            <w:tcW w:w="1267" w:type="dxa"/>
            <w:shd w:val="clear" w:color="auto" w:fill="auto"/>
          </w:tcPr>
          <w:p w14:paraId="2982C18D" w14:textId="77777777" w:rsidR="00A758CB" w:rsidRPr="00E0300B" w:rsidRDefault="00A758CB" w:rsidP="00A758CB">
            <w:pPr>
              <w:pStyle w:val="CellBodyCfirst"/>
              <w:rPr>
                <w:sz w:val="20"/>
                <w:szCs w:val="20"/>
              </w:rPr>
            </w:pPr>
            <w:r w:rsidRPr="00E0300B">
              <w:rPr>
                <w:sz w:val="20"/>
                <w:szCs w:val="20"/>
              </w:rPr>
              <w:t>4071</w:t>
            </w:r>
          </w:p>
        </w:tc>
        <w:tc>
          <w:tcPr>
            <w:tcW w:w="1350" w:type="dxa"/>
          </w:tcPr>
          <w:p w14:paraId="18480ED9"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1F6E5F65" w14:textId="77777777" w:rsidR="00A758CB" w:rsidRPr="00E0300B" w:rsidRDefault="00A758CB" w:rsidP="00A758CB">
            <w:pPr>
              <w:pStyle w:val="CellBodyfirst"/>
              <w:rPr>
                <w:sz w:val="20"/>
                <w:szCs w:val="20"/>
              </w:rPr>
            </w:pPr>
            <w:r w:rsidRPr="00E0300B">
              <w:rPr>
                <w:sz w:val="20"/>
                <w:szCs w:val="20"/>
              </w:rPr>
              <w:t>Tax on heavy truck tires</w:t>
            </w:r>
          </w:p>
        </w:tc>
        <w:tc>
          <w:tcPr>
            <w:tcW w:w="1204" w:type="dxa"/>
            <w:vAlign w:val="bottom"/>
          </w:tcPr>
          <w:p w14:paraId="684E60E2"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20A2BD19" w14:textId="77777777" w:rsidTr="00A758CB">
        <w:tblPrEx>
          <w:tblCellMar>
            <w:left w:w="115" w:type="dxa"/>
            <w:right w:w="115" w:type="dxa"/>
          </w:tblCellMar>
        </w:tblPrEx>
        <w:trPr>
          <w:gridAfter w:val="1"/>
          <w:wAfter w:w="7" w:type="dxa"/>
        </w:trPr>
        <w:tc>
          <w:tcPr>
            <w:tcW w:w="1267" w:type="dxa"/>
            <w:shd w:val="clear" w:color="auto" w:fill="auto"/>
          </w:tcPr>
          <w:p w14:paraId="4F96E960" w14:textId="77777777" w:rsidR="00A758CB" w:rsidRPr="00E0300B" w:rsidRDefault="00A758CB" w:rsidP="00A758CB">
            <w:pPr>
              <w:pStyle w:val="CellBodyCfirst"/>
              <w:rPr>
                <w:sz w:val="20"/>
                <w:szCs w:val="20"/>
              </w:rPr>
            </w:pPr>
            <w:r w:rsidRPr="00E0300B">
              <w:rPr>
                <w:sz w:val="20"/>
                <w:szCs w:val="20"/>
              </w:rPr>
              <w:t>4041, 4042, 4081</w:t>
            </w:r>
          </w:p>
        </w:tc>
        <w:tc>
          <w:tcPr>
            <w:tcW w:w="1350" w:type="dxa"/>
          </w:tcPr>
          <w:p w14:paraId="6B83D653"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3BC20ECF" w14:textId="77777777" w:rsidR="00A758CB" w:rsidRPr="00E0300B" w:rsidRDefault="00A758CB" w:rsidP="00A758CB">
            <w:pPr>
              <w:pStyle w:val="CellBodyfirst"/>
              <w:rPr>
                <w:sz w:val="20"/>
                <w:szCs w:val="20"/>
              </w:rPr>
            </w:pPr>
            <w:r w:rsidRPr="00E0300B">
              <w:rPr>
                <w:sz w:val="20"/>
                <w:szCs w:val="20"/>
              </w:rPr>
              <w:t>Leaking Underground Storage Tank Trust Fund financing rate</w:t>
            </w:r>
          </w:p>
        </w:tc>
        <w:tc>
          <w:tcPr>
            <w:tcW w:w="1204" w:type="dxa"/>
          </w:tcPr>
          <w:p w14:paraId="1EBF0154"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730E2F8D" w14:textId="77777777" w:rsidTr="00A758CB">
        <w:tblPrEx>
          <w:tblCellMar>
            <w:left w:w="115" w:type="dxa"/>
            <w:right w:w="115" w:type="dxa"/>
          </w:tblCellMar>
        </w:tblPrEx>
        <w:trPr>
          <w:gridAfter w:val="1"/>
          <w:wAfter w:w="7" w:type="dxa"/>
        </w:trPr>
        <w:tc>
          <w:tcPr>
            <w:tcW w:w="1267" w:type="dxa"/>
            <w:shd w:val="clear" w:color="auto" w:fill="auto"/>
          </w:tcPr>
          <w:p w14:paraId="1E3D29CC" w14:textId="77777777" w:rsidR="00A758CB" w:rsidRPr="00E0300B" w:rsidRDefault="00A758CB" w:rsidP="00A758CB">
            <w:pPr>
              <w:pStyle w:val="CellBodyCfirst"/>
              <w:rPr>
                <w:sz w:val="20"/>
                <w:szCs w:val="20"/>
              </w:rPr>
            </w:pPr>
            <w:r w:rsidRPr="00E0300B">
              <w:rPr>
                <w:sz w:val="20"/>
                <w:szCs w:val="20"/>
              </w:rPr>
              <w:t>4081</w:t>
            </w:r>
          </w:p>
        </w:tc>
        <w:tc>
          <w:tcPr>
            <w:tcW w:w="1350" w:type="dxa"/>
          </w:tcPr>
          <w:p w14:paraId="2B79360D"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641B5A60" w14:textId="77777777" w:rsidR="00A758CB" w:rsidRPr="00E0300B" w:rsidRDefault="00A758CB" w:rsidP="00A758CB">
            <w:pPr>
              <w:pStyle w:val="CellBodyfirst"/>
              <w:rPr>
                <w:sz w:val="20"/>
                <w:szCs w:val="20"/>
              </w:rPr>
            </w:pPr>
            <w:r w:rsidRPr="00E0300B">
              <w:rPr>
                <w:sz w:val="20"/>
                <w:szCs w:val="20"/>
              </w:rPr>
              <w:t>All but 4.3¢ per gallon of taxes on noncommercial aviation kerosene and noncommercial aviation gasoline</w:t>
            </w:r>
          </w:p>
        </w:tc>
        <w:tc>
          <w:tcPr>
            <w:tcW w:w="1204" w:type="dxa"/>
          </w:tcPr>
          <w:p w14:paraId="086703EC" w14:textId="77777777" w:rsidR="00A758CB" w:rsidRPr="00E0300B" w:rsidRDefault="00A758CB" w:rsidP="00A758CB">
            <w:pPr>
              <w:pStyle w:val="CellBodyfirst"/>
              <w:jc w:val="center"/>
              <w:rPr>
                <w:sz w:val="20"/>
                <w:szCs w:val="20"/>
              </w:rPr>
            </w:pPr>
            <w:r w:rsidRPr="00E0300B">
              <w:rPr>
                <w:sz w:val="20"/>
                <w:szCs w:val="20"/>
              </w:rPr>
              <w:t>09/30/2022</w:t>
            </w:r>
          </w:p>
        </w:tc>
      </w:tr>
      <w:tr w:rsidR="00A758CB" w:rsidRPr="00E0300B" w14:paraId="0C4AEC21" w14:textId="77777777" w:rsidTr="00A758CB">
        <w:tblPrEx>
          <w:tblCellMar>
            <w:left w:w="115" w:type="dxa"/>
            <w:right w:w="115" w:type="dxa"/>
          </w:tblCellMar>
        </w:tblPrEx>
        <w:trPr>
          <w:gridAfter w:val="1"/>
          <w:wAfter w:w="7" w:type="dxa"/>
        </w:trPr>
        <w:tc>
          <w:tcPr>
            <w:tcW w:w="1267" w:type="dxa"/>
            <w:shd w:val="clear" w:color="auto" w:fill="auto"/>
          </w:tcPr>
          <w:p w14:paraId="0243249F" w14:textId="77777777" w:rsidR="00A758CB" w:rsidRPr="00E0300B" w:rsidRDefault="00A758CB" w:rsidP="00A758CB">
            <w:pPr>
              <w:pStyle w:val="CellBodyCfirst"/>
              <w:rPr>
                <w:sz w:val="20"/>
                <w:szCs w:val="20"/>
              </w:rPr>
            </w:pPr>
            <w:r w:rsidRPr="00E0300B">
              <w:rPr>
                <w:sz w:val="20"/>
                <w:szCs w:val="20"/>
              </w:rPr>
              <w:lastRenderedPageBreak/>
              <w:t>4121</w:t>
            </w:r>
          </w:p>
        </w:tc>
        <w:tc>
          <w:tcPr>
            <w:tcW w:w="1350" w:type="dxa"/>
          </w:tcPr>
          <w:p w14:paraId="64E0868E"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1496E888" w14:textId="77777777" w:rsidR="00A758CB" w:rsidRPr="00E0300B" w:rsidRDefault="00A758CB" w:rsidP="00A758CB">
            <w:pPr>
              <w:pStyle w:val="CellBodyfirst"/>
              <w:rPr>
                <w:sz w:val="20"/>
                <w:szCs w:val="20"/>
              </w:rPr>
            </w:pPr>
            <w:r w:rsidRPr="00E0300B">
              <w:rPr>
                <w:sz w:val="20"/>
                <w:szCs w:val="20"/>
              </w:rPr>
              <w:t>Black Lung Disability Trust Fund: Increase in amount of excise tax on coal</w:t>
            </w:r>
          </w:p>
        </w:tc>
        <w:tc>
          <w:tcPr>
            <w:tcW w:w="1204" w:type="dxa"/>
          </w:tcPr>
          <w:p w14:paraId="7C6365F2" w14:textId="77777777" w:rsidR="00A758CB" w:rsidRPr="00E0300B" w:rsidRDefault="00A758CB" w:rsidP="00A758CB">
            <w:pPr>
              <w:pStyle w:val="CellBodyfirst"/>
              <w:jc w:val="center"/>
              <w:rPr>
                <w:sz w:val="20"/>
                <w:szCs w:val="20"/>
              </w:rPr>
            </w:pPr>
            <w:r w:rsidRPr="00E0300B">
              <w:rPr>
                <w:sz w:val="20"/>
                <w:szCs w:val="20"/>
              </w:rPr>
              <w:t>12/31/2018</w:t>
            </w:r>
          </w:p>
        </w:tc>
      </w:tr>
      <w:tr w:rsidR="00A758CB" w:rsidRPr="00E0300B" w14:paraId="19D86460" w14:textId="77777777" w:rsidTr="00A758CB">
        <w:tblPrEx>
          <w:tblCellMar>
            <w:left w:w="115" w:type="dxa"/>
            <w:right w:w="115" w:type="dxa"/>
          </w:tblCellMar>
        </w:tblPrEx>
        <w:trPr>
          <w:gridAfter w:val="1"/>
          <w:wAfter w:w="7" w:type="dxa"/>
        </w:trPr>
        <w:tc>
          <w:tcPr>
            <w:tcW w:w="1267" w:type="dxa"/>
            <w:shd w:val="clear" w:color="auto" w:fill="auto"/>
          </w:tcPr>
          <w:p w14:paraId="3151612A" w14:textId="77777777" w:rsidR="00A758CB" w:rsidRPr="00E0300B" w:rsidRDefault="00A758CB" w:rsidP="00A758CB">
            <w:pPr>
              <w:pStyle w:val="CellBodyCfirst"/>
              <w:rPr>
                <w:sz w:val="20"/>
                <w:szCs w:val="20"/>
              </w:rPr>
            </w:pPr>
            <w:r w:rsidRPr="00E0300B">
              <w:rPr>
                <w:sz w:val="20"/>
                <w:szCs w:val="20"/>
              </w:rPr>
              <w:t>4191</w:t>
            </w:r>
          </w:p>
        </w:tc>
        <w:tc>
          <w:tcPr>
            <w:tcW w:w="1350" w:type="dxa"/>
          </w:tcPr>
          <w:p w14:paraId="1A09646C" w14:textId="77777777" w:rsidR="00A758CB" w:rsidRPr="00E0300B" w:rsidRDefault="00A758CB" w:rsidP="00A758CB">
            <w:pPr>
              <w:pStyle w:val="CellBodyfirst"/>
              <w:jc w:val="center"/>
              <w:rPr>
                <w:sz w:val="20"/>
                <w:szCs w:val="20"/>
              </w:rPr>
            </w:pPr>
            <w:r w:rsidRPr="00E0300B">
              <w:rPr>
                <w:sz w:val="20"/>
                <w:szCs w:val="20"/>
              </w:rPr>
              <w:t>PATH 174</w:t>
            </w:r>
          </w:p>
        </w:tc>
        <w:tc>
          <w:tcPr>
            <w:tcW w:w="4860" w:type="dxa"/>
            <w:gridSpan w:val="2"/>
            <w:shd w:val="clear" w:color="auto" w:fill="auto"/>
          </w:tcPr>
          <w:p w14:paraId="755E46BE" w14:textId="77777777" w:rsidR="00A758CB" w:rsidRPr="00E0300B" w:rsidRDefault="00A758CB" w:rsidP="00A758CB">
            <w:pPr>
              <w:pStyle w:val="CellBodyfirst"/>
              <w:rPr>
                <w:sz w:val="20"/>
                <w:szCs w:val="20"/>
              </w:rPr>
            </w:pPr>
            <w:r w:rsidRPr="00E0300B">
              <w:rPr>
                <w:sz w:val="20"/>
                <w:szCs w:val="20"/>
              </w:rPr>
              <w:t>Suspension of medical device excise tax</w:t>
            </w:r>
          </w:p>
        </w:tc>
        <w:tc>
          <w:tcPr>
            <w:tcW w:w="1204" w:type="dxa"/>
            <w:vAlign w:val="bottom"/>
          </w:tcPr>
          <w:p w14:paraId="3CCCDA1D" w14:textId="77777777" w:rsidR="00A758CB" w:rsidRPr="00E0300B" w:rsidRDefault="00A758CB" w:rsidP="00A758CB">
            <w:pPr>
              <w:pStyle w:val="CellBodyfirst"/>
              <w:jc w:val="center"/>
              <w:rPr>
                <w:sz w:val="20"/>
                <w:szCs w:val="20"/>
              </w:rPr>
            </w:pPr>
            <w:r w:rsidRPr="00E0300B">
              <w:rPr>
                <w:sz w:val="20"/>
                <w:szCs w:val="20"/>
              </w:rPr>
              <w:t>2017</w:t>
            </w:r>
          </w:p>
        </w:tc>
      </w:tr>
      <w:tr w:rsidR="00A758CB" w:rsidRPr="00E0300B" w14:paraId="4DA761E1" w14:textId="77777777" w:rsidTr="00A758CB">
        <w:tblPrEx>
          <w:tblCellMar>
            <w:left w:w="115" w:type="dxa"/>
            <w:right w:w="115" w:type="dxa"/>
          </w:tblCellMar>
        </w:tblPrEx>
        <w:trPr>
          <w:gridAfter w:val="1"/>
          <w:wAfter w:w="7" w:type="dxa"/>
        </w:trPr>
        <w:tc>
          <w:tcPr>
            <w:tcW w:w="1267" w:type="dxa"/>
            <w:shd w:val="clear" w:color="auto" w:fill="auto"/>
          </w:tcPr>
          <w:p w14:paraId="1D8F888D" w14:textId="77777777" w:rsidR="00A758CB" w:rsidRPr="00E0300B" w:rsidRDefault="00A758CB" w:rsidP="00A758CB">
            <w:pPr>
              <w:pStyle w:val="CellBodyCfirst"/>
              <w:rPr>
                <w:sz w:val="20"/>
                <w:szCs w:val="20"/>
              </w:rPr>
            </w:pPr>
            <w:r w:rsidRPr="00E0300B">
              <w:rPr>
                <w:sz w:val="20"/>
                <w:szCs w:val="20"/>
              </w:rPr>
              <w:t>4261</w:t>
            </w:r>
          </w:p>
        </w:tc>
        <w:tc>
          <w:tcPr>
            <w:tcW w:w="1350" w:type="dxa"/>
          </w:tcPr>
          <w:p w14:paraId="26763C40"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20F2317A" w14:textId="77777777" w:rsidR="00A758CB" w:rsidRPr="00E0300B" w:rsidRDefault="00A758CB" w:rsidP="00A758CB">
            <w:pPr>
              <w:pStyle w:val="CellBodyfirst"/>
              <w:rPr>
                <w:sz w:val="20"/>
                <w:szCs w:val="20"/>
              </w:rPr>
            </w:pPr>
            <w:r w:rsidRPr="00E0300B">
              <w:rPr>
                <w:sz w:val="20"/>
                <w:szCs w:val="20"/>
              </w:rPr>
              <w:t>Domestic and international air passenger ticket taxes and ticket tax exemption for aircraft in fractional ownership aircraft programs</w:t>
            </w:r>
          </w:p>
        </w:tc>
        <w:tc>
          <w:tcPr>
            <w:tcW w:w="1204" w:type="dxa"/>
          </w:tcPr>
          <w:p w14:paraId="0660E114" w14:textId="77777777" w:rsidR="00A758CB" w:rsidRPr="00E0300B" w:rsidRDefault="00A758CB" w:rsidP="00A758CB">
            <w:pPr>
              <w:pStyle w:val="CellBodyfirst"/>
              <w:jc w:val="center"/>
              <w:rPr>
                <w:sz w:val="20"/>
                <w:szCs w:val="20"/>
              </w:rPr>
            </w:pPr>
            <w:r w:rsidRPr="00E0300B">
              <w:rPr>
                <w:sz w:val="20"/>
                <w:szCs w:val="20"/>
              </w:rPr>
              <w:t>09/30/2015</w:t>
            </w:r>
          </w:p>
        </w:tc>
      </w:tr>
      <w:tr w:rsidR="00A758CB" w:rsidRPr="00E0300B" w14:paraId="16AB9637" w14:textId="77777777" w:rsidTr="00A758CB">
        <w:tblPrEx>
          <w:tblCellMar>
            <w:left w:w="115" w:type="dxa"/>
            <w:right w:w="115" w:type="dxa"/>
          </w:tblCellMar>
        </w:tblPrEx>
        <w:trPr>
          <w:gridAfter w:val="1"/>
          <w:wAfter w:w="7" w:type="dxa"/>
        </w:trPr>
        <w:tc>
          <w:tcPr>
            <w:tcW w:w="1267" w:type="dxa"/>
            <w:shd w:val="clear" w:color="auto" w:fill="auto"/>
          </w:tcPr>
          <w:p w14:paraId="2962D59F" w14:textId="77777777" w:rsidR="00A758CB" w:rsidRPr="00E0300B" w:rsidRDefault="00A758CB" w:rsidP="00A758CB">
            <w:pPr>
              <w:pStyle w:val="CellBodyCfirst"/>
              <w:rPr>
                <w:sz w:val="20"/>
                <w:szCs w:val="20"/>
              </w:rPr>
            </w:pPr>
            <w:r w:rsidRPr="00E0300B">
              <w:rPr>
                <w:sz w:val="20"/>
                <w:szCs w:val="20"/>
              </w:rPr>
              <w:t>4271</w:t>
            </w:r>
          </w:p>
        </w:tc>
        <w:tc>
          <w:tcPr>
            <w:tcW w:w="1350" w:type="dxa"/>
          </w:tcPr>
          <w:p w14:paraId="4FAA0948"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4932E4CD" w14:textId="77777777" w:rsidR="00A758CB" w:rsidRPr="00E0300B" w:rsidRDefault="00A758CB" w:rsidP="00A758CB">
            <w:pPr>
              <w:pStyle w:val="CellBodyfirst"/>
              <w:rPr>
                <w:sz w:val="20"/>
                <w:szCs w:val="20"/>
              </w:rPr>
            </w:pPr>
            <w:r w:rsidRPr="00E0300B">
              <w:rPr>
                <w:sz w:val="20"/>
                <w:szCs w:val="20"/>
              </w:rPr>
              <w:t>Air cargo tax</w:t>
            </w:r>
          </w:p>
        </w:tc>
        <w:tc>
          <w:tcPr>
            <w:tcW w:w="1204" w:type="dxa"/>
            <w:vAlign w:val="bottom"/>
          </w:tcPr>
          <w:p w14:paraId="4080578D" w14:textId="77777777" w:rsidR="00A758CB" w:rsidRPr="00E0300B" w:rsidRDefault="00A758CB" w:rsidP="00A758CB">
            <w:pPr>
              <w:pStyle w:val="CellBodyfirst"/>
              <w:jc w:val="center"/>
              <w:rPr>
                <w:sz w:val="20"/>
                <w:szCs w:val="20"/>
              </w:rPr>
            </w:pPr>
            <w:r w:rsidRPr="00E0300B">
              <w:rPr>
                <w:sz w:val="20"/>
                <w:szCs w:val="20"/>
              </w:rPr>
              <w:t>3/31/2016</w:t>
            </w:r>
          </w:p>
        </w:tc>
      </w:tr>
      <w:tr w:rsidR="00A758CB" w:rsidRPr="00E0300B" w14:paraId="7C1BE75E" w14:textId="77777777" w:rsidTr="00A758CB">
        <w:tblPrEx>
          <w:tblCellMar>
            <w:left w:w="115" w:type="dxa"/>
            <w:right w:w="115" w:type="dxa"/>
          </w:tblCellMar>
        </w:tblPrEx>
        <w:trPr>
          <w:gridAfter w:val="1"/>
          <w:wAfter w:w="7" w:type="dxa"/>
        </w:trPr>
        <w:tc>
          <w:tcPr>
            <w:tcW w:w="1267" w:type="dxa"/>
            <w:shd w:val="clear" w:color="auto" w:fill="auto"/>
          </w:tcPr>
          <w:p w14:paraId="4FAE753A" w14:textId="77777777" w:rsidR="00A758CB" w:rsidRPr="00E0300B" w:rsidRDefault="00A758CB" w:rsidP="00A758CB">
            <w:pPr>
              <w:pStyle w:val="CellBodyCfirst"/>
              <w:rPr>
                <w:sz w:val="20"/>
                <w:szCs w:val="20"/>
              </w:rPr>
            </w:pPr>
            <w:r w:rsidRPr="00E0300B">
              <w:rPr>
                <w:sz w:val="20"/>
                <w:szCs w:val="20"/>
              </w:rPr>
              <w:t>4481</w:t>
            </w:r>
          </w:p>
        </w:tc>
        <w:tc>
          <w:tcPr>
            <w:tcW w:w="1350" w:type="dxa"/>
          </w:tcPr>
          <w:p w14:paraId="72D40337"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4A8C4A51" w14:textId="77777777" w:rsidR="00A758CB" w:rsidRPr="00E0300B" w:rsidRDefault="00A758CB" w:rsidP="00A758CB">
            <w:pPr>
              <w:pStyle w:val="CellBodyfirst"/>
              <w:rPr>
                <w:sz w:val="20"/>
                <w:szCs w:val="20"/>
              </w:rPr>
            </w:pPr>
            <w:r w:rsidRPr="00E0300B">
              <w:rPr>
                <w:sz w:val="20"/>
                <w:szCs w:val="20"/>
              </w:rPr>
              <w:t>Annual use tax on heavy highway vehicles</w:t>
            </w:r>
          </w:p>
        </w:tc>
        <w:tc>
          <w:tcPr>
            <w:tcW w:w="1204" w:type="dxa"/>
            <w:vAlign w:val="bottom"/>
          </w:tcPr>
          <w:p w14:paraId="030BF0A7" w14:textId="77777777" w:rsidR="00A758CB" w:rsidRPr="00E0300B" w:rsidRDefault="00A758CB" w:rsidP="00A758CB">
            <w:pPr>
              <w:pStyle w:val="CellBodyfirst"/>
              <w:jc w:val="center"/>
              <w:rPr>
                <w:sz w:val="20"/>
                <w:szCs w:val="20"/>
              </w:rPr>
            </w:pPr>
            <w:r w:rsidRPr="00E0300B">
              <w:rPr>
                <w:sz w:val="20"/>
                <w:szCs w:val="20"/>
              </w:rPr>
              <w:t>09/30/2023</w:t>
            </w:r>
          </w:p>
        </w:tc>
      </w:tr>
      <w:tr w:rsidR="00A758CB" w:rsidRPr="00E0300B" w14:paraId="4B0967F8" w14:textId="77777777" w:rsidTr="00A758CB">
        <w:tblPrEx>
          <w:tblCellMar>
            <w:left w:w="115" w:type="dxa"/>
            <w:right w:w="115" w:type="dxa"/>
          </w:tblCellMar>
        </w:tblPrEx>
        <w:trPr>
          <w:gridAfter w:val="1"/>
          <w:wAfter w:w="7" w:type="dxa"/>
        </w:trPr>
        <w:tc>
          <w:tcPr>
            <w:tcW w:w="1267" w:type="dxa"/>
            <w:shd w:val="clear" w:color="auto" w:fill="auto"/>
          </w:tcPr>
          <w:p w14:paraId="558803E6" w14:textId="77777777" w:rsidR="00A758CB" w:rsidRPr="00E0300B" w:rsidRDefault="00A758CB" w:rsidP="00A758CB">
            <w:pPr>
              <w:pStyle w:val="CellBodyCfirst"/>
              <w:rPr>
                <w:sz w:val="20"/>
                <w:szCs w:val="20"/>
              </w:rPr>
            </w:pPr>
            <w:r w:rsidRPr="00E0300B">
              <w:rPr>
                <w:sz w:val="20"/>
                <w:szCs w:val="20"/>
              </w:rPr>
              <w:t>4611</w:t>
            </w:r>
          </w:p>
        </w:tc>
        <w:tc>
          <w:tcPr>
            <w:tcW w:w="1350" w:type="dxa"/>
          </w:tcPr>
          <w:p w14:paraId="5E0A7DF9"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tcPr>
          <w:p w14:paraId="538F971E" w14:textId="77777777" w:rsidR="00A758CB" w:rsidRPr="00E0300B" w:rsidRDefault="00A758CB" w:rsidP="00A758CB">
            <w:pPr>
              <w:pStyle w:val="CellBodyfirst"/>
              <w:rPr>
                <w:sz w:val="20"/>
                <w:szCs w:val="20"/>
              </w:rPr>
            </w:pPr>
            <w:r w:rsidRPr="00E0300B">
              <w:rPr>
                <w:sz w:val="20"/>
                <w:szCs w:val="20"/>
              </w:rPr>
              <w:t>Oil Spill Liability Trust Fund financing rate</w:t>
            </w:r>
          </w:p>
        </w:tc>
        <w:tc>
          <w:tcPr>
            <w:tcW w:w="1204" w:type="dxa"/>
            <w:vAlign w:val="bottom"/>
          </w:tcPr>
          <w:p w14:paraId="46A535AF" w14:textId="77777777" w:rsidR="00A758CB" w:rsidRPr="00E0300B" w:rsidRDefault="00A758CB" w:rsidP="00A758CB">
            <w:pPr>
              <w:pStyle w:val="CellBodyfirst"/>
              <w:jc w:val="center"/>
              <w:rPr>
                <w:sz w:val="20"/>
                <w:szCs w:val="20"/>
              </w:rPr>
            </w:pPr>
            <w:r w:rsidRPr="00E0300B">
              <w:rPr>
                <w:sz w:val="20"/>
                <w:szCs w:val="20"/>
              </w:rPr>
              <w:t>12/31/2017</w:t>
            </w:r>
          </w:p>
        </w:tc>
      </w:tr>
      <w:tr w:rsidR="00A758CB" w:rsidRPr="00E0300B" w14:paraId="494B29B8" w14:textId="77777777" w:rsidTr="00A758CB">
        <w:tblPrEx>
          <w:tblCellMar>
            <w:left w:w="115" w:type="dxa"/>
            <w:right w:w="115" w:type="dxa"/>
          </w:tblCellMar>
        </w:tblPrEx>
        <w:trPr>
          <w:gridAfter w:val="1"/>
          <w:wAfter w:w="7" w:type="dxa"/>
        </w:trPr>
        <w:tc>
          <w:tcPr>
            <w:tcW w:w="1267" w:type="dxa"/>
            <w:shd w:val="clear" w:color="auto" w:fill="auto"/>
            <w:vAlign w:val="bottom"/>
          </w:tcPr>
          <w:p w14:paraId="42E6766D" w14:textId="77777777" w:rsidR="00A758CB" w:rsidRPr="00E0300B" w:rsidRDefault="00A758CB" w:rsidP="00A758CB">
            <w:pPr>
              <w:pStyle w:val="CellBodyCfirst"/>
              <w:rPr>
                <w:sz w:val="20"/>
                <w:szCs w:val="20"/>
              </w:rPr>
            </w:pPr>
            <w:r w:rsidRPr="00E0300B">
              <w:rPr>
                <w:sz w:val="20"/>
                <w:szCs w:val="20"/>
              </w:rPr>
              <w:t>6426</w:t>
            </w:r>
          </w:p>
        </w:tc>
        <w:tc>
          <w:tcPr>
            <w:tcW w:w="1350" w:type="dxa"/>
          </w:tcPr>
          <w:p w14:paraId="1E5A0B91"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vAlign w:val="bottom"/>
          </w:tcPr>
          <w:p w14:paraId="7F7A7697" w14:textId="77777777" w:rsidR="00A758CB" w:rsidRPr="00E0300B" w:rsidRDefault="00A758CB" w:rsidP="00A758CB">
            <w:pPr>
              <w:pStyle w:val="CellBodyfirst"/>
              <w:rPr>
                <w:sz w:val="20"/>
                <w:szCs w:val="20"/>
              </w:rPr>
            </w:pPr>
            <w:r w:rsidRPr="00E0300B">
              <w:rPr>
                <w:sz w:val="20"/>
                <w:szCs w:val="20"/>
              </w:rPr>
              <w:t>Excise tax credits for liquefied hydrogen fuel mixtures</w:t>
            </w:r>
          </w:p>
        </w:tc>
        <w:tc>
          <w:tcPr>
            <w:tcW w:w="1204" w:type="dxa"/>
            <w:vAlign w:val="bottom"/>
          </w:tcPr>
          <w:p w14:paraId="1824728C" w14:textId="77777777" w:rsidR="00A758CB" w:rsidRPr="00E0300B" w:rsidRDefault="00A758CB" w:rsidP="00A758CB">
            <w:pPr>
              <w:pStyle w:val="CellBodyfirst"/>
              <w:jc w:val="center"/>
              <w:rPr>
                <w:sz w:val="20"/>
                <w:szCs w:val="20"/>
              </w:rPr>
            </w:pPr>
            <w:r w:rsidRPr="00E0300B">
              <w:rPr>
                <w:sz w:val="20"/>
                <w:szCs w:val="20"/>
              </w:rPr>
              <w:t>09/30/2014</w:t>
            </w:r>
          </w:p>
        </w:tc>
      </w:tr>
      <w:tr w:rsidR="00A758CB" w:rsidRPr="00E0300B" w14:paraId="5AE146EA" w14:textId="77777777" w:rsidTr="00A758CB">
        <w:tblPrEx>
          <w:tblCellMar>
            <w:left w:w="115" w:type="dxa"/>
            <w:right w:w="115" w:type="dxa"/>
          </w:tblCellMar>
        </w:tblPrEx>
        <w:trPr>
          <w:gridAfter w:val="1"/>
          <w:wAfter w:w="7" w:type="dxa"/>
        </w:trPr>
        <w:tc>
          <w:tcPr>
            <w:tcW w:w="1267" w:type="dxa"/>
            <w:shd w:val="clear" w:color="auto" w:fill="auto"/>
          </w:tcPr>
          <w:p w14:paraId="638C4EE9" w14:textId="77777777" w:rsidR="00A758CB" w:rsidRPr="00E0300B" w:rsidRDefault="00A758CB" w:rsidP="00A758CB">
            <w:pPr>
              <w:pStyle w:val="CellBodyCfirst"/>
              <w:rPr>
                <w:sz w:val="20"/>
                <w:szCs w:val="20"/>
              </w:rPr>
            </w:pPr>
            <w:r w:rsidRPr="00E0300B">
              <w:rPr>
                <w:sz w:val="20"/>
                <w:szCs w:val="20"/>
              </w:rPr>
              <w:t>6426, 6427</w:t>
            </w:r>
          </w:p>
        </w:tc>
        <w:tc>
          <w:tcPr>
            <w:tcW w:w="1350" w:type="dxa"/>
          </w:tcPr>
          <w:p w14:paraId="18BC1D09" w14:textId="77777777" w:rsidR="00A758CB" w:rsidRPr="00E0300B" w:rsidRDefault="00A758CB" w:rsidP="00A758CB">
            <w:pPr>
              <w:pStyle w:val="CellBodyfirst"/>
              <w:rPr>
                <w:sz w:val="20"/>
                <w:szCs w:val="20"/>
              </w:rPr>
            </w:pPr>
            <w:r w:rsidRPr="00E0300B">
              <w:rPr>
                <w:sz w:val="20"/>
                <w:szCs w:val="20"/>
              </w:rPr>
              <w:t>Not Extended</w:t>
            </w:r>
          </w:p>
        </w:tc>
        <w:tc>
          <w:tcPr>
            <w:tcW w:w="4860" w:type="dxa"/>
            <w:gridSpan w:val="2"/>
            <w:shd w:val="clear" w:color="auto" w:fill="auto"/>
            <w:vAlign w:val="bottom"/>
          </w:tcPr>
          <w:p w14:paraId="03B29453" w14:textId="77777777" w:rsidR="00A758CB" w:rsidRPr="00E0300B" w:rsidRDefault="00A758CB" w:rsidP="00A758CB">
            <w:pPr>
              <w:pStyle w:val="CellBodyfirst"/>
              <w:rPr>
                <w:sz w:val="20"/>
                <w:szCs w:val="20"/>
              </w:rPr>
            </w:pPr>
            <w:r w:rsidRPr="00E0300B">
              <w:rPr>
                <w:sz w:val="20"/>
                <w:szCs w:val="20"/>
              </w:rPr>
              <w:t>Excise tax credits and outlay payments for liquefied hydrogen</w:t>
            </w:r>
          </w:p>
        </w:tc>
        <w:tc>
          <w:tcPr>
            <w:tcW w:w="1204" w:type="dxa"/>
          </w:tcPr>
          <w:p w14:paraId="74F0F483" w14:textId="77777777" w:rsidR="00A758CB" w:rsidRPr="00E0300B" w:rsidRDefault="00A758CB" w:rsidP="00A758CB">
            <w:pPr>
              <w:pStyle w:val="CellBodyfirst"/>
              <w:jc w:val="center"/>
              <w:rPr>
                <w:sz w:val="20"/>
                <w:szCs w:val="20"/>
              </w:rPr>
            </w:pPr>
            <w:r w:rsidRPr="00E0300B">
              <w:rPr>
                <w:sz w:val="20"/>
                <w:szCs w:val="20"/>
              </w:rPr>
              <w:t>09/30/2014</w:t>
            </w:r>
          </w:p>
        </w:tc>
      </w:tr>
      <w:tr w:rsidR="00A758CB" w:rsidRPr="00E0300B" w14:paraId="35644BC6" w14:textId="77777777" w:rsidTr="00A758CB">
        <w:tblPrEx>
          <w:tblCellMar>
            <w:left w:w="115" w:type="dxa"/>
            <w:right w:w="115" w:type="dxa"/>
          </w:tblCellMar>
        </w:tblPrEx>
        <w:trPr>
          <w:gridAfter w:val="1"/>
          <w:wAfter w:w="7" w:type="dxa"/>
        </w:trPr>
        <w:tc>
          <w:tcPr>
            <w:tcW w:w="1267" w:type="dxa"/>
            <w:shd w:val="clear" w:color="auto" w:fill="auto"/>
          </w:tcPr>
          <w:p w14:paraId="0F6A6CA2" w14:textId="77777777" w:rsidR="00A758CB" w:rsidRPr="00E0300B" w:rsidRDefault="00A758CB" w:rsidP="00A758CB">
            <w:pPr>
              <w:pStyle w:val="CellBodyCfirst"/>
              <w:rPr>
                <w:sz w:val="20"/>
                <w:szCs w:val="20"/>
              </w:rPr>
            </w:pPr>
            <w:r w:rsidRPr="00E0300B">
              <w:rPr>
                <w:sz w:val="20"/>
                <w:szCs w:val="20"/>
              </w:rPr>
              <w:t>6426, 6427</w:t>
            </w:r>
          </w:p>
        </w:tc>
        <w:tc>
          <w:tcPr>
            <w:tcW w:w="1350" w:type="dxa"/>
          </w:tcPr>
          <w:p w14:paraId="00D62C5E" w14:textId="77777777" w:rsidR="00A758CB" w:rsidRPr="00E0300B" w:rsidRDefault="00A758CB" w:rsidP="00A758CB">
            <w:pPr>
              <w:pStyle w:val="CellBodyfirst"/>
              <w:jc w:val="center"/>
              <w:rPr>
                <w:sz w:val="20"/>
                <w:szCs w:val="20"/>
              </w:rPr>
            </w:pPr>
            <w:r w:rsidRPr="00E0300B">
              <w:rPr>
                <w:sz w:val="20"/>
                <w:szCs w:val="20"/>
              </w:rPr>
              <w:t>PATH 192</w:t>
            </w:r>
          </w:p>
        </w:tc>
        <w:tc>
          <w:tcPr>
            <w:tcW w:w="4860" w:type="dxa"/>
            <w:gridSpan w:val="2"/>
            <w:shd w:val="clear" w:color="auto" w:fill="auto"/>
          </w:tcPr>
          <w:p w14:paraId="3370B764" w14:textId="77777777" w:rsidR="00A758CB" w:rsidRPr="00E0300B" w:rsidRDefault="00A758CB" w:rsidP="00A758CB">
            <w:pPr>
              <w:pStyle w:val="CellBodyfirst"/>
              <w:rPr>
                <w:sz w:val="20"/>
                <w:szCs w:val="20"/>
              </w:rPr>
            </w:pPr>
            <w:r w:rsidRPr="00E0300B">
              <w:rPr>
                <w:sz w:val="20"/>
                <w:szCs w:val="20"/>
              </w:rPr>
              <w:t xml:space="preserve">Excise tax credits and outlay payments for alternative fuels, alternative fuel mixtures, biodiesel fuel mixtures, and renewable diesel fuel mixtures </w:t>
            </w:r>
          </w:p>
        </w:tc>
        <w:tc>
          <w:tcPr>
            <w:tcW w:w="1204" w:type="dxa"/>
          </w:tcPr>
          <w:p w14:paraId="06383560" w14:textId="77777777" w:rsidR="00A758CB" w:rsidRPr="00E0300B" w:rsidRDefault="00A758CB" w:rsidP="00A758CB">
            <w:pPr>
              <w:pStyle w:val="CellBodyfirst"/>
              <w:jc w:val="center"/>
              <w:rPr>
                <w:sz w:val="20"/>
                <w:szCs w:val="20"/>
              </w:rPr>
            </w:pPr>
            <w:r w:rsidRPr="00E0300B">
              <w:rPr>
                <w:sz w:val="20"/>
                <w:szCs w:val="20"/>
              </w:rPr>
              <w:t>2016</w:t>
            </w:r>
          </w:p>
        </w:tc>
      </w:tr>
      <w:tr w:rsidR="00A758CB" w:rsidRPr="00E0300B" w14:paraId="4135622E" w14:textId="77777777" w:rsidTr="00A758CB">
        <w:tblPrEx>
          <w:tblCellMar>
            <w:left w:w="115" w:type="dxa"/>
            <w:right w:w="115" w:type="dxa"/>
          </w:tblCellMar>
        </w:tblPrEx>
        <w:trPr>
          <w:gridAfter w:val="1"/>
          <w:wAfter w:w="7" w:type="dxa"/>
        </w:trPr>
        <w:tc>
          <w:tcPr>
            <w:tcW w:w="1267" w:type="dxa"/>
            <w:shd w:val="clear" w:color="auto" w:fill="auto"/>
          </w:tcPr>
          <w:p w14:paraId="63BBCD59" w14:textId="77777777" w:rsidR="00A758CB" w:rsidRPr="00E0300B" w:rsidRDefault="00A758CB" w:rsidP="00A758CB">
            <w:pPr>
              <w:keepNext/>
              <w:keepLines/>
              <w:jc w:val="center"/>
              <w:rPr>
                <w:rFonts w:ascii="Arial Narrow" w:hAnsi="Arial Narrow"/>
                <w:sz w:val="20"/>
                <w:szCs w:val="20"/>
              </w:rPr>
            </w:pPr>
            <w:r w:rsidRPr="00E0300B">
              <w:rPr>
                <w:rFonts w:ascii="Arial Narrow" w:hAnsi="Arial Narrow"/>
                <w:sz w:val="20"/>
                <w:szCs w:val="20"/>
              </w:rPr>
              <w:t>7652(f)</w:t>
            </w:r>
          </w:p>
        </w:tc>
        <w:tc>
          <w:tcPr>
            <w:tcW w:w="1350" w:type="dxa"/>
          </w:tcPr>
          <w:p w14:paraId="36C1AC65" w14:textId="77777777" w:rsidR="00A758CB" w:rsidRPr="00E0300B" w:rsidRDefault="00A758CB" w:rsidP="00A758CB">
            <w:pPr>
              <w:keepNext/>
              <w:keepLines/>
              <w:ind w:left="144" w:hanging="144"/>
              <w:jc w:val="center"/>
              <w:rPr>
                <w:rFonts w:ascii="Arial Narrow" w:hAnsi="Arial Narrow"/>
                <w:sz w:val="20"/>
                <w:szCs w:val="20"/>
              </w:rPr>
            </w:pPr>
            <w:r w:rsidRPr="00E0300B">
              <w:rPr>
                <w:rFonts w:ascii="Arial Narrow" w:hAnsi="Arial Narrow"/>
                <w:sz w:val="20"/>
                <w:szCs w:val="20"/>
              </w:rPr>
              <w:t>PATH 172</w:t>
            </w:r>
          </w:p>
        </w:tc>
        <w:tc>
          <w:tcPr>
            <w:tcW w:w="4860" w:type="dxa"/>
            <w:gridSpan w:val="2"/>
            <w:shd w:val="clear" w:color="auto" w:fill="auto"/>
          </w:tcPr>
          <w:p w14:paraId="3EFF6918" w14:textId="77777777" w:rsidR="00A758CB" w:rsidRPr="00E0300B" w:rsidRDefault="00A758CB" w:rsidP="00A758CB">
            <w:pPr>
              <w:keepNext/>
              <w:keepLines/>
              <w:ind w:left="144" w:hanging="144"/>
              <w:rPr>
                <w:rFonts w:ascii="Arial Narrow" w:hAnsi="Arial Narrow"/>
                <w:sz w:val="20"/>
                <w:szCs w:val="20"/>
              </w:rPr>
            </w:pPr>
            <w:r w:rsidRPr="00E0300B">
              <w:rPr>
                <w:rFonts w:ascii="Arial Narrow" w:hAnsi="Arial Narrow"/>
                <w:sz w:val="20"/>
                <w:szCs w:val="20"/>
              </w:rPr>
              <w:t>Temporary increase in limit on excise tax revenues on distilled spirits (from $10.50 to $13.25 per proof gallon) covered into the treasuries of Puerto Rico and the Virgin Islands</w:t>
            </w:r>
          </w:p>
        </w:tc>
        <w:tc>
          <w:tcPr>
            <w:tcW w:w="1204" w:type="dxa"/>
          </w:tcPr>
          <w:p w14:paraId="676FA5B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r w:rsidR="00A758CB" w:rsidRPr="00E0300B" w14:paraId="0079E27B" w14:textId="77777777" w:rsidTr="00A758CB">
        <w:tblPrEx>
          <w:tblCellMar>
            <w:left w:w="115" w:type="dxa"/>
            <w:right w:w="115" w:type="dxa"/>
          </w:tblCellMar>
        </w:tblPrEx>
        <w:trPr>
          <w:gridAfter w:val="1"/>
          <w:wAfter w:w="7" w:type="dxa"/>
        </w:trPr>
        <w:tc>
          <w:tcPr>
            <w:tcW w:w="1267" w:type="dxa"/>
            <w:tcBorders>
              <w:bottom w:val="single" w:sz="12" w:space="0" w:color="auto"/>
            </w:tcBorders>
            <w:shd w:val="clear" w:color="auto" w:fill="auto"/>
          </w:tcPr>
          <w:p w14:paraId="38044C7D" w14:textId="77777777" w:rsidR="00A758CB" w:rsidRPr="00E0300B" w:rsidRDefault="00A758CB" w:rsidP="00A758CB">
            <w:pPr>
              <w:jc w:val="center"/>
              <w:rPr>
                <w:rFonts w:ascii="Arial Narrow" w:hAnsi="Arial Narrow"/>
                <w:sz w:val="20"/>
                <w:szCs w:val="20"/>
              </w:rPr>
            </w:pPr>
            <w:r w:rsidRPr="00E0300B">
              <w:rPr>
                <w:rFonts w:ascii="Arial Narrow" w:hAnsi="Arial Narrow"/>
                <w:sz w:val="20"/>
                <w:szCs w:val="20"/>
              </w:rPr>
              <w:t xml:space="preserve">Pub. L. No. 109-432 </w:t>
            </w:r>
            <w:r w:rsidRPr="00E0300B">
              <w:rPr>
                <w:sz w:val="20"/>
                <w:szCs w:val="20"/>
              </w:rPr>
              <w:t>§</w:t>
            </w:r>
            <w:r w:rsidRPr="00E0300B">
              <w:rPr>
                <w:rFonts w:ascii="Arial Narrow" w:hAnsi="Arial Narrow"/>
                <w:sz w:val="20"/>
                <w:szCs w:val="20"/>
              </w:rPr>
              <w:t> 119**</w:t>
            </w:r>
          </w:p>
        </w:tc>
        <w:tc>
          <w:tcPr>
            <w:tcW w:w="1350" w:type="dxa"/>
            <w:tcBorders>
              <w:bottom w:val="single" w:sz="12" w:space="0" w:color="auto"/>
            </w:tcBorders>
          </w:tcPr>
          <w:p w14:paraId="17F71FB8" w14:textId="77777777" w:rsidR="00A758CB" w:rsidRPr="00E0300B" w:rsidRDefault="00A758CB" w:rsidP="00A758CB">
            <w:pPr>
              <w:ind w:left="144" w:hanging="144"/>
              <w:jc w:val="center"/>
              <w:rPr>
                <w:rFonts w:ascii="Arial Narrow" w:hAnsi="Arial Narrow"/>
                <w:sz w:val="20"/>
                <w:szCs w:val="20"/>
              </w:rPr>
            </w:pPr>
            <w:r w:rsidRPr="00E0300B">
              <w:rPr>
                <w:rFonts w:ascii="Arial Narrow" w:hAnsi="Arial Narrow"/>
                <w:sz w:val="20"/>
                <w:szCs w:val="20"/>
              </w:rPr>
              <w:t>PATH 173</w:t>
            </w:r>
          </w:p>
        </w:tc>
        <w:tc>
          <w:tcPr>
            <w:tcW w:w="4860" w:type="dxa"/>
            <w:gridSpan w:val="2"/>
            <w:tcBorders>
              <w:bottom w:val="single" w:sz="12" w:space="0" w:color="auto"/>
            </w:tcBorders>
            <w:shd w:val="clear" w:color="auto" w:fill="auto"/>
          </w:tcPr>
          <w:p w14:paraId="7E88942E" w14:textId="77777777" w:rsidR="00A758CB" w:rsidRPr="00E0300B" w:rsidRDefault="00A758CB" w:rsidP="00A758CB">
            <w:pPr>
              <w:ind w:left="144" w:hanging="144"/>
              <w:rPr>
                <w:rFonts w:ascii="Arial Narrow" w:hAnsi="Arial Narrow"/>
                <w:sz w:val="20"/>
                <w:szCs w:val="20"/>
              </w:rPr>
            </w:pPr>
            <w:r w:rsidRPr="00E0300B">
              <w:rPr>
                <w:rFonts w:ascii="Arial Narrow" w:hAnsi="Arial Narrow"/>
                <w:sz w:val="20"/>
                <w:szCs w:val="20"/>
              </w:rPr>
              <w:t>Extension of American Samoa economic development credit</w:t>
            </w:r>
          </w:p>
        </w:tc>
        <w:tc>
          <w:tcPr>
            <w:tcW w:w="1204" w:type="dxa"/>
            <w:tcBorders>
              <w:bottom w:val="single" w:sz="12" w:space="0" w:color="auto"/>
            </w:tcBorders>
          </w:tcPr>
          <w:p w14:paraId="58A9ADB5" w14:textId="77777777" w:rsidR="00A758CB" w:rsidRPr="00E0300B" w:rsidDel="00016A4D" w:rsidRDefault="00A758CB" w:rsidP="00A758CB">
            <w:pPr>
              <w:ind w:left="144" w:hanging="144"/>
              <w:jc w:val="center"/>
              <w:rPr>
                <w:rFonts w:ascii="Arial Narrow" w:hAnsi="Arial Narrow"/>
                <w:sz w:val="20"/>
                <w:szCs w:val="20"/>
              </w:rPr>
            </w:pPr>
            <w:r w:rsidRPr="00E0300B">
              <w:rPr>
                <w:rFonts w:ascii="Arial Narrow" w:hAnsi="Arial Narrow"/>
                <w:sz w:val="20"/>
                <w:szCs w:val="20"/>
              </w:rPr>
              <w:t>2016</w:t>
            </w:r>
          </w:p>
        </w:tc>
      </w:tr>
    </w:tbl>
    <w:p w14:paraId="5EF24779" w14:textId="77777777" w:rsidR="00A758CB" w:rsidRDefault="00A758CB" w:rsidP="00A758CB">
      <w:pPr>
        <w:pStyle w:val="TableFootnote"/>
      </w:pPr>
      <w:r w:rsidRPr="00061649">
        <w:t>* The provision is modified as well as extended.</w:t>
      </w:r>
    </w:p>
    <w:p w14:paraId="0FACCF0B" w14:textId="77777777" w:rsidR="00A758CB" w:rsidRPr="00AD1D58" w:rsidRDefault="00A758CB" w:rsidP="00A758CB">
      <w:pPr>
        <w:pStyle w:val="TableFootnote"/>
      </w:pPr>
      <w:r>
        <w:t xml:space="preserve">** </w:t>
      </w:r>
      <w:r w:rsidRPr="00F27C42">
        <w:t>This provision was not included in the Internal Revenue Code.</w:t>
      </w:r>
    </w:p>
    <w:p w14:paraId="7C4697A6" w14:textId="77777777" w:rsidR="00A54DA3" w:rsidRDefault="00A54DA3">
      <w:pPr>
        <w:rPr>
          <w:b/>
          <w:sz w:val="20"/>
          <w:szCs w:val="20"/>
        </w:rPr>
      </w:pPr>
      <w:r>
        <w:rPr>
          <w:sz w:val="20"/>
        </w:rPr>
        <w:br w:type="page"/>
      </w:r>
    </w:p>
    <w:p w14:paraId="211B83CA" w14:textId="04031C21" w:rsidR="00A54DA3" w:rsidRDefault="00A54DA3" w:rsidP="00A54DA3">
      <w:pPr>
        <w:pStyle w:val="hdg1"/>
        <w:widowControl w:val="0"/>
        <w:spacing w:before="0" w:after="240"/>
        <w:rPr>
          <w:rFonts w:ascii="Times New Roman" w:hAnsi="Times New Roman" w:cs="Times New Roman"/>
          <w:sz w:val="20"/>
        </w:rPr>
      </w:pPr>
      <w:r w:rsidRPr="00562EBB">
        <w:rPr>
          <w:rFonts w:ascii="Times New Roman" w:hAnsi="Times New Roman" w:cs="Times New Roman"/>
          <w:sz w:val="20"/>
        </w:rPr>
        <w:lastRenderedPageBreak/>
        <w:t xml:space="preserve">Part </w:t>
      </w:r>
      <w:r>
        <w:rPr>
          <w:rFonts w:ascii="Times New Roman" w:hAnsi="Times New Roman" w:cs="Times New Roman"/>
          <w:sz w:val="20"/>
        </w:rPr>
        <w:t>Two</w:t>
      </w:r>
      <w:r w:rsidRPr="00562EBB">
        <w:rPr>
          <w:rFonts w:ascii="Times New Roman" w:hAnsi="Times New Roman" w:cs="Times New Roman"/>
          <w:sz w:val="20"/>
        </w:rPr>
        <w:t xml:space="preserve">: </w:t>
      </w:r>
      <w:r>
        <w:rPr>
          <w:rFonts w:ascii="Times New Roman" w:hAnsi="Times New Roman" w:cs="Times New Roman"/>
          <w:sz w:val="20"/>
        </w:rPr>
        <w:t>Regulatory</w:t>
      </w:r>
      <w:r w:rsidRPr="00562EBB">
        <w:rPr>
          <w:rFonts w:ascii="Times New Roman" w:hAnsi="Times New Roman" w:cs="Times New Roman"/>
          <w:sz w:val="20"/>
        </w:rPr>
        <w:t xml:space="preserve"> Update</w:t>
      </w:r>
    </w:p>
    <w:p w14:paraId="160748C3" w14:textId="77777777" w:rsidR="00B7587B" w:rsidRPr="00B7587B" w:rsidRDefault="00B7587B" w:rsidP="00B7587B">
      <w:pPr>
        <w:pStyle w:val="hdg1"/>
        <w:spacing w:before="0" w:after="240"/>
        <w:rPr>
          <w:sz w:val="20"/>
        </w:rPr>
      </w:pPr>
      <w:r w:rsidRPr="00B7587B">
        <w:rPr>
          <w:sz w:val="20"/>
        </w:rPr>
        <w:t>Tangible Property Regulations</w:t>
      </w:r>
    </w:p>
    <w:p w14:paraId="26EEC3F9" w14:textId="0566F848" w:rsidR="00B7587B" w:rsidRPr="00E0300B" w:rsidRDefault="00B7587B" w:rsidP="00D83FFD">
      <w:pPr>
        <w:pStyle w:val="ListParagraph"/>
        <w:keepNext/>
        <w:keepLines/>
        <w:widowControl w:val="0"/>
        <w:numPr>
          <w:ilvl w:val="0"/>
          <w:numId w:val="85"/>
        </w:numPr>
        <w:tabs>
          <w:tab w:val="decimal" w:pos="180"/>
        </w:tabs>
        <w:spacing w:before="200"/>
        <w:ind w:left="0" w:hanging="274"/>
        <w:contextualSpacing w:val="0"/>
        <w:jc w:val="both"/>
        <w:rPr>
          <w:rFonts w:ascii="Times New Roman" w:hAnsi="Times New Roman"/>
          <w:b/>
          <w:sz w:val="20"/>
          <w:szCs w:val="20"/>
        </w:rPr>
      </w:pPr>
      <w:r>
        <w:rPr>
          <w:rFonts w:ascii="Times New Roman" w:hAnsi="Times New Roman"/>
          <w:b/>
          <w:sz w:val="20"/>
          <w:szCs w:val="20"/>
        </w:rPr>
        <w:t>Introduction</w:t>
      </w:r>
    </w:p>
    <w:p w14:paraId="5A14EA18" w14:textId="77777777" w:rsidR="00A54DA3" w:rsidRPr="00B7587B" w:rsidRDefault="00A54DA3" w:rsidP="00D83FFD">
      <w:pPr>
        <w:pStyle w:val="Bodynoindent"/>
        <w:keepLines/>
        <w:numPr>
          <w:ilvl w:val="0"/>
          <w:numId w:val="84"/>
        </w:numPr>
        <w:spacing w:before="200"/>
        <w:ind w:left="360"/>
        <w:rPr>
          <w:sz w:val="20"/>
          <w:szCs w:val="20"/>
        </w:rPr>
      </w:pPr>
      <w:r w:rsidRPr="00B7587B">
        <w:rPr>
          <w:sz w:val="20"/>
          <w:szCs w:val="20"/>
        </w:rPr>
        <w:t>Final regulations [T.D. 9636, 2013-43 I.R.B. 331] provide new rules affecting all taxpayers that acquire, produce, or improve tangible property. The new rules are generally taxpayer-friendly and provide much needed clarity for deciding whether costs are currently deductible or must be capitalized and depreciated. Some safe harbors simplify the application and implementation of the new rules for both small and large business taxpayers.</w:t>
      </w:r>
    </w:p>
    <w:p w14:paraId="6F65935A" w14:textId="77777777" w:rsidR="00A54DA3" w:rsidRPr="00B7587B" w:rsidRDefault="00A54DA3" w:rsidP="00D83FFD">
      <w:pPr>
        <w:pStyle w:val="Bodynoindent"/>
        <w:keepLines/>
        <w:numPr>
          <w:ilvl w:val="0"/>
          <w:numId w:val="84"/>
        </w:numPr>
        <w:spacing w:before="200"/>
        <w:ind w:left="360"/>
        <w:rPr>
          <w:sz w:val="20"/>
          <w:szCs w:val="20"/>
        </w:rPr>
      </w:pPr>
      <w:r w:rsidRPr="00B7587B">
        <w:rPr>
          <w:sz w:val="20"/>
          <w:szCs w:val="20"/>
        </w:rPr>
        <w:t>The final regulations retain many provisions from the temporary and proposed regulations, but a few favorable surprises were added that create a number of new safe harbors. The most significant changes include</w:t>
      </w:r>
    </w:p>
    <w:p w14:paraId="26D2CE78"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refined criteria for defining betterments and restorations to tangible property,</w:t>
      </w:r>
    </w:p>
    <w:p w14:paraId="0047A54B"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an increase in the dollar ceiling for treating an item of property as materials and supplies from $100 to $200,</w:t>
      </w:r>
    </w:p>
    <w:p w14:paraId="579CDD9A"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an annual election of a revised and simplified de </w:t>
      </w:r>
      <w:proofErr w:type="spellStart"/>
      <w:r w:rsidRPr="00B7587B">
        <w:rPr>
          <w:sz w:val="20"/>
          <w:szCs w:val="20"/>
        </w:rPr>
        <w:t>minimis</w:t>
      </w:r>
      <w:proofErr w:type="spellEnd"/>
      <w:r w:rsidRPr="00B7587B">
        <w:rPr>
          <w:sz w:val="20"/>
          <w:szCs w:val="20"/>
        </w:rPr>
        <w:t xml:space="preserve"> safe harbor up to $5,000 for taxpayers with an applicable financial statement (AFS) and up to $2,500 for small business taxpayers without an AFS that allows a current deduction for the acquisition or production of units of tangible property</w:t>
      </w:r>
      <w:r w:rsidRPr="00B7587B" w:rsidDel="00AE28D9">
        <w:rPr>
          <w:sz w:val="20"/>
          <w:szCs w:val="20"/>
        </w:rPr>
        <w:t xml:space="preserve"> </w:t>
      </w:r>
      <w:r w:rsidRPr="00B7587B">
        <w:rPr>
          <w:sz w:val="20"/>
          <w:szCs w:val="20"/>
        </w:rPr>
        <w:t>[Treas. Reg. § 1.263(a)-1(f)],</w:t>
      </w:r>
    </w:p>
    <w:p w14:paraId="37EE2EFE"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a revised routine maintenance safe harbor that includes buildings,</w:t>
      </w:r>
    </w:p>
    <w:p w14:paraId="478DAA87"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an annual election that allows small business taxpayers to deduct some building improvement costs along with their repair and maintenance costs, and</w:t>
      </w:r>
    </w:p>
    <w:p w14:paraId="20D3D83C" w14:textId="77777777" w:rsidR="00A54DA3" w:rsidRPr="00B7587B" w:rsidRDefault="00A54DA3" w:rsidP="00D83FFD">
      <w:pPr>
        <w:pStyle w:val="Body"/>
        <w:keepNext/>
        <w:keepLines/>
        <w:numPr>
          <w:ilvl w:val="0"/>
          <w:numId w:val="86"/>
        </w:numPr>
        <w:spacing w:before="200"/>
        <w:rPr>
          <w:sz w:val="20"/>
          <w:szCs w:val="20"/>
        </w:rPr>
      </w:pPr>
      <w:r w:rsidRPr="00B7587B">
        <w:rPr>
          <w:sz w:val="20"/>
          <w:szCs w:val="20"/>
        </w:rPr>
        <w:t>an annual book conformity election for all taxpayers to capitalize repair and maintenance costs that are also capitalized on the taxpayer’s books.</w:t>
      </w:r>
    </w:p>
    <w:p w14:paraId="7A1B2B71" w14:textId="77777777" w:rsidR="00A54DA3" w:rsidRPr="00B8200F" w:rsidRDefault="00A54DA3" w:rsidP="00A54DA3">
      <w:pPr>
        <w:pBdr>
          <w:top w:val="single" w:sz="4" w:space="1" w:color="auto"/>
          <w:left w:val="single" w:sz="4" w:space="4" w:color="auto"/>
          <w:bottom w:val="single" w:sz="4" w:space="1" w:color="auto"/>
          <w:right w:val="single" w:sz="4" w:space="4" w:color="auto"/>
        </w:pBdr>
        <w:spacing w:before="60"/>
        <w:rPr>
          <w:b/>
          <w:sz w:val="20"/>
        </w:rPr>
      </w:pPr>
      <w:r w:rsidRPr="00B8200F">
        <w:rPr>
          <w:b/>
          <w:sz w:val="20"/>
        </w:rPr>
        <w:t>Observation</w:t>
      </w:r>
    </w:p>
    <w:p w14:paraId="7F5E9059" w14:textId="77777777" w:rsidR="00A54DA3" w:rsidRPr="00B8200F" w:rsidRDefault="00A54DA3" w:rsidP="00A54DA3">
      <w:pPr>
        <w:pBdr>
          <w:top w:val="single" w:sz="4" w:space="1" w:color="auto"/>
          <w:left w:val="single" w:sz="4" w:space="4" w:color="auto"/>
          <w:bottom w:val="single" w:sz="4" w:space="1" w:color="auto"/>
          <w:right w:val="single" w:sz="4" w:space="4" w:color="auto"/>
        </w:pBdr>
        <w:spacing w:before="60" w:after="60"/>
        <w:rPr>
          <w:rFonts w:ascii="Arial" w:hAnsi="Arial"/>
          <w:sz w:val="20"/>
        </w:rPr>
      </w:pPr>
      <w:r w:rsidRPr="00B8200F">
        <w:rPr>
          <w:rFonts w:ascii="Arial" w:hAnsi="Arial"/>
          <w:sz w:val="20"/>
        </w:rPr>
        <w:t>Elections Can Provide Timing Certainty</w:t>
      </w:r>
    </w:p>
    <w:p w14:paraId="69D4A1BD" w14:textId="77777777" w:rsidR="00A54DA3" w:rsidRPr="00B8200F" w:rsidRDefault="00A54DA3" w:rsidP="00A54DA3">
      <w:pPr>
        <w:pBdr>
          <w:top w:val="single" w:sz="4" w:space="1" w:color="auto"/>
          <w:left w:val="single" w:sz="4" w:space="4" w:color="auto"/>
          <w:bottom w:val="single" w:sz="4" w:space="1" w:color="auto"/>
          <w:right w:val="single" w:sz="4" w:space="4" w:color="auto"/>
        </w:pBdr>
        <w:spacing w:before="60" w:after="60"/>
        <w:rPr>
          <w:sz w:val="20"/>
        </w:rPr>
      </w:pPr>
      <w:r w:rsidRPr="00B8200F">
        <w:rPr>
          <w:sz w:val="20"/>
        </w:rPr>
        <w:t>Some taxpayers will not need to make any of the new elections. However, when the taxpayer and tax practitioner are not certain whether a small (or sometimes large) amount paid is currently deductible (that is, whether the item acquired or produced is a material or supply or the work done qualifies as a repair or maintenance) or whether the amount paid must be capitalized (that is, whether the item acquired or produced is a depreciable asset or the work done qualifies as a depreciable improvement), the safe harbors can provide audit protection and thus some peace of mind.</w:t>
      </w:r>
    </w:p>
    <w:p w14:paraId="1D4DAFCC" w14:textId="77777777" w:rsidR="00A54DA3" w:rsidRPr="00B7587B" w:rsidRDefault="00A54DA3" w:rsidP="00D83FFD">
      <w:pPr>
        <w:pStyle w:val="ListParagraph"/>
        <w:keepNext/>
        <w:keepLines/>
        <w:widowControl w:val="0"/>
        <w:numPr>
          <w:ilvl w:val="0"/>
          <w:numId w:val="85"/>
        </w:numPr>
        <w:tabs>
          <w:tab w:val="decimal" w:pos="180"/>
        </w:tabs>
        <w:spacing w:before="200"/>
        <w:ind w:left="0" w:hanging="274"/>
        <w:contextualSpacing w:val="0"/>
        <w:jc w:val="both"/>
        <w:rPr>
          <w:rFonts w:ascii="Times New Roman" w:hAnsi="Times New Roman"/>
          <w:b/>
          <w:sz w:val="20"/>
          <w:szCs w:val="20"/>
        </w:rPr>
      </w:pPr>
      <w:r w:rsidRPr="00B7587B">
        <w:rPr>
          <w:rFonts w:ascii="Times New Roman" w:hAnsi="Times New Roman"/>
          <w:b/>
          <w:sz w:val="20"/>
          <w:szCs w:val="20"/>
        </w:rPr>
        <w:t>Background</w:t>
      </w:r>
    </w:p>
    <w:p w14:paraId="485DDA4F" w14:textId="77777777" w:rsidR="00A54DA3" w:rsidRPr="00B7587B" w:rsidRDefault="00A54DA3" w:rsidP="00D83FFD">
      <w:pPr>
        <w:pStyle w:val="Bodynoindent"/>
        <w:keepLines/>
        <w:numPr>
          <w:ilvl w:val="0"/>
          <w:numId w:val="87"/>
        </w:numPr>
        <w:spacing w:before="200"/>
        <w:ind w:left="360"/>
        <w:rPr>
          <w:sz w:val="20"/>
          <w:szCs w:val="20"/>
        </w:rPr>
      </w:pPr>
      <w:r w:rsidRPr="00B7587B">
        <w:rPr>
          <w:sz w:val="20"/>
          <w:szCs w:val="20"/>
        </w:rPr>
        <w:t xml:space="preserve">I.R.C. § 263(a) generally requires capitalization of amounts paid to acquire, produce, or improve tangible property, whereas I.R.C. § 162 allows a current deduction for ordinary and necessary business expenses, including costs for materials, supplies, repairs, and maintenance. </w:t>
      </w:r>
    </w:p>
    <w:p w14:paraId="538CE130" w14:textId="77777777" w:rsidR="00A54DA3" w:rsidRPr="00B7587B" w:rsidRDefault="00A54DA3" w:rsidP="00D83FFD">
      <w:pPr>
        <w:pStyle w:val="Bodynoindent"/>
        <w:keepLines/>
        <w:numPr>
          <w:ilvl w:val="0"/>
          <w:numId w:val="87"/>
        </w:numPr>
        <w:spacing w:before="200"/>
        <w:ind w:left="360"/>
        <w:rPr>
          <w:sz w:val="20"/>
          <w:szCs w:val="20"/>
        </w:rPr>
      </w:pPr>
      <w:r w:rsidRPr="00B7587B">
        <w:rPr>
          <w:sz w:val="20"/>
          <w:szCs w:val="20"/>
        </w:rPr>
        <w:t>Determining whether an expenditure is currently deductible or whether it must be capitalized and depreciated requires a careful examination and thorough understanding of all the particular facts and circumstances related to the nature of the taxpayer’s particular industry and its business operations.</w:t>
      </w:r>
    </w:p>
    <w:p w14:paraId="1DB556E7" w14:textId="77777777" w:rsidR="00A54DA3" w:rsidRPr="00B7587B" w:rsidRDefault="00A54DA3" w:rsidP="00D83FFD">
      <w:pPr>
        <w:pStyle w:val="ListParagraph"/>
        <w:keepNext/>
        <w:keepLines/>
        <w:widowControl w:val="0"/>
        <w:numPr>
          <w:ilvl w:val="0"/>
          <w:numId w:val="85"/>
        </w:numPr>
        <w:tabs>
          <w:tab w:val="decimal" w:pos="180"/>
        </w:tabs>
        <w:spacing w:before="200"/>
        <w:ind w:left="0" w:hanging="274"/>
        <w:contextualSpacing w:val="0"/>
        <w:jc w:val="both"/>
        <w:rPr>
          <w:rFonts w:ascii="Times New Roman" w:hAnsi="Times New Roman"/>
          <w:b/>
          <w:sz w:val="20"/>
          <w:szCs w:val="20"/>
        </w:rPr>
      </w:pPr>
      <w:r w:rsidRPr="00B7587B">
        <w:rPr>
          <w:rFonts w:ascii="Times New Roman" w:hAnsi="Times New Roman"/>
          <w:b/>
          <w:sz w:val="20"/>
          <w:szCs w:val="20"/>
        </w:rPr>
        <w:lastRenderedPageBreak/>
        <w:t>De Minimis Safe Harbor</w:t>
      </w:r>
    </w:p>
    <w:p w14:paraId="2EED4393" w14:textId="77777777" w:rsidR="00B7587B" w:rsidRDefault="00A54DA3" w:rsidP="00D83FFD">
      <w:pPr>
        <w:pStyle w:val="Bodynoindent"/>
        <w:keepNext/>
        <w:keepLines/>
        <w:numPr>
          <w:ilvl w:val="0"/>
          <w:numId w:val="88"/>
        </w:numPr>
        <w:spacing w:before="200"/>
        <w:ind w:left="360"/>
        <w:rPr>
          <w:sz w:val="20"/>
          <w:szCs w:val="20"/>
        </w:rPr>
      </w:pPr>
      <w:r w:rsidRPr="00B7587B">
        <w:rPr>
          <w:sz w:val="20"/>
          <w:szCs w:val="20"/>
        </w:rPr>
        <w:t xml:space="preserve">The final tangible property regulations include a de </w:t>
      </w:r>
      <w:proofErr w:type="spellStart"/>
      <w:r w:rsidRPr="00B7587B">
        <w:rPr>
          <w:sz w:val="20"/>
          <w:szCs w:val="20"/>
        </w:rPr>
        <w:t>minimis</w:t>
      </w:r>
      <w:proofErr w:type="spellEnd"/>
      <w:r w:rsidRPr="00B7587B">
        <w:rPr>
          <w:sz w:val="20"/>
          <w:szCs w:val="20"/>
        </w:rPr>
        <w:t xml:space="preserve"> safe harbor that allows taxpayers to elect to deduct the cost of tangible property, rather than recovering the cost through depreciation expense.</w:t>
      </w:r>
    </w:p>
    <w:p w14:paraId="50D39047" w14:textId="13BB1D8E" w:rsidR="00A54DA3" w:rsidRPr="00B7587B" w:rsidRDefault="00A54DA3" w:rsidP="00D83FFD">
      <w:pPr>
        <w:pStyle w:val="Bodynoindent"/>
        <w:keepNext/>
        <w:keepLines/>
        <w:numPr>
          <w:ilvl w:val="0"/>
          <w:numId w:val="88"/>
        </w:numPr>
        <w:spacing w:before="200"/>
        <w:ind w:left="360"/>
        <w:rPr>
          <w:sz w:val="20"/>
          <w:szCs w:val="20"/>
        </w:rPr>
      </w:pPr>
      <w:r w:rsidRPr="00B7587B">
        <w:rPr>
          <w:sz w:val="20"/>
          <w:szCs w:val="20"/>
        </w:rPr>
        <w:t xml:space="preserve">The de </w:t>
      </w:r>
      <w:proofErr w:type="spellStart"/>
      <w:r w:rsidRPr="00B7587B">
        <w:rPr>
          <w:sz w:val="20"/>
          <w:szCs w:val="20"/>
        </w:rPr>
        <w:t>minimis</w:t>
      </w:r>
      <w:proofErr w:type="spellEnd"/>
      <w:r w:rsidRPr="00B7587B">
        <w:rPr>
          <w:sz w:val="20"/>
          <w:szCs w:val="20"/>
        </w:rPr>
        <w:t xml:space="preserve"> safe harbor increases a farm client’s ability to expense the purchase cost of livestock and small equipment.</w:t>
      </w:r>
    </w:p>
    <w:p w14:paraId="7845CC1B" w14:textId="77777777" w:rsidR="00B7587B" w:rsidRDefault="00A54DA3" w:rsidP="00D83FFD">
      <w:pPr>
        <w:pStyle w:val="Bodynoindent"/>
        <w:keepLines/>
        <w:numPr>
          <w:ilvl w:val="0"/>
          <w:numId w:val="88"/>
        </w:numPr>
        <w:spacing w:before="200"/>
        <w:ind w:left="360"/>
        <w:rPr>
          <w:sz w:val="20"/>
          <w:szCs w:val="20"/>
        </w:rPr>
      </w:pPr>
      <w:r w:rsidRPr="00B7587B">
        <w:rPr>
          <w:sz w:val="20"/>
          <w:szCs w:val="20"/>
        </w:rPr>
        <w:t xml:space="preserve">Under the Treas. Reg. § 1.263(a)-1(f)(1) de </w:t>
      </w:r>
      <w:proofErr w:type="spellStart"/>
      <w:r w:rsidRPr="00B7587B">
        <w:rPr>
          <w:sz w:val="20"/>
          <w:szCs w:val="20"/>
        </w:rPr>
        <w:t>minimis</w:t>
      </w:r>
      <w:proofErr w:type="spellEnd"/>
      <w:r w:rsidRPr="00B7587B">
        <w:rPr>
          <w:sz w:val="20"/>
          <w:szCs w:val="20"/>
        </w:rPr>
        <w:t xml:space="preserve"> safe harbor, a taxpayer can take a current-year deduction (when the cost is paid or incurred) for the acquisition or production of units of tangible property that cost less than a specified amount, even if I.R.C. § 263(a) would require the taxpayer to capitalize the cost, or if Treas. Reg. § 1.162-3 would require the taxpayer to deduct the amount paid when the property is first used or consumed in the business.</w:t>
      </w:r>
    </w:p>
    <w:p w14:paraId="6FA235F1" w14:textId="77777777" w:rsidR="00E6539E" w:rsidRDefault="00A54DA3" w:rsidP="00D83FFD">
      <w:pPr>
        <w:pStyle w:val="Body"/>
        <w:keepNext/>
        <w:keepLines/>
        <w:numPr>
          <w:ilvl w:val="0"/>
          <w:numId w:val="89"/>
        </w:numPr>
        <w:spacing w:before="200"/>
        <w:rPr>
          <w:sz w:val="20"/>
          <w:szCs w:val="20"/>
        </w:rPr>
      </w:pPr>
      <w:r w:rsidRPr="00B7587B">
        <w:rPr>
          <w:sz w:val="20"/>
          <w:szCs w:val="20"/>
        </w:rPr>
        <w:t xml:space="preserve">Thus, a farm client may be able to deduct otherwise </w:t>
      </w:r>
      <w:proofErr w:type="spellStart"/>
      <w:r w:rsidRPr="00B7587B">
        <w:rPr>
          <w:sz w:val="20"/>
          <w:szCs w:val="20"/>
        </w:rPr>
        <w:t>capitalizable</w:t>
      </w:r>
      <w:proofErr w:type="spellEnd"/>
      <w:r w:rsidRPr="00B7587B">
        <w:rPr>
          <w:sz w:val="20"/>
          <w:szCs w:val="20"/>
        </w:rPr>
        <w:t xml:space="preserve"> expenditures under the safe harbor.</w:t>
      </w:r>
    </w:p>
    <w:p w14:paraId="5F52DBD4" w14:textId="1572DF74" w:rsidR="00A54DA3" w:rsidRPr="00B7587B" w:rsidRDefault="00A54DA3" w:rsidP="00D83FFD">
      <w:pPr>
        <w:pStyle w:val="Body"/>
        <w:keepNext/>
        <w:keepLines/>
        <w:numPr>
          <w:ilvl w:val="0"/>
          <w:numId w:val="89"/>
        </w:numPr>
        <w:spacing w:before="200"/>
        <w:rPr>
          <w:sz w:val="20"/>
          <w:szCs w:val="20"/>
        </w:rPr>
      </w:pPr>
      <w:r w:rsidRPr="00B7587B">
        <w:rPr>
          <w:sz w:val="20"/>
          <w:szCs w:val="20"/>
        </w:rPr>
        <w:t xml:space="preserve">However, for a farmer who intends to later sell the property at a gain, electing the de </w:t>
      </w:r>
      <w:proofErr w:type="spellStart"/>
      <w:r w:rsidRPr="00B7587B">
        <w:rPr>
          <w:sz w:val="20"/>
          <w:szCs w:val="20"/>
        </w:rPr>
        <w:t>minimis</w:t>
      </w:r>
      <w:proofErr w:type="spellEnd"/>
      <w:r w:rsidRPr="00B7587B">
        <w:rPr>
          <w:sz w:val="20"/>
          <w:szCs w:val="20"/>
        </w:rPr>
        <w:t xml:space="preserve"> safe harbor may increase the tax owed on the later sale.</w:t>
      </w:r>
    </w:p>
    <w:p w14:paraId="217126AE" w14:textId="77777777" w:rsidR="00E6539E" w:rsidRDefault="00A54DA3" w:rsidP="00D83FFD">
      <w:pPr>
        <w:pStyle w:val="Bodynoindent"/>
        <w:keepLines/>
        <w:numPr>
          <w:ilvl w:val="0"/>
          <w:numId w:val="88"/>
        </w:numPr>
        <w:spacing w:before="200"/>
        <w:ind w:left="360"/>
        <w:rPr>
          <w:sz w:val="20"/>
          <w:szCs w:val="20"/>
        </w:rPr>
      </w:pPr>
      <w:r w:rsidRPr="00B7587B">
        <w:rPr>
          <w:sz w:val="20"/>
          <w:szCs w:val="20"/>
        </w:rPr>
        <w:t>Although the taxpayer’s accounting procedures can set any dollar limit for expensing, the per item tax deduction is limited to $2,500 for taxpayers without an applicable financial statement (AFS) and $5,000 for taxpayers with an AFS.</w:t>
      </w:r>
    </w:p>
    <w:p w14:paraId="5E28ACF6" w14:textId="77777777" w:rsidR="00E6539E" w:rsidRDefault="00A54DA3" w:rsidP="00D83FFD">
      <w:pPr>
        <w:pStyle w:val="Body"/>
        <w:keepNext/>
        <w:keepLines/>
        <w:numPr>
          <w:ilvl w:val="0"/>
          <w:numId w:val="90"/>
        </w:numPr>
        <w:spacing w:before="200"/>
        <w:rPr>
          <w:sz w:val="20"/>
          <w:szCs w:val="20"/>
        </w:rPr>
      </w:pPr>
      <w:r w:rsidRPr="00B7587B">
        <w:rPr>
          <w:sz w:val="20"/>
          <w:szCs w:val="20"/>
        </w:rPr>
        <w:t>Therefore, if the accounting procedure sets a threshold that exceeds $2,500 ($5,000 for taxpayers with an AFS), only the items that cost $2,500 ($5,000) or less qualify for the safe harbor.</w:t>
      </w:r>
    </w:p>
    <w:p w14:paraId="08C8490F" w14:textId="2EE7B67B" w:rsidR="00A54DA3" w:rsidRPr="00B7587B" w:rsidRDefault="00A54DA3" w:rsidP="00D83FFD">
      <w:pPr>
        <w:pStyle w:val="Body"/>
        <w:keepNext/>
        <w:keepLines/>
        <w:numPr>
          <w:ilvl w:val="0"/>
          <w:numId w:val="90"/>
        </w:numPr>
        <w:spacing w:before="200"/>
        <w:rPr>
          <w:sz w:val="20"/>
          <w:szCs w:val="20"/>
        </w:rPr>
      </w:pPr>
      <w:r w:rsidRPr="00B7587B">
        <w:rPr>
          <w:sz w:val="20"/>
          <w:szCs w:val="20"/>
        </w:rPr>
        <w:t>For farmers, the safe harbor is particularly useful to expense small equipment and livestock held for productive use, such as animals held for dairy or breeding.</w:t>
      </w:r>
    </w:p>
    <w:p w14:paraId="06A76D4A" w14:textId="77777777" w:rsidR="00A54DA3" w:rsidRPr="00CE7A97" w:rsidRDefault="00A54DA3" w:rsidP="00A54DA3">
      <w:pPr>
        <w:pBdr>
          <w:top w:val="single" w:sz="4" w:space="1" w:color="auto"/>
          <w:left w:val="single" w:sz="4" w:space="4" w:color="auto"/>
          <w:bottom w:val="single" w:sz="4" w:space="1" w:color="auto"/>
          <w:right w:val="single" w:sz="4" w:space="4" w:color="auto"/>
        </w:pBdr>
        <w:spacing w:before="60"/>
        <w:rPr>
          <w:b/>
          <w:sz w:val="20"/>
        </w:rPr>
      </w:pPr>
      <w:r w:rsidRPr="00CE7A97">
        <w:rPr>
          <w:b/>
          <w:sz w:val="20"/>
        </w:rPr>
        <w:t>Practitioner Note</w:t>
      </w:r>
    </w:p>
    <w:p w14:paraId="60186322" w14:textId="77777777" w:rsidR="00A54DA3" w:rsidRPr="00CE7A97" w:rsidRDefault="00A54DA3" w:rsidP="00A54DA3">
      <w:pPr>
        <w:pBdr>
          <w:top w:val="single" w:sz="4" w:space="1" w:color="auto"/>
          <w:left w:val="single" w:sz="4" w:space="4" w:color="auto"/>
          <w:bottom w:val="single" w:sz="4" w:space="1" w:color="auto"/>
          <w:right w:val="single" w:sz="4" w:space="4" w:color="auto"/>
        </w:pBdr>
        <w:spacing w:before="60" w:after="60"/>
        <w:rPr>
          <w:rFonts w:ascii="Arial" w:hAnsi="Arial"/>
          <w:sz w:val="20"/>
        </w:rPr>
      </w:pPr>
      <w:r w:rsidRPr="00CE7A97">
        <w:rPr>
          <w:rFonts w:ascii="Arial" w:hAnsi="Arial"/>
          <w:sz w:val="20"/>
        </w:rPr>
        <w:t>Increased De Minimis Amount</w:t>
      </w:r>
    </w:p>
    <w:p w14:paraId="229FF27C" w14:textId="77777777" w:rsidR="00A54DA3" w:rsidRPr="00CE7A97" w:rsidRDefault="00A54DA3" w:rsidP="00A54DA3">
      <w:pPr>
        <w:pBdr>
          <w:top w:val="single" w:sz="4" w:space="1" w:color="auto"/>
          <w:left w:val="single" w:sz="4" w:space="4" w:color="auto"/>
          <w:bottom w:val="single" w:sz="4" w:space="1" w:color="auto"/>
          <w:right w:val="single" w:sz="4" w:space="4" w:color="auto"/>
        </w:pBdr>
        <w:spacing w:before="60" w:after="60"/>
        <w:rPr>
          <w:sz w:val="20"/>
        </w:rPr>
      </w:pPr>
      <w:r w:rsidRPr="00CE7A97">
        <w:rPr>
          <w:sz w:val="20"/>
        </w:rPr>
        <w:t xml:space="preserve">Notice 2015-82 increased the de </w:t>
      </w:r>
      <w:proofErr w:type="spellStart"/>
      <w:r w:rsidRPr="00CE7A97">
        <w:rPr>
          <w:sz w:val="20"/>
        </w:rPr>
        <w:t>minimis</w:t>
      </w:r>
      <w:proofErr w:type="spellEnd"/>
      <w:r w:rsidRPr="00CE7A97">
        <w:rPr>
          <w:sz w:val="20"/>
        </w:rPr>
        <w:t xml:space="preserve"> amount for taxpayers without an AFS from $500 to $2,500 for tax years beginning on or after January 1, 2016.</w:t>
      </w:r>
    </w:p>
    <w:p w14:paraId="0052259E" w14:textId="77777777" w:rsidR="00E6539E" w:rsidRDefault="00A54DA3" w:rsidP="00D83FFD">
      <w:pPr>
        <w:pStyle w:val="Body"/>
        <w:keepNext/>
        <w:keepLines/>
        <w:numPr>
          <w:ilvl w:val="0"/>
          <w:numId w:val="90"/>
        </w:numPr>
        <w:spacing w:before="200"/>
        <w:rPr>
          <w:sz w:val="20"/>
          <w:szCs w:val="20"/>
        </w:rPr>
      </w:pPr>
      <w:r w:rsidRPr="00E6539E">
        <w:rPr>
          <w:sz w:val="20"/>
          <w:szCs w:val="20"/>
        </w:rPr>
        <w:t xml:space="preserve">When a taxpayer properly applies the de </w:t>
      </w:r>
      <w:proofErr w:type="spellStart"/>
      <w:r w:rsidRPr="00E6539E">
        <w:rPr>
          <w:sz w:val="20"/>
          <w:szCs w:val="20"/>
        </w:rPr>
        <w:t>minimis</w:t>
      </w:r>
      <w:proofErr w:type="spellEnd"/>
      <w:r w:rsidRPr="00E6539E">
        <w:rPr>
          <w:sz w:val="20"/>
          <w:szCs w:val="20"/>
        </w:rPr>
        <w:t xml:space="preserve"> safe harbor, the amount paid is not treated as a capital expenditur</w:t>
      </w:r>
      <w:r w:rsidR="00E6539E">
        <w:rPr>
          <w:sz w:val="20"/>
          <w:szCs w:val="20"/>
        </w:rPr>
        <w:t>e or as materials and supplies.</w:t>
      </w:r>
    </w:p>
    <w:p w14:paraId="21B50C6C" w14:textId="77777777" w:rsidR="00E6539E" w:rsidRDefault="00A54DA3" w:rsidP="00D83FFD">
      <w:pPr>
        <w:pStyle w:val="Body"/>
        <w:keepNext/>
        <w:keepLines/>
        <w:numPr>
          <w:ilvl w:val="1"/>
          <w:numId w:val="91"/>
        </w:numPr>
        <w:tabs>
          <w:tab w:val="left" w:pos="1080"/>
        </w:tabs>
        <w:spacing w:before="200"/>
        <w:ind w:left="1080"/>
        <w:rPr>
          <w:sz w:val="20"/>
          <w:szCs w:val="20"/>
        </w:rPr>
      </w:pPr>
      <w:r w:rsidRPr="00E6539E">
        <w:rPr>
          <w:sz w:val="20"/>
          <w:szCs w:val="20"/>
        </w:rPr>
        <w:t>Instead the taxpayer deducts the amount under Treas. Reg. § 1.162-1, provided the expense otherwise constitutes an ordinary and necessary business expense.</w:t>
      </w:r>
    </w:p>
    <w:p w14:paraId="6D263E6F" w14:textId="7988F173" w:rsidR="00A54DA3" w:rsidRPr="00E6539E" w:rsidRDefault="00A54DA3" w:rsidP="00D83FFD">
      <w:pPr>
        <w:pStyle w:val="Body"/>
        <w:keepNext/>
        <w:keepLines/>
        <w:numPr>
          <w:ilvl w:val="1"/>
          <w:numId w:val="91"/>
        </w:numPr>
        <w:tabs>
          <w:tab w:val="left" w:pos="1080"/>
        </w:tabs>
        <w:spacing w:before="200"/>
        <w:ind w:left="1080"/>
        <w:rPr>
          <w:sz w:val="20"/>
          <w:szCs w:val="20"/>
        </w:rPr>
      </w:pPr>
      <w:r w:rsidRPr="00E6539E">
        <w:rPr>
          <w:sz w:val="20"/>
          <w:szCs w:val="20"/>
        </w:rPr>
        <w:t xml:space="preserve">Any subsequent gain on disposition of the property is ordinary income (it is not an I.R.C. § 1221 disposition of a capital asset or property used in a trade or business under I.R.C. § 1231) [Treas. Reg. § 1.263(a)-1(f)(3)(iii)], so in some situations, it may be preferable to not elect to expense the property under the de </w:t>
      </w:r>
      <w:proofErr w:type="spellStart"/>
      <w:r w:rsidRPr="00E6539E">
        <w:rPr>
          <w:sz w:val="20"/>
          <w:szCs w:val="20"/>
        </w:rPr>
        <w:t>minimis</w:t>
      </w:r>
      <w:proofErr w:type="spellEnd"/>
      <w:r w:rsidRPr="00E6539E">
        <w:rPr>
          <w:sz w:val="20"/>
          <w:szCs w:val="20"/>
        </w:rPr>
        <w:t xml:space="preserve"> safe harbor.</w:t>
      </w:r>
    </w:p>
    <w:p w14:paraId="6F361BC9" w14:textId="28EDEF36" w:rsidR="00A54DA3" w:rsidRPr="00CE7A97" w:rsidRDefault="00A54DA3" w:rsidP="00A54DA3">
      <w:pPr>
        <w:keepNext/>
        <w:spacing w:before="240" w:after="120"/>
        <w:jc w:val="both"/>
        <w:rPr>
          <w:rFonts w:ascii="Arial Narrow" w:hAnsi="Arial Narrow"/>
          <w:b/>
          <w:sz w:val="22"/>
          <w:lang w:eastAsia="x-none"/>
        </w:rPr>
      </w:pPr>
      <w:r w:rsidRPr="00CE7A97">
        <w:rPr>
          <w:rFonts w:ascii="Arial Narrow" w:hAnsi="Arial Narrow"/>
          <w:b/>
          <w:sz w:val="22"/>
          <w:lang w:val="x-none" w:eastAsia="x-none"/>
        </w:rPr>
        <w:t xml:space="preserve">Example </w:t>
      </w:r>
      <w:r w:rsidR="00E24EC1">
        <w:rPr>
          <w:rFonts w:ascii="Arial Narrow" w:hAnsi="Arial Narrow"/>
          <w:b/>
          <w:sz w:val="22"/>
          <w:lang w:eastAsia="x-none"/>
        </w:rPr>
        <w:t>7</w:t>
      </w:r>
      <w:r>
        <w:rPr>
          <w:rFonts w:ascii="Arial Narrow" w:hAnsi="Arial Narrow"/>
          <w:b/>
          <w:sz w:val="22"/>
          <w:lang w:eastAsia="x-none"/>
        </w:rPr>
        <w:t>.</w:t>
      </w:r>
      <w:r w:rsidRPr="00CE7A97">
        <w:rPr>
          <w:rFonts w:ascii="Arial Narrow" w:hAnsi="Arial Narrow"/>
          <w:b/>
          <w:sz w:val="22"/>
          <w:lang w:val="x-none" w:eastAsia="x-none"/>
        </w:rPr>
        <w:t xml:space="preserve"> </w:t>
      </w:r>
      <w:r w:rsidRPr="00CE7A97">
        <w:rPr>
          <w:rFonts w:ascii="Arial Narrow" w:hAnsi="Arial Narrow"/>
          <w:b/>
          <w:sz w:val="22"/>
          <w:lang w:eastAsia="x-none"/>
        </w:rPr>
        <w:t>Sale of Equipment</w:t>
      </w:r>
    </w:p>
    <w:p w14:paraId="09D4EAC7" w14:textId="052E5B00" w:rsidR="00A54DA3" w:rsidRPr="00CE7A97" w:rsidRDefault="00A54DA3" w:rsidP="00A54DA3">
      <w:pPr>
        <w:jc w:val="both"/>
        <w:rPr>
          <w:sz w:val="22"/>
          <w:lang w:eastAsia="x-none"/>
        </w:rPr>
      </w:pPr>
      <w:r w:rsidRPr="00CE7A97">
        <w:rPr>
          <w:sz w:val="22"/>
          <w:lang w:eastAsia="x-none"/>
        </w:rPr>
        <w:t xml:space="preserve">In 2016, </w:t>
      </w:r>
      <w:r w:rsidR="00E6539E">
        <w:rPr>
          <w:sz w:val="22"/>
          <w:lang w:eastAsia="x-none"/>
        </w:rPr>
        <w:t>Sandy Crop</w:t>
      </w:r>
      <w:r w:rsidRPr="00CE7A97">
        <w:rPr>
          <w:sz w:val="22"/>
          <w:lang w:val="x-none" w:eastAsia="x-none"/>
        </w:rPr>
        <w:t xml:space="preserve"> </w:t>
      </w:r>
      <w:r w:rsidRPr="00CE7A97">
        <w:rPr>
          <w:sz w:val="22"/>
          <w:lang w:eastAsia="x-none"/>
        </w:rPr>
        <w:t xml:space="preserve">paid $2,450 for a </w:t>
      </w:r>
      <w:r w:rsidR="00E6539E">
        <w:rPr>
          <w:sz w:val="22"/>
          <w:lang w:eastAsia="x-none"/>
        </w:rPr>
        <w:t>welder</w:t>
      </w:r>
      <w:r w:rsidRPr="00CE7A97">
        <w:rPr>
          <w:sz w:val="22"/>
          <w:lang w:eastAsia="x-none"/>
        </w:rPr>
        <w:t xml:space="preserve">. </w:t>
      </w:r>
      <w:r w:rsidR="00E6539E">
        <w:rPr>
          <w:sz w:val="22"/>
          <w:lang w:eastAsia="x-none"/>
        </w:rPr>
        <w:t>Sh</w:t>
      </w:r>
      <w:r w:rsidRPr="00CE7A97">
        <w:rPr>
          <w:sz w:val="22"/>
          <w:lang w:eastAsia="x-none"/>
        </w:rPr>
        <w:t xml:space="preserve">e does not have an AFS but does have an accounting procedure under which </w:t>
      </w:r>
      <w:r w:rsidR="00E6539E">
        <w:rPr>
          <w:sz w:val="22"/>
          <w:lang w:eastAsia="x-none"/>
        </w:rPr>
        <w:t>s</w:t>
      </w:r>
      <w:r w:rsidRPr="00CE7A97">
        <w:rPr>
          <w:sz w:val="22"/>
          <w:lang w:eastAsia="x-none"/>
        </w:rPr>
        <w:t xml:space="preserve">he must expense items if their cost is $2,500 or less. If </w:t>
      </w:r>
      <w:r w:rsidR="00E6539E">
        <w:rPr>
          <w:sz w:val="22"/>
          <w:lang w:eastAsia="x-none"/>
        </w:rPr>
        <w:t>Sandy</w:t>
      </w:r>
      <w:r w:rsidRPr="00CE7A97">
        <w:rPr>
          <w:sz w:val="22"/>
          <w:lang w:eastAsia="x-none"/>
        </w:rPr>
        <w:t xml:space="preserve"> elected the de </w:t>
      </w:r>
      <w:proofErr w:type="spellStart"/>
      <w:r w:rsidRPr="00CE7A97">
        <w:rPr>
          <w:sz w:val="22"/>
          <w:lang w:eastAsia="x-none"/>
        </w:rPr>
        <w:t>minimis</w:t>
      </w:r>
      <w:proofErr w:type="spellEnd"/>
      <w:r w:rsidRPr="00CE7A97">
        <w:rPr>
          <w:sz w:val="22"/>
          <w:lang w:eastAsia="x-none"/>
        </w:rPr>
        <w:t xml:space="preserve"> safe harbor for 2016 </w:t>
      </w:r>
      <w:r w:rsidR="00E6539E">
        <w:rPr>
          <w:sz w:val="22"/>
          <w:lang w:eastAsia="x-none"/>
        </w:rPr>
        <w:t>s</w:t>
      </w:r>
      <w:r w:rsidRPr="00CE7A97">
        <w:rPr>
          <w:sz w:val="22"/>
          <w:lang w:eastAsia="x-none"/>
        </w:rPr>
        <w:t xml:space="preserve">he </w:t>
      </w:r>
      <w:r w:rsidRPr="003D0B73">
        <w:rPr>
          <w:i/>
          <w:sz w:val="22"/>
          <w:lang w:eastAsia="x-none"/>
        </w:rPr>
        <w:t>must</w:t>
      </w:r>
      <w:r w:rsidRPr="00CE7A97">
        <w:rPr>
          <w:sz w:val="22"/>
          <w:lang w:eastAsia="x-none"/>
        </w:rPr>
        <w:t xml:space="preserve"> expense the $2,450 </w:t>
      </w:r>
      <w:r w:rsidR="00E6539E">
        <w:rPr>
          <w:sz w:val="22"/>
          <w:lang w:eastAsia="x-none"/>
        </w:rPr>
        <w:t>s</w:t>
      </w:r>
      <w:r w:rsidRPr="00CE7A97">
        <w:rPr>
          <w:sz w:val="22"/>
          <w:lang w:eastAsia="x-none"/>
        </w:rPr>
        <w:t>he paid for the level.</w:t>
      </w:r>
    </w:p>
    <w:p w14:paraId="483F9867" w14:textId="77777777" w:rsidR="00A54DA3" w:rsidRPr="00CE7A97" w:rsidRDefault="00A54DA3" w:rsidP="00A54DA3">
      <w:pPr>
        <w:keepNext/>
        <w:spacing w:before="120"/>
        <w:jc w:val="both"/>
        <w:rPr>
          <w:rFonts w:ascii="Arial Narrow" w:hAnsi="Arial Narrow"/>
          <w:b/>
          <w:sz w:val="22"/>
          <w:lang w:eastAsia="x-none"/>
        </w:rPr>
      </w:pPr>
      <w:r w:rsidRPr="00CE7A97">
        <w:rPr>
          <w:rFonts w:ascii="Arial Narrow" w:hAnsi="Arial Narrow"/>
          <w:b/>
          <w:sz w:val="22"/>
          <w:lang w:eastAsia="x-none"/>
        </w:rPr>
        <w:t>Question 1</w:t>
      </w:r>
    </w:p>
    <w:p w14:paraId="4AC68587" w14:textId="63534576" w:rsidR="00A54DA3" w:rsidRPr="00CE7A97" w:rsidRDefault="00E6539E" w:rsidP="00A54DA3">
      <w:pPr>
        <w:jc w:val="both"/>
        <w:rPr>
          <w:sz w:val="22"/>
          <w:lang w:val="x-none" w:eastAsia="x-none"/>
        </w:rPr>
      </w:pPr>
      <w:r>
        <w:rPr>
          <w:sz w:val="22"/>
          <w:lang w:eastAsia="x-none"/>
        </w:rPr>
        <w:t>Sandy</w:t>
      </w:r>
      <w:r w:rsidR="00A54DA3" w:rsidRPr="00CE7A97">
        <w:rPr>
          <w:sz w:val="22"/>
          <w:lang w:val="x-none" w:eastAsia="x-none"/>
        </w:rPr>
        <w:t xml:space="preserve"> later sells the </w:t>
      </w:r>
      <w:r>
        <w:rPr>
          <w:sz w:val="22"/>
          <w:lang w:eastAsia="x-none"/>
        </w:rPr>
        <w:t>welder</w:t>
      </w:r>
      <w:r w:rsidR="00A54DA3" w:rsidRPr="00CE7A97">
        <w:rPr>
          <w:sz w:val="22"/>
          <w:lang w:val="x-none" w:eastAsia="x-none"/>
        </w:rPr>
        <w:t xml:space="preserve"> for $2,800. How does </w:t>
      </w:r>
      <w:proofErr w:type="spellStart"/>
      <w:r>
        <w:rPr>
          <w:sz w:val="22"/>
          <w:lang w:eastAsia="x-none"/>
        </w:rPr>
        <w:t>s</w:t>
      </w:r>
      <w:r w:rsidR="00A54DA3" w:rsidRPr="00CE7A97">
        <w:rPr>
          <w:sz w:val="22"/>
          <w:lang w:val="x-none" w:eastAsia="x-none"/>
        </w:rPr>
        <w:t>he</w:t>
      </w:r>
      <w:proofErr w:type="spellEnd"/>
      <w:r w:rsidR="00A54DA3" w:rsidRPr="00CE7A97">
        <w:rPr>
          <w:sz w:val="22"/>
          <w:lang w:val="x-none" w:eastAsia="x-none"/>
        </w:rPr>
        <w:t xml:space="preserve"> report that sale?</w:t>
      </w:r>
    </w:p>
    <w:p w14:paraId="3CFD6B47" w14:textId="77777777" w:rsidR="00A54DA3" w:rsidRPr="00CE7A97" w:rsidRDefault="00A54DA3" w:rsidP="00A54DA3">
      <w:pPr>
        <w:keepNext/>
        <w:spacing w:before="120"/>
        <w:jc w:val="both"/>
        <w:rPr>
          <w:rFonts w:ascii="Arial Narrow" w:hAnsi="Arial Narrow"/>
          <w:b/>
          <w:sz w:val="22"/>
          <w:lang w:eastAsia="x-none"/>
        </w:rPr>
      </w:pPr>
      <w:r w:rsidRPr="00CE7A97">
        <w:rPr>
          <w:rFonts w:ascii="Arial Narrow" w:hAnsi="Arial Narrow"/>
          <w:b/>
          <w:sz w:val="22"/>
          <w:lang w:eastAsia="x-none"/>
        </w:rPr>
        <w:t>Answer 1</w:t>
      </w:r>
    </w:p>
    <w:p w14:paraId="61095776" w14:textId="77777777" w:rsidR="00A54DA3" w:rsidRPr="00CE7A97" w:rsidRDefault="00A54DA3" w:rsidP="00A54DA3">
      <w:pPr>
        <w:jc w:val="both"/>
        <w:rPr>
          <w:sz w:val="22"/>
          <w:lang w:val="x-none" w:eastAsia="x-none"/>
        </w:rPr>
      </w:pPr>
      <w:r w:rsidRPr="00CE7A97">
        <w:rPr>
          <w:sz w:val="22"/>
          <w:lang w:val="x-none" w:eastAsia="x-none"/>
        </w:rPr>
        <w:t>The level has no tax basis. The full $2,800 sale price is ordinary income</w:t>
      </w:r>
      <w:r w:rsidRPr="00CE7A97">
        <w:rPr>
          <w:sz w:val="22"/>
          <w:lang w:eastAsia="x-none"/>
        </w:rPr>
        <w:t xml:space="preserve"> and reported on</w:t>
      </w:r>
      <w:r>
        <w:rPr>
          <w:sz w:val="22"/>
          <w:lang w:eastAsia="x-none"/>
        </w:rPr>
        <w:t xml:space="preserve"> line 10 of</w:t>
      </w:r>
      <w:r w:rsidRPr="00CE7A97">
        <w:rPr>
          <w:sz w:val="22"/>
          <w:lang w:eastAsia="x-none"/>
        </w:rPr>
        <w:t xml:space="preserve"> Form 4797, </w:t>
      </w:r>
      <w:r w:rsidRPr="00D531AB">
        <w:rPr>
          <w:sz w:val="22"/>
          <w:lang w:eastAsia="x-none"/>
        </w:rPr>
        <w:t>Sales of Business Property</w:t>
      </w:r>
      <w:r w:rsidRPr="00CE7A97">
        <w:rPr>
          <w:sz w:val="22"/>
          <w:lang w:val="x-none" w:eastAsia="x-none"/>
        </w:rPr>
        <w:t>.</w:t>
      </w:r>
    </w:p>
    <w:p w14:paraId="3E6D2D73" w14:textId="77777777" w:rsidR="00A54DA3" w:rsidRPr="00CE7A97" w:rsidRDefault="00A54DA3" w:rsidP="00A54DA3">
      <w:pPr>
        <w:keepNext/>
        <w:spacing w:before="120"/>
        <w:jc w:val="both"/>
        <w:rPr>
          <w:rFonts w:ascii="Arial Narrow" w:hAnsi="Arial Narrow"/>
          <w:b/>
          <w:sz w:val="22"/>
          <w:lang w:eastAsia="x-none"/>
        </w:rPr>
      </w:pPr>
      <w:r w:rsidRPr="00CE7A97">
        <w:rPr>
          <w:rFonts w:ascii="Arial Narrow" w:hAnsi="Arial Narrow"/>
          <w:b/>
          <w:sz w:val="22"/>
          <w:lang w:eastAsia="x-none"/>
        </w:rPr>
        <w:lastRenderedPageBreak/>
        <w:t>Question 2</w:t>
      </w:r>
    </w:p>
    <w:p w14:paraId="7D75579C" w14:textId="388AD033" w:rsidR="00A54DA3" w:rsidRPr="00CE7A97" w:rsidRDefault="00A54DA3" w:rsidP="00A54DA3">
      <w:pPr>
        <w:jc w:val="both"/>
        <w:rPr>
          <w:sz w:val="22"/>
          <w:lang w:val="x-none" w:eastAsia="x-none"/>
        </w:rPr>
      </w:pPr>
      <w:r w:rsidRPr="00CE7A97">
        <w:rPr>
          <w:sz w:val="22"/>
          <w:lang w:eastAsia="x-none"/>
        </w:rPr>
        <w:t xml:space="preserve">How does </w:t>
      </w:r>
      <w:r w:rsidR="00E6539E">
        <w:rPr>
          <w:sz w:val="22"/>
          <w:lang w:eastAsia="x-none"/>
        </w:rPr>
        <w:t>Sandy</w:t>
      </w:r>
      <w:r w:rsidRPr="00CE7A97">
        <w:rPr>
          <w:sz w:val="22"/>
          <w:lang w:eastAsia="x-none"/>
        </w:rPr>
        <w:t xml:space="preserve"> report the sale if </w:t>
      </w:r>
      <w:r w:rsidR="00E6539E">
        <w:rPr>
          <w:sz w:val="22"/>
          <w:lang w:eastAsia="x-none"/>
        </w:rPr>
        <w:t>s</w:t>
      </w:r>
      <w:r w:rsidRPr="00CE7A97">
        <w:rPr>
          <w:sz w:val="22"/>
          <w:lang w:eastAsia="x-none"/>
        </w:rPr>
        <w:t>he claimed a $2,450 section 179 deduction</w:t>
      </w:r>
      <w:r w:rsidRPr="00CE7A97">
        <w:rPr>
          <w:sz w:val="22"/>
          <w:lang w:val="x-none" w:eastAsia="x-none"/>
        </w:rPr>
        <w:t xml:space="preserve"> rather than making the de </w:t>
      </w:r>
      <w:proofErr w:type="spellStart"/>
      <w:r w:rsidRPr="00CE7A97">
        <w:rPr>
          <w:sz w:val="22"/>
          <w:lang w:val="x-none" w:eastAsia="x-none"/>
        </w:rPr>
        <w:t>minimis</w:t>
      </w:r>
      <w:proofErr w:type="spellEnd"/>
      <w:r w:rsidRPr="00CE7A97">
        <w:rPr>
          <w:sz w:val="22"/>
          <w:lang w:val="x-none" w:eastAsia="x-none"/>
        </w:rPr>
        <w:t xml:space="preserve"> election</w:t>
      </w:r>
      <w:r w:rsidRPr="00CE7A97">
        <w:rPr>
          <w:sz w:val="22"/>
          <w:lang w:eastAsia="x-none"/>
        </w:rPr>
        <w:t>?</w:t>
      </w:r>
    </w:p>
    <w:p w14:paraId="19AEFCC7" w14:textId="77777777" w:rsidR="00A54DA3" w:rsidRPr="00CE7A97" w:rsidRDefault="00A54DA3" w:rsidP="00A54DA3">
      <w:pPr>
        <w:keepNext/>
        <w:spacing w:before="120"/>
        <w:jc w:val="both"/>
        <w:rPr>
          <w:rFonts w:ascii="Arial Narrow" w:hAnsi="Arial Narrow"/>
          <w:b/>
          <w:sz w:val="22"/>
          <w:lang w:eastAsia="x-none"/>
        </w:rPr>
      </w:pPr>
      <w:r w:rsidRPr="00CE7A97">
        <w:rPr>
          <w:rFonts w:ascii="Arial Narrow" w:hAnsi="Arial Narrow"/>
          <w:b/>
          <w:sz w:val="22"/>
          <w:lang w:eastAsia="x-none"/>
        </w:rPr>
        <w:t>Answer 2</w:t>
      </w:r>
    </w:p>
    <w:p w14:paraId="69241091" w14:textId="59DB3C1A" w:rsidR="00A54DA3" w:rsidRDefault="00A54DA3" w:rsidP="00A54DA3">
      <w:pPr>
        <w:jc w:val="both"/>
        <w:rPr>
          <w:sz w:val="22"/>
          <w:lang w:eastAsia="x-none"/>
        </w:rPr>
      </w:pPr>
      <w:r w:rsidRPr="00CE7A97">
        <w:rPr>
          <w:sz w:val="22"/>
          <w:lang w:eastAsia="x-none"/>
        </w:rPr>
        <w:t xml:space="preserve">The level is no longer subject to the de </w:t>
      </w:r>
      <w:proofErr w:type="spellStart"/>
      <w:r w:rsidRPr="00CE7A97">
        <w:rPr>
          <w:sz w:val="22"/>
          <w:lang w:eastAsia="x-none"/>
        </w:rPr>
        <w:t>minimis</w:t>
      </w:r>
      <w:proofErr w:type="spellEnd"/>
      <w:r w:rsidRPr="00CE7A97">
        <w:rPr>
          <w:sz w:val="22"/>
          <w:lang w:eastAsia="x-none"/>
        </w:rPr>
        <w:t xml:space="preserve"> safe harbor rules and therefore is section </w:t>
      </w:r>
      <w:r w:rsidRPr="00CE7A97">
        <w:rPr>
          <w:sz w:val="22"/>
          <w:lang w:val="x-none" w:eastAsia="x-none"/>
        </w:rPr>
        <w:t xml:space="preserve">1245 property. </w:t>
      </w:r>
      <w:r w:rsidR="00E6539E">
        <w:rPr>
          <w:sz w:val="22"/>
          <w:lang w:eastAsia="x-none"/>
        </w:rPr>
        <w:t>Sandy</w:t>
      </w:r>
      <w:r w:rsidRPr="00CE7A97">
        <w:rPr>
          <w:sz w:val="22"/>
          <w:lang w:val="x-none" w:eastAsia="x-none"/>
        </w:rPr>
        <w:t xml:space="preserve"> would still have </w:t>
      </w:r>
      <w:r w:rsidRPr="00CE7A97">
        <w:rPr>
          <w:sz w:val="22"/>
          <w:lang w:eastAsia="x-none"/>
        </w:rPr>
        <w:t xml:space="preserve">a </w:t>
      </w:r>
      <w:r w:rsidRPr="00CE7A97">
        <w:rPr>
          <w:sz w:val="22"/>
          <w:lang w:val="x-none" w:eastAsia="x-none"/>
        </w:rPr>
        <w:t xml:space="preserve">$2,800 gain, </w:t>
      </w:r>
      <w:r w:rsidRPr="00CE7A97">
        <w:rPr>
          <w:sz w:val="22"/>
          <w:lang w:eastAsia="x-none"/>
        </w:rPr>
        <w:t xml:space="preserve">but </w:t>
      </w:r>
      <w:r w:rsidRPr="00CE7A97">
        <w:rPr>
          <w:sz w:val="22"/>
          <w:lang w:val="x-none" w:eastAsia="x-none"/>
        </w:rPr>
        <w:t xml:space="preserve">I.R.C. § 1245 recaptures as ordinary income only the amount of gain created by prior depreciation deductions (including </w:t>
      </w:r>
      <w:r>
        <w:rPr>
          <w:sz w:val="22"/>
          <w:lang w:eastAsia="x-none"/>
        </w:rPr>
        <w:t>section</w:t>
      </w:r>
      <w:r w:rsidRPr="00CE7A97">
        <w:rPr>
          <w:sz w:val="22"/>
          <w:lang w:eastAsia="x-none"/>
        </w:rPr>
        <w:t> </w:t>
      </w:r>
      <w:r w:rsidRPr="00CE7A97">
        <w:rPr>
          <w:sz w:val="22"/>
          <w:lang w:val="x-none" w:eastAsia="x-none"/>
        </w:rPr>
        <w:t>179</w:t>
      </w:r>
      <w:r>
        <w:rPr>
          <w:sz w:val="22"/>
          <w:lang w:eastAsia="x-none"/>
        </w:rPr>
        <w:t xml:space="preserve"> deductions</w:t>
      </w:r>
      <w:r w:rsidRPr="00CE7A97">
        <w:rPr>
          <w:sz w:val="22"/>
          <w:lang w:val="x-none" w:eastAsia="x-none"/>
        </w:rPr>
        <w:t xml:space="preserve">). </w:t>
      </w:r>
      <w:r w:rsidR="00E6539E">
        <w:rPr>
          <w:sz w:val="22"/>
          <w:lang w:eastAsia="x-none"/>
        </w:rPr>
        <w:t>Sandy</w:t>
      </w:r>
      <w:r w:rsidRPr="00CE7A97">
        <w:rPr>
          <w:sz w:val="22"/>
          <w:lang w:val="x-none" w:eastAsia="x-none"/>
        </w:rPr>
        <w:t xml:space="preserve"> would report </w:t>
      </w:r>
      <w:r w:rsidRPr="00CE7A97">
        <w:rPr>
          <w:sz w:val="22"/>
          <w:lang w:eastAsia="x-none"/>
        </w:rPr>
        <w:t xml:space="preserve">$2,450 as ordinary income (the </w:t>
      </w:r>
      <w:r>
        <w:rPr>
          <w:sz w:val="22"/>
          <w:lang w:eastAsia="x-none"/>
        </w:rPr>
        <w:t>section</w:t>
      </w:r>
      <w:r w:rsidRPr="00CE7A97">
        <w:rPr>
          <w:sz w:val="22"/>
          <w:lang w:eastAsia="x-none"/>
        </w:rPr>
        <w:t> </w:t>
      </w:r>
      <w:r w:rsidRPr="00CE7A97">
        <w:rPr>
          <w:sz w:val="22"/>
          <w:lang w:val="x-none" w:eastAsia="x-none"/>
        </w:rPr>
        <w:t>179</w:t>
      </w:r>
      <w:r>
        <w:rPr>
          <w:sz w:val="22"/>
          <w:lang w:eastAsia="x-none"/>
        </w:rPr>
        <w:t xml:space="preserve"> deduction</w:t>
      </w:r>
      <w:r w:rsidRPr="00CE7A97">
        <w:rPr>
          <w:sz w:val="22"/>
          <w:lang w:eastAsia="x-none"/>
        </w:rPr>
        <w:t>)</w:t>
      </w:r>
      <w:r w:rsidRPr="00CE7A97">
        <w:rPr>
          <w:sz w:val="22"/>
          <w:lang w:val="x-none" w:eastAsia="x-none"/>
        </w:rPr>
        <w:t xml:space="preserve"> </w:t>
      </w:r>
      <w:r w:rsidRPr="00CE7A97">
        <w:rPr>
          <w:sz w:val="22"/>
          <w:lang w:eastAsia="x-none"/>
        </w:rPr>
        <w:t xml:space="preserve">and the remaining $350 would be </w:t>
      </w:r>
      <w:r w:rsidRPr="00CE7A97">
        <w:rPr>
          <w:sz w:val="22"/>
          <w:lang w:val="x-none" w:eastAsia="x-none"/>
        </w:rPr>
        <w:t>I.R.C. §</w:t>
      </w:r>
      <w:r w:rsidRPr="00CE7A97">
        <w:rPr>
          <w:sz w:val="22"/>
          <w:lang w:eastAsia="x-none"/>
        </w:rPr>
        <w:t> </w:t>
      </w:r>
      <w:r w:rsidRPr="00CE7A97">
        <w:rPr>
          <w:sz w:val="22"/>
          <w:lang w:val="x-none" w:eastAsia="x-none"/>
        </w:rPr>
        <w:t xml:space="preserve">1231 gain. </w:t>
      </w:r>
      <w:r w:rsidR="00E6539E">
        <w:rPr>
          <w:sz w:val="22"/>
          <w:lang w:eastAsia="x-none"/>
        </w:rPr>
        <w:t>Sandy</w:t>
      </w:r>
      <w:r w:rsidRPr="00CE7A97">
        <w:rPr>
          <w:sz w:val="22"/>
          <w:lang w:val="x-none" w:eastAsia="x-none"/>
        </w:rPr>
        <w:t>’s net I.R.C. §</w:t>
      </w:r>
      <w:r w:rsidRPr="00CE7A97">
        <w:rPr>
          <w:sz w:val="22"/>
          <w:lang w:eastAsia="x-none"/>
        </w:rPr>
        <w:t> </w:t>
      </w:r>
      <w:r w:rsidRPr="00CE7A97">
        <w:rPr>
          <w:sz w:val="22"/>
          <w:lang w:val="x-none" w:eastAsia="x-none"/>
        </w:rPr>
        <w:t xml:space="preserve">1231 gains for the year </w:t>
      </w:r>
      <w:r w:rsidRPr="00CE7A97">
        <w:rPr>
          <w:sz w:val="22"/>
          <w:lang w:eastAsia="x-none"/>
        </w:rPr>
        <w:t>are taxed as</w:t>
      </w:r>
      <w:r w:rsidRPr="00CE7A97">
        <w:rPr>
          <w:sz w:val="22"/>
          <w:lang w:val="x-none" w:eastAsia="x-none"/>
        </w:rPr>
        <w:t xml:space="preserve"> capital gain</w:t>
      </w:r>
      <w:r>
        <w:rPr>
          <w:sz w:val="22"/>
          <w:lang w:eastAsia="x-none"/>
        </w:rPr>
        <w:t>.</w:t>
      </w:r>
    </w:p>
    <w:p w14:paraId="279C864F" w14:textId="77777777" w:rsidR="00A54DA3" w:rsidRPr="0089599D" w:rsidRDefault="00A54DA3" w:rsidP="00A54DA3">
      <w:pPr>
        <w:jc w:val="center"/>
        <w:rPr>
          <w:sz w:val="22"/>
          <w:lang w:eastAsia="x-none"/>
        </w:rPr>
      </w:pPr>
      <w:r>
        <w:rPr>
          <w:sz w:val="22"/>
          <w:lang w:eastAsia="x-none"/>
        </w:rPr>
        <w:t>____________________</w:t>
      </w:r>
    </w:p>
    <w:p w14:paraId="3AD9534D" w14:textId="0F4F56C5" w:rsidR="00A54DA3" w:rsidRPr="00CE7A97" w:rsidRDefault="00A54DA3" w:rsidP="00A54DA3">
      <w:pPr>
        <w:keepNext/>
        <w:spacing w:before="240" w:after="120"/>
        <w:jc w:val="both"/>
        <w:rPr>
          <w:rFonts w:ascii="Arial Narrow" w:hAnsi="Arial Narrow"/>
          <w:b/>
          <w:sz w:val="22"/>
          <w:lang w:eastAsia="x-none"/>
        </w:rPr>
      </w:pPr>
      <w:r w:rsidRPr="00CE7A97">
        <w:rPr>
          <w:rFonts w:ascii="Arial Narrow" w:hAnsi="Arial Narrow"/>
          <w:b/>
          <w:sz w:val="22"/>
          <w:lang w:val="x-none" w:eastAsia="x-none"/>
        </w:rPr>
        <w:t xml:space="preserve">Example </w:t>
      </w:r>
      <w:r w:rsidR="00E24EC1">
        <w:rPr>
          <w:rFonts w:ascii="Arial Narrow" w:hAnsi="Arial Narrow"/>
          <w:b/>
          <w:sz w:val="22"/>
          <w:lang w:eastAsia="x-none"/>
        </w:rPr>
        <w:t>8</w:t>
      </w:r>
      <w:r>
        <w:rPr>
          <w:rFonts w:ascii="Arial Narrow" w:hAnsi="Arial Narrow"/>
          <w:b/>
          <w:sz w:val="22"/>
          <w:lang w:eastAsia="x-none"/>
        </w:rPr>
        <w:t>.</w:t>
      </w:r>
      <w:r w:rsidRPr="00CE7A97">
        <w:rPr>
          <w:rFonts w:ascii="Arial Narrow" w:hAnsi="Arial Narrow"/>
          <w:b/>
          <w:sz w:val="22"/>
          <w:lang w:val="x-none" w:eastAsia="x-none"/>
        </w:rPr>
        <w:t xml:space="preserve"> </w:t>
      </w:r>
      <w:r w:rsidRPr="00CE7A97">
        <w:rPr>
          <w:rFonts w:ascii="Arial Narrow" w:hAnsi="Arial Narrow"/>
          <w:b/>
          <w:sz w:val="22"/>
          <w:lang w:eastAsia="x-none"/>
        </w:rPr>
        <w:t>Sale of Livestock</w:t>
      </w:r>
    </w:p>
    <w:p w14:paraId="3E5D7934" w14:textId="77777777" w:rsidR="00A54DA3" w:rsidRPr="00CE7A97" w:rsidRDefault="00A54DA3" w:rsidP="00A54DA3">
      <w:pPr>
        <w:jc w:val="both"/>
        <w:rPr>
          <w:sz w:val="22"/>
          <w:lang w:eastAsia="x-none"/>
        </w:rPr>
      </w:pPr>
      <w:r w:rsidRPr="00CE7A97">
        <w:rPr>
          <w:sz w:val="22"/>
          <w:lang w:eastAsia="x-none"/>
        </w:rPr>
        <w:t xml:space="preserve">Dan Dairyman has an accounting procedure that requires him to deduct the cost of any item he purchased for $1,000 or less. In 2016, he bought young heifers, which he raised to become part of his milking herd. The animals cost $600 each. He used his full $500,000 section 179 deduction in 2016 to expense the cost of a new milking facility. Dan elected the de </w:t>
      </w:r>
      <w:proofErr w:type="spellStart"/>
      <w:r w:rsidRPr="00CE7A97">
        <w:rPr>
          <w:sz w:val="22"/>
          <w:lang w:eastAsia="x-none"/>
        </w:rPr>
        <w:t>minimis</w:t>
      </w:r>
      <w:proofErr w:type="spellEnd"/>
      <w:r w:rsidRPr="00CE7A97">
        <w:rPr>
          <w:sz w:val="22"/>
          <w:lang w:eastAsia="x-none"/>
        </w:rPr>
        <w:t xml:space="preserve"> safe harbor and expensed the young heifers on his 2016 tax return. </w:t>
      </w:r>
    </w:p>
    <w:p w14:paraId="22FF9DA1" w14:textId="77777777" w:rsidR="00A54DA3" w:rsidRPr="00CE7A97" w:rsidRDefault="00A54DA3" w:rsidP="00A54DA3">
      <w:pPr>
        <w:ind w:firstLine="360"/>
        <w:jc w:val="both"/>
        <w:rPr>
          <w:sz w:val="22"/>
          <w:lang w:eastAsia="x-none"/>
        </w:rPr>
      </w:pPr>
      <w:r w:rsidRPr="00CE7A97">
        <w:rPr>
          <w:sz w:val="22"/>
          <w:lang w:val="x-none" w:eastAsia="x-none"/>
        </w:rPr>
        <w:t>Dan raise</w:t>
      </w:r>
      <w:r w:rsidRPr="00CE7A97">
        <w:rPr>
          <w:sz w:val="22"/>
          <w:lang w:eastAsia="x-none"/>
        </w:rPr>
        <w:t>d</w:t>
      </w:r>
      <w:r w:rsidRPr="00CE7A97">
        <w:rPr>
          <w:sz w:val="22"/>
          <w:lang w:val="x-none" w:eastAsia="x-none"/>
        </w:rPr>
        <w:t xml:space="preserve"> the</w:t>
      </w:r>
      <w:r w:rsidRPr="00CE7A97">
        <w:rPr>
          <w:sz w:val="22"/>
          <w:lang w:eastAsia="x-none"/>
        </w:rPr>
        <w:t xml:space="preserve"> heifers </w:t>
      </w:r>
      <w:r w:rsidRPr="00CE7A97">
        <w:rPr>
          <w:sz w:val="22"/>
          <w:lang w:val="x-none" w:eastAsia="x-none"/>
        </w:rPr>
        <w:t xml:space="preserve">to milking age and </w:t>
      </w:r>
      <w:r w:rsidRPr="00CE7A97">
        <w:rPr>
          <w:sz w:val="22"/>
          <w:lang w:eastAsia="x-none"/>
        </w:rPr>
        <w:t xml:space="preserve">3 years later he </w:t>
      </w:r>
      <w:r w:rsidRPr="00CE7A97">
        <w:rPr>
          <w:sz w:val="22"/>
          <w:lang w:val="x-none" w:eastAsia="x-none"/>
        </w:rPr>
        <w:t>s</w:t>
      </w:r>
      <w:r w:rsidRPr="00CE7A97">
        <w:rPr>
          <w:sz w:val="22"/>
          <w:lang w:eastAsia="x-none"/>
        </w:rPr>
        <w:t>old</w:t>
      </w:r>
      <w:r w:rsidRPr="00CE7A97">
        <w:rPr>
          <w:sz w:val="22"/>
          <w:lang w:val="x-none" w:eastAsia="x-none"/>
        </w:rPr>
        <w:t xml:space="preserve"> them </w:t>
      </w:r>
      <w:r w:rsidRPr="00CE7A97">
        <w:rPr>
          <w:sz w:val="22"/>
          <w:lang w:eastAsia="x-none"/>
        </w:rPr>
        <w:t xml:space="preserve">for $1,000 each </w:t>
      </w:r>
      <w:r w:rsidRPr="00CE7A97">
        <w:rPr>
          <w:sz w:val="22"/>
          <w:lang w:val="x-none" w:eastAsia="x-none"/>
        </w:rPr>
        <w:t>because he ha</w:t>
      </w:r>
      <w:r w:rsidRPr="00CE7A97">
        <w:rPr>
          <w:sz w:val="22"/>
          <w:lang w:eastAsia="x-none"/>
        </w:rPr>
        <w:t>d</w:t>
      </w:r>
      <w:r w:rsidRPr="00CE7A97">
        <w:rPr>
          <w:sz w:val="22"/>
          <w:lang w:val="x-none" w:eastAsia="x-none"/>
        </w:rPr>
        <w:t xml:space="preserve"> insufficient room</w:t>
      </w:r>
      <w:r w:rsidRPr="00CE7A97">
        <w:rPr>
          <w:sz w:val="22"/>
          <w:lang w:eastAsia="x-none"/>
        </w:rPr>
        <w:t xml:space="preserve"> in his dairy barn.</w:t>
      </w:r>
      <w:r w:rsidRPr="00CE7A97">
        <w:rPr>
          <w:sz w:val="22"/>
          <w:lang w:val="x-none" w:eastAsia="x-none"/>
        </w:rPr>
        <w:t xml:space="preserve"> </w:t>
      </w:r>
      <w:r w:rsidRPr="00CE7A97">
        <w:rPr>
          <w:sz w:val="22"/>
          <w:lang w:eastAsia="x-none"/>
        </w:rPr>
        <w:t>The $1,000 gain on each heifer is ordinary income.</w:t>
      </w:r>
    </w:p>
    <w:p w14:paraId="434EE5E1" w14:textId="77777777" w:rsidR="00A54DA3" w:rsidRDefault="00A54DA3" w:rsidP="00A54DA3">
      <w:pPr>
        <w:ind w:firstLine="360"/>
        <w:jc w:val="both"/>
        <w:rPr>
          <w:sz w:val="22"/>
          <w:lang w:eastAsia="x-none"/>
        </w:rPr>
      </w:pPr>
      <w:r w:rsidRPr="00CE7A97">
        <w:rPr>
          <w:sz w:val="22"/>
          <w:lang w:val="x-none" w:eastAsia="x-none"/>
        </w:rPr>
        <w:t xml:space="preserve">If </w:t>
      </w:r>
      <w:r w:rsidRPr="00CE7A97">
        <w:rPr>
          <w:sz w:val="22"/>
          <w:lang w:eastAsia="x-none"/>
        </w:rPr>
        <w:t>Dan</w:t>
      </w:r>
      <w:r w:rsidRPr="00CE7A97">
        <w:rPr>
          <w:sz w:val="22"/>
          <w:lang w:val="x-none" w:eastAsia="x-none"/>
        </w:rPr>
        <w:t xml:space="preserve"> d</w:t>
      </w:r>
      <w:r>
        <w:rPr>
          <w:sz w:val="22"/>
          <w:lang w:eastAsia="x-none"/>
        </w:rPr>
        <w:t>id</w:t>
      </w:r>
      <w:r w:rsidRPr="00CE7A97">
        <w:rPr>
          <w:sz w:val="22"/>
          <w:lang w:val="x-none" w:eastAsia="x-none"/>
        </w:rPr>
        <w:t xml:space="preserve"> not elect to expense the original purchase </w:t>
      </w:r>
      <w:r w:rsidRPr="00CE7A97">
        <w:rPr>
          <w:sz w:val="22"/>
          <w:lang w:eastAsia="x-none"/>
        </w:rPr>
        <w:t xml:space="preserve">price of the heifers </w:t>
      </w:r>
      <w:r w:rsidRPr="00CE7A97">
        <w:rPr>
          <w:sz w:val="22"/>
          <w:lang w:val="x-none" w:eastAsia="x-none"/>
        </w:rPr>
        <w:t xml:space="preserve">under the de </w:t>
      </w:r>
      <w:proofErr w:type="spellStart"/>
      <w:r w:rsidRPr="00CE7A97">
        <w:rPr>
          <w:sz w:val="22"/>
          <w:lang w:val="x-none" w:eastAsia="x-none"/>
        </w:rPr>
        <w:t>minimis</w:t>
      </w:r>
      <w:proofErr w:type="spellEnd"/>
      <w:r w:rsidRPr="00CE7A97">
        <w:rPr>
          <w:sz w:val="22"/>
          <w:lang w:val="x-none" w:eastAsia="x-none"/>
        </w:rPr>
        <w:t xml:space="preserve"> </w:t>
      </w:r>
      <w:r w:rsidRPr="00CE7A97">
        <w:rPr>
          <w:sz w:val="22"/>
          <w:lang w:eastAsia="x-none"/>
        </w:rPr>
        <w:t>safe harbor, the</w:t>
      </w:r>
      <w:r w:rsidRPr="00CE7A97">
        <w:rPr>
          <w:sz w:val="22"/>
          <w:lang w:val="x-none" w:eastAsia="x-none"/>
        </w:rPr>
        <w:t xml:space="preserve"> gain </w:t>
      </w:r>
      <w:r w:rsidRPr="00CE7A97">
        <w:rPr>
          <w:sz w:val="22"/>
          <w:lang w:eastAsia="x-none"/>
        </w:rPr>
        <w:t>on the sale of the heifers is</w:t>
      </w:r>
      <w:r w:rsidRPr="00CE7A97">
        <w:rPr>
          <w:sz w:val="22"/>
          <w:lang w:val="x-none" w:eastAsia="x-none"/>
        </w:rPr>
        <w:t xml:space="preserve"> eligible for preferential tax treatment under I.R.C. §</w:t>
      </w:r>
      <w:r w:rsidRPr="00CE7A97">
        <w:rPr>
          <w:sz w:val="22"/>
          <w:lang w:eastAsia="x-none"/>
        </w:rPr>
        <w:t> </w:t>
      </w:r>
      <w:r w:rsidRPr="00CE7A97">
        <w:rPr>
          <w:sz w:val="22"/>
          <w:lang w:val="x-none" w:eastAsia="x-none"/>
        </w:rPr>
        <w:t xml:space="preserve">1231. </w:t>
      </w:r>
      <w:r w:rsidRPr="00CE7A97">
        <w:rPr>
          <w:sz w:val="22"/>
          <w:lang w:eastAsia="x-none"/>
        </w:rPr>
        <w:t xml:space="preserve">The gain treated as </w:t>
      </w:r>
      <w:r w:rsidRPr="00CE7A97">
        <w:rPr>
          <w:sz w:val="22"/>
          <w:lang w:val="x-none" w:eastAsia="x-none"/>
        </w:rPr>
        <w:t xml:space="preserve">ordinary </w:t>
      </w:r>
      <w:r w:rsidRPr="00CE7A97">
        <w:rPr>
          <w:sz w:val="22"/>
          <w:lang w:eastAsia="x-none"/>
        </w:rPr>
        <w:t>income is</w:t>
      </w:r>
      <w:r w:rsidRPr="00CE7A97">
        <w:rPr>
          <w:sz w:val="22"/>
          <w:lang w:val="x-none" w:eastAsia="x-none"/>
        </w:rPr>
        <w:t xml:space="preserve"> limited to the amount of depreciation taken </w:t>
      </w:r>
      <w:r w:rsidRPr="00CE7A97">
        <w:rPr>
          <w:sz w:val="22"/>
          <w:lang w:eastAsia="x-none"/>
        </w:rPr>
        <w:t>after</w:t>
      </w:r>
      <w:r w:rsidRPr="00CE7A97">
        <w:rPr>
          <w:sz w:val="22"/>
          <w:lang w:val="x-none" w:eastAsia="x-none"/>
        </w:rPr>
        <w:t xml:space="preserve"> the animals were placed in service</w:t>
      </w:r>
      <w:r>
        <w:rPr>
          <w:sz w:val="22"/>
          <w:lang w:eastAsia="x-none"/>
        </w:rPr>
        <w:t>.</w:t>
      </w:r>
    </w:p>
    <w:p w14:paraId="44D5D203" w14:textId="77777777" w:rsidR="00A54DA3" w:rsidRPr="0089599D" w:rsidRDefault="00A54DA3" w:rsidP="00A54DA3">
      <w:pPr>
        <w:jc w:val="center"/>
        <w:rPr>
          <w:sz w:val="22"/>
          <w:lang w:eastAsia="x-none"/>
        </w:rPr>
      </w:pPr>
      <w:r>
        <w:rPr>
          <w:sz w:val="22"/>
          <w:lang w:eastAsia="x-none"/>
        </w:rPr>
        <w:t>____________________</w:t>
      </w:r>
    </w:p>
    <w:p w14:paraId="59E69ECC" w14:textId="77777777" w:rsidR="00A54DA3" w:rsidRDefault="00A54DA3" w:rsidP="00A54DA3">
      <w:pPr>
        <w:pStyle w:val="Bodynoindent"/>
      </w:pPr>
    </w:p>
    <w:p w14:paraId="7F66CC8D" w14:textId="77777777" w:rsidR="00A54DA3" w:rsidRPr="00CE7A97" w:rsidRDefault="00A54DA3" w:rsidP="00E6539E">
      <w:pPr>
        <w:keepNext/>
        <w:keepLines/>
        <w:pBdr>
          <w:top w:val="single" w:sz="4" w:space="1" w:color="auto"/>
          <w:left w:val="single" w:sz="4" w:space="4" w:color="auto"/>
          <w:bottom w:val="single" w:sz="4" w:space="1" w:color="auto"/>
          <w:right w:val="single" w:sz="4" w:space="4" w:color="auto"/>
        </w:pBdr>
        <w:spacing w:before="60"/>
        <w:rPr>
          <w:b/>
          <w:sz w:val="20"/>
        </w:rPr>
      </w:pPr>
      <w:r w:rsidRPr="00CE7A97">
        <w:rPr>
          <w:b/>
          <w:sz w:val="20"/>
        </w:rPr>
        <w:t>Observation</w:t>
      </w:r>
    </w:p>
    <w:p w14:paraId="25C23243" w14:textId="77777777" w:rsidR="00A54DA3" w:rsidRPr="00CE7A97" w:rsidRDefault="00A54DA3" w:rsidP="00E6539E">
      <w:pPr>
        <w:keepNext/>
        <w:keepLines/>
        <w:pBdr>
          <w:top w:val="single" w:sz="4" w:space="1" w:color="auto"/>
          <w:left w:val="single" w:sz="4" w:space="4" w:color="auto"/>
          <w:bottom w:val="single" w:sz="4" w:space="1" w:color="auto"/>
          <w:right w:val="single" w:sz="4" w:space="4" w:color="auto"/>
        </w:pBdr>
        <w:spacing w:before="60" w:after="60"/>
        <w:rPr>
          <w:rFonts w:ascii="Arial" w:hAnsi="Arial"/>
          <w:sz w:val="20"/>
        </w:rPr>
      </w:pPr>
      <w:r w:rsidRPr="00CE7A97">
        <w:rPr>
          <w:rFonts w:ascii="Arial" w:hAnsi="Arial"/>
          <w:sz w:val="20"/>
        </w:rPr>
        <w:t>Self-Employment Tax</w:t>
      </w:r>
    </w:p>
    <w:p w14:paraId="260F03B1" w14:textId="77777777" w:rsidR="00A54DA3" w:rsidRPr="00CE7A97" w:rsidRDefault="00A54DA3" w:rsidP="00E6539E">
      <w:pPr>
        <w:keepNext/>
        <w:keepLines/>
        <w:pBdr>
          <w:top w:val="single" w:sz="4" w:space="1" w:color="auto"/>
          <w:left w:val="single" w:sz="4" w:space="4" w:color="auto"/>
          <w:bottom w:val="single" w:sz="4" w:space="1" w:color="auto"/>
          <w:right w:val="single" w:sz="4" w:space="4" w:color="auto"/>
        </w:pBdr>
        <w:spacing w:before="60" w:after="60"/>
        <w:rPr>
          <w:sz w:val="20"/>
        </w:rPr>
      </w:pPr>
      <w:r w:rsidRPr="00CE7A97">
        <w:rPr>
          <w:sz w:val="20"/>
        </w:rPr>
        <w:t xml:space="preserve">Property expensed under the de </w:t>
      </w:r>
      <w:proofErr w:type="spellStart"/>
      <w:r w:rsidRPr="00CE7A97">
        <w:rPr>
          <w:sz w:val="20"/>
        </w:rPr>
        <w:t>minimis</w:t>
      </w:r>
      <w:proofErr w:type="spellEnd"/>
      <w:r w:rsidRPr="00CE7A97">
        <w:rPr>
          <w:sz w:val="20"/>
        </w:rPr>
        <w:t xml:space="preserve"> safe harbor is not I.R.C. § 1231 property</w:t>
      </w:r>
      <w:r>
        <w:rPr>
          <w:sz w:val="20"/>
        </w:rPr>
        <w:t>. If it is not property that must be included in inventory and is not held for sale in the ordinary course of business,</w:t>
      </w:r>
      <w:r w:rsidRPr="00CE7A97">
        <w:rPr>
          <w:sz w:val="20"/>
        </w:rPr>
        <w:t xml:space="preserve"> the taxpayer must report </w:t>
      </w:r>
      <w:r>
        <w:rPr>
          <w:sz w:val="20"/>
        </w:rPr>
        <w:t>a</w:t>
      </w:r>
      <w:r w:rsidRPr="00CE7A97">
        <w:rPr>
          <w:sz w:val="20"/>
        </w:rPr>
        <w:t xml:space="preserve"> sale </w:t>
      </w:r>
      <w:r>
        <w:rPr>
          <w:sz w:val="20"/>
        </w:rPr>
        <w:t xml:space="preserve">of the property </w:t>
      </w:r>
      <w:r w:rsidRPr="00CE7A97">
        <w:rPr>
          <w:sz w:val="20"/>
        </w:rPr>
        <w:t xml:space="preserve">on </w:t>
      </w:r>
      <w:r>
        <w:rPr>
          <w:sz w:val="20"/>
        </w:rPr>
        <w:t xml:space="preserve">line 10 of </w:t>
      </w:r>
      <w:r w:rsidRPr="00CE7A97">
        <w:rPr>
          <w:sz w:val="20"/>
        </w:rPr>
        <w:t xml:space="preserve">Form 4797 as ordinary income. The income from the sale does not meet the test for self-employment income and, even though it is ordinary income, the taxpayer does not report the income on Schedule C (Form 1040), </w:t>
      </w:r>
      <w:r w:rsidRPr="00C5762C">
        <w:rPr>
          <w:sz w:val="20"/>
        </w:rPr>
        <w:t xml:space="preserve">Profit or Loss </w:t>
      </w:r>
      <w:r>
        <w:rPr>
          <w:sz w:val="20"/>
        </w:rPr>
        <w:t>F</w:t>
      </w:r>
      <w:r w:rsidRPr="00C5762C">
        <w:rPr>
          <w:sz w:val="20"/>
        </w:rPr>
        <w:t>rom Business</w:t>
      </w:r>
      <w:r w:rsidRPr="00CE7A97">
        <w:rPr>
          <w:sz w:val="20"/>
        </w:rPr>
        <w:t>, or Schedule F (Form 1040), Profit of Loss From Farming, where it would be subject to self-employment tax.</w:t>
      </w:r>
    </w:p>
    <w:p w14:paraId="709D4128" w14:textId="77777777" w:rsidR="00A54DA3" w:rsidRDefault="00A54DA3" w:rsidP="00A54DA3">
      <w:pPr>
        <w:pStyle w:val="hdg1"/>
        <w:widowControl w:val="0"/>
        <w:spacing w:before="0" w:after="240"/>
        <w:rPr>
          <w:rFonts w:ascii="Times New Roman" w:hAnsi="Times New Roman" w:cs="Times New Roman"/>
          <w:sz w:val="20"/>
        </w:rPr>
      </w:pPr>
    </w:p>
    <w:sectPr w:rsidR="00A54DA3" w:rsidSect="00361A28">
      <w:headerReference w:type="default" r:id="rId9"/>
      <w:footerReference w:type="even" r:id="rId10"/>
      <w:footerReference w:type="default" r:id="rId11"/>
      <w:footerReference w:type="first" r:id="rId12"/>
      <w:pgSz w:w="12240" w:h="15840" w:code="1"/>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5">
      <wne:macro wne:macroName="TEMPLATEPROJECT.NEWMACROS.ENDEXAMPLE"/>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Manifest>
    <wne:toolbarData r:id="rId1"/>
  </wne:toolbars>
  <wne:acds>
    <wne:acd wne:argValue="AgBDAE4A" wne:acdName="acd0" wne:fciIndexBasedOn="0065"/>
    <wne:acd wne:argValue="AgBDAFQA" wne:acdName="acd1" wne:fciIndexBasedOn="0065"/>
    <wne:acd wne:argValue="AgBIADEA" wne:acdName="acd2" wne:fciIndexBasedOn="0065"/>
    <wne:acd wne:argValue="AgBIADIA" wne:acdName="acd3" wne:fciIndexBasedOn="0065"/>
    <wne:acd wne:argValue="AgBIADMA" wne:acdName="acd4" wne:fciIndexBasedOn="0065"/>
    <wne:acd wne:argValue="AgBIADQA" wne:acdName="acd5" wne:fciIndexBasedOn="0065"/>
    <wne:acd wne:argValue="AgBCAG8AZAB5AA==" wne:acdName="acd6" wne:fciIndexBasedOn="0065"/>
    <wne:acd wne:argValue="AgBCAG8AZAB5AF8AbgBvAF8AaQBuAGQAZQBuAHQA" wne:acdName="acd7" wne:fciIndexBasedOn="0065"/>
    <wne:acd wne:argValue="AgBFAHgAYQBtAHAAbABlAA==" wne:acdName="acd8" wne:fciIndexBasedOn="0065"/>
    <wne:acd wne:argValue="AgBCAEwA" wne:acdName="acd9" wne:fciIndexBasedOn="0065"/>
    <wne:acd wne:argValue="AgBOAEwA" wne:acdName="acd10" wne:fciIndexBasedOn="0065"/>
    <wne:acd wne:argValue="AgBVAEwA" wne:acdName="acd11" wne:fciIndexBasedOn="0065"/>
    <wne:acd wne:argValue="AgBsAGkAcwB0AF8AYwBvAG4AdABpAG4AdQBlAA==" wne:acdName="acd12" wne:fciIndexBasedOn="0065"/>
    <wne:acd wne:argValue="AgBzAHUAYgBfAE4ATAA=" wne:acdName="acd13" wne:fciIndexBasedOn="0065"/>
    <wne:acd wne:argValue="AgBVAEwAXwBmAGkAcgBzAHQA" wne:acdName="acd14" wne:fciIndexBasedOn="0065"/>
    <wne:acd wne:argValue="AgBVAEwAXwBsAGEAcwB0AA==" wne:acdName="acd15" wne:fciIndexBasedOn="0065"/>
    <wne:acd wne:argValue="AgBzAHUAYgBfAGEAbABwAGgAYQA=" wne:acdName="acd16" wne:fciIndexBasedOn="0065"/>
    <wne:acd wne:argValue="AgBzAHUAYgBfAEIATAA=" wne:acdName="acd17" wne:fciIndexBasedOn="0065"/>
    <wne:acd wne:argValue="AgBzAHUAYgBfAGMAbwBuAHQAaQBuAHUAZQA=" wne:acdName="acd18" wne:fciIndexBasedOn="0065"/>
    <wne:acd wne:argValue="AgBDAGUAbABsAEgAZQBhAGQAaQBuAGcA" wne:acdName="acd19" wne:fciIndexBasedOn="0065"/>
    <wne:acd wne:argValue="AgBDAGUAbABsAEgAZQBhAGQAaQBuAGcAQwA=" wne:acdName="acd20" wne:fciIndexBasedOn="0065"/>
    <wne:acd wne:argValue="AgBDAGUAbABsAEgAZQBhAGQAaQBuAGcAUgA=" wne:acdName="acd21" wne:fciIndexBasedOn="0065"/>
    <wne:acd wne:argValue="AgBDAGUAbABsAEIAbwBkAHkAXwBmAGkAcgBzAHQA" wne:acdName="acd22" wne:fciIndexBasedOn="0065"/>
    <wne:acd wne:argValue="AgBDAGUAbABsAEIAbwBkAHkAQwBfAGYAaQByAHMAdAA=" wne:acdName="acd23" wne:fciIndexBasedOn="0065"/>
    <wne:acd wne:argValue="AgBDAGUAbABsAEIAbwBkAHkAUgBfAGYAaQByAHMAdAA=" wne:acdName="acd24" wne:fciIndexBasedOn="0065"/>
    <wne:acd wne:argValue="AgBDAGUAbABsAEIAbwBkAHkA" wne:acdName="acd25" wne:fciIndexBasedOn="0065"/>
    <wne:acd wne:argValue="AgBDAGUAbABsAEIAbwBkAHkAQwA=" wne:acdName="acd26" wne:fciIndexBasedOn="0065"/>
    <wne:acd wne:argValue="AgBDAGUAbABsAEIAbwBkAHkAUgA=" wne:acdName="acd27" wne:fciIndexBasedOn="0065"/>
    <wne:acd wne:argValue="AgBGAGkAZwBfAE4AdQBtAGIAZQByAA==" wne:acdName="acd28" wne:fciIndexBasedOn="0065"/>
    <wne:acd wne:argValue="AgBOAG8AdABlAA==" wne:acdName="acd29" wne:fciIndexBasedOn="0065"/>
    <wne:acd wne:argValue="AgBuAG8AdABlAF8AQgBMAA==" wne:acdName="acd30" wne:fciIndexBasedOn="0065"/>
    <wne:acd wne:argValue="AgBDAGUAbABsAEIAbwBkAHkAUwB1AGIAdABvAHQAYQBsAA==" wne:acdName="acd31" wne:fciIndexBasedOn="0065"/>
    <wne:acd wne:argValue="AgBDAGUAbABsAEIAbwBkAHkAVABvAHQAYQBsAA==" wne:acdName="acd32" wne:fciIndexBasedOn="0065"/>
    <wne:acd wne:argValue="AQAAAEEA" wne:acdName="acd33" wne:fciIndexBasedOn="0065"/>
    <wne:acd wne:argValue="AgBJAG4AbABpAG4AZQBGAGkAZwB1AHIAZQA=" wne:acdName="acd34" wne:fciIndexBasedOn="0065"/>
    <wne:acd wne:argValue="AgBUAE8AQwBfAFMAdQBtAG0AYQByAHkA" wne:acdName="acd35" wne:fciIndexBasedOn="0065"/>
    <wne:acd wne:argValue="AgBFAHgAYQBtAHAAbABlAF8AZQBuAGQA" wne:acdName="acd36" wne:fciIndexBasedOn="0065"/>
    <wne:acd wne:argValue="AgBOAG8AdABlAF8ASABlAGEAZAA=" wne:acdName="acd37" wne:fciIndexBasedOn="0065"/>
    <wne:acd wne:argValue="AgBIADUA" wne:acdName="acd38" wne:fciIndexBasedOn="0065"/>
    <wne:acd wne:argValue="AgBIADEAXwBTAHUAbQBtAGEAcgB5AA==" wne:acdName="acd39" wne:fciIndexBasedOn="0065"/>
    <wne:acd wne:argValue="AgBIAFEA" wne:acdName="acd40" wne:fciIndexBasedOn="0065"/>
    <wne:acd wne:argValue="AgBRAFQA" wne:acdName="acd41" wne:fciIndexBasedOn="0065"/>
    <wne:acd wne:argValue="AgBIAEEA" wne:acdName="acd42" wne:fciIndexBasedOn="0065"/>
    <wne:acd wne:argValue="AgBTAEIAVABpAHQAbABlAA==" wne:acdName="acd43" wne:fciIndexBasedOn="0065"/>
    <wne:acd wne:argValue="AgBTAEIASAAxAA==" wne:acdName="acd44" wne:fciIndexBasedOn="0065"/>
    <wne:acd wne:argValue="AgBTAEIAVABlAHgAdAA=" wne:acdName="acd45" wne:fciIndexBasedOn="0065"/>
    <wne:acd wne:argValue="AgBTAEIAQgBMAA==" wne:acdName="acd46" wne:fciIndexBasedOn="0065"/>
    <wne:acd wne:argValue="AgBMAFQATwA=" wne:acdName="acd47" wne:fciIndexBasedOn="0065"/>
    <wne:acd wne:argValue="AgBSAGEAbgBkAEMASABlAGEAZAA=" wne:acdName="acd48" wne:fciIndexBasedOn="0065"/>
    <wne:acd wne:argValue="AgBSAGEAbgBkAEMAUwB0AGEAdAB1AHQAZQA=" wne:acdName="acd49" wne:fciIndexBasedOn="0065"/>
    <wne:acd wne:argValue="AgBTAEIAVABlAHgAdABJAG4AZABlAG4AdAA=" wne:acdName="acd50" wne:fciIndexBasedOn="0065"/>
    <wne:acd wne:argValue="AgBUAGEAYgBsAGUARgBvAG8AdABuAG8AdABlAA==" wne:acdName="acd5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B7DD" w14:textId="77777777" w:rsidR="00895A81" w:rsidRDefault="00895A81">
      <w:r>
        <w:separator/>
      </w:r>
    </w:p>
  </w:endnote>
  <w:endnote w:type="continuationSeparator" w:id="0">
    <w:p w14:paraId="5CFFD36E" w14:textId="77777777" w:rsidR="00895A81" w:rsidRDefault="0089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Obelis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6499" w14:textId="7B32C509" w:rsidR="00AA455F" w:rsidRDefault="00AA455F" w:rsidP="00CE331D">
    <w:pPr>
      <w:pStyle w:val="Footer"/>
      <w:pBdr>
        <w:top w:val="none" w:sz="0" w:space="0" w:color="auto"/>
      </w:pBdr>
    </w:pPr>
  </w:p>
  <w:p w14:paraId="2DC000DD" w14:textId="77777777" w:rsidR="00901B4A" w:rsidRDefault="00901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AAE" w14:textId="4D0F927C" w:rsidR="00AA455F" w:rsidRPr="00842863" w:rsidRDefault="00842863" w:rsidP="00CE331D">
    <w:pPr>
      <w:pStyle w:val="Footer"/>
      <w:pBdr>
        <w:top w:val="none" w:sz="0" w:space="0" w:color="auto"/>
      </w:pBdr>
      <w:rPr>
        <w:rFonts w:ascii="Times New Roman" w:hAnsi="Times New Roman"/>
        <w:b w:val="0"/>
        <w:sz w:val="20"/>
        <w:szCs w:val="20"/>
      </w:rPr>
    </w:pPr>
    <w:r w:rsidRPr="00842863">
      <w:rPr>
        <w:rFonts w:ascii="Times New Roman" w:hAnsi="Times New Roman"/>
        <w:b w:val="0"/>
        <w:sz w:val="20"/>
        <w:szCs w:val="20"/>
      </w:rPr>
      <w:t>GS1-</w:t>
    </w:r>
    <w:r w:rsidR="00A63E5A">
      <w:rPr>
        <w:rFonts w:ascii="Times New Roman" w:hAnsi="Times New Roman"/>
        <w:b w:val="0"/>
        <w:sz w:val="20"/>
        <w:szCs w:val="20"/>
      </w:rPr>
      <w:t>Harris</w:t>
    </w:r>
    <w:r w:rsidRPr="00842863">
      <w:rPr>
        <w:rFonts w:ascii="Times New Roman" w:hAnsi="Times New Roman"/>
        <w:b w:val="0"/>
        <w:sz w:val="20"/>
        <w:szCs w:val="20"/>
      </w:rPr>
      <w:ptab w:relativeTo="margin" w:alignment="center" w:leader="none"/>
    </w:r>
    <w:r w:rsidRPr="00842863">
      <w:rPr>
        <w:rFonts w:ascii="Times New Roman" w:hAnsi="Times New Roman"/>
        <w:b w:val="0"/>
        <w:sz w:val="20"/>
        <w:szCs w:val="20"/>
      </w:rPr>
      <w:fldChar w:fldCharType="begin"/>
    </w:r>
    <w:r w:rsidRPr="00842863">
      <w:rPr>
        <w:rFonts w:ascii="Times New Roman" w:hAnsi="Times New Roman"/>
        <w:b w:val="0"/>
        <w:sz w:val="20"/>
        <w:szCs w:val="20"/>
      </w:rPr>
      <w:instrText xml:space="preserve"> PAGE  \* Arabic  \* MERGEFORMAT </w:instrText>
    </w:r>
    <w:r w:rsidRPr="00842863">
      <w:rPr>
        <w:rFonts w:ascii="Times New Roman" w:hAnsi="Times New Roman"/>
        <w:b w:val="0"/>
        <w:sz w:val="20"/>
        <w:szCs w:val="20"/>
      </w:rPr>
      <w:fldChar w:fldCharType="separate"/>
    </w:r>
    <w:r w:rsidR="00FC3B95">
      <w:rPr>
        <w:rFonts w:ascii="Times New Roman" w:hAnsi="Times New Roman"/>
        <w:b w:val="0"/>
        <w:noProof/>
        <w:sz w:val="20"/>
        <w:szCs w:val="20"/>
      </w:rPr>
      <w:t>23</w:t>
    </w:r>
    <w:r w:rsidRPr="00842863">
      <w:rPr>
        <w:rFonts w:ascii="Times New Roman" w:hAnsi="Times New Roman"/>
        <w:b w:val="0"/>
        <w:sz w:val="20"/>
        <w:szCs w:val="20"/>
      </w:rPr>
      <w:fldChar w:fldCharType="end"/>
    </w:r>
    <w:r w:rsidRPr="00842863">
      <w:rPr>
        <w:rFonts w:ascii="Times New Roman" w:hAnsi="Times New Roman"/>
        <w:b w:val="0"/>
        <w:sz w:val="20"/>
        <w:szCs w:val="20"/>
      </w:rPr>
      <w:ptab w:relativeTo="margin" w:alignment="right" w:leader="none"/>
    </w:r>
    <w:r w:rsidRPr="00842863">
      <w:rPr>
        <w:rFonts w:ascii="Times New Roman" w:hAnsi="Times New Roman"/>
        <w:b w:val="0"/>
        <w:sz w:val="20"/>
        <w:szCs w:val="20"/>
      </w:rPr>
      <w:t>Ag Law Updates</w:t>
    </w:r>
    <w:r w:rsidR="00FC3B95">
      <w:rPr>
        <w:rFonts w:ascii="Times New Roman" w:hAnsi="Times New Roman"/>
        <w:b w:val="0"/>
        <w:sz w:val="20"/>
        <w:szCs w:val="20"/>
      </w:rPr>
      <w:t xml:space="preserve"> – General Session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91574"/>
      <w:docPartObj>
        <w:docPartGallery w:val="Page Numbers (Bottom of Page)"/>
        <w:docPartUnique/>
      </w:docPartObj>
    </w:sdtPr>
    <w:sdtEndPr>
      <w:rPr>
        <w:noProof/>
      </w:rPr>
    </w:sdtEndPr>
    <w:sdtContent>
      <w:p w14:paraId="6329AEEA" w14:textId="72CC63B3" w:rsidR="00361A28" w:rsidRDefault="00361A28" w:rsidP="00361A28">
        <w:pPr>
          <w:pStyle w:val="Footer"/>
          <w:pBdr>
            <w:top w:val="none" w:sz="0" w:space="0" w:color="auto"/>
          </w:pBd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91279" w14:textId="77777777" w:rsidR="00895A81" w:rsidRDefault="00895A81">
      <w:r>
        <w:separator/>
      </w:r>
    </w:p>
  </w:footnote>
  <w:footnote w:type="continuationSeparator" w:id="0">
    <w:p w14:paraId="302BA237" w14:textId="77777777" w:rsidR="00895A81" w:rsidRDefault="0089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CA15" w14:textId="77777777" w:rsidR="00842863" w:rsidRDefault="00842863">
    <w:pPr>
      <w:pStyle w:val="Header"/>
    </w:pPr>
  </w:p>
  <w:p w14:paraId="4FC6E916" w14:textId="77777777" w:rsidR="00901B4A" w:rsidRDefault="00901B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88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E2FD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8E5F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1042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9473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DCFA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CFB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0C23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30B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38C0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010FC"/>
    <w:multiLevelType w:val="hybridMultilevel"/>
    <w:tmpl w:val="76ECA250"/>
    <w:styleLink w:val="1ai211"/>
    <w:lvl w:ilvl="0" w:tplc="344460B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F7B6F"/>
    <w:multiLevelType w:val="hybridMultilevel"/>
    <w:tmpl w:val="44CA48C0"/>
    <w:lvl w:ilvl="0" w:tplc="5FF47820">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A251BD"/>
    <w:multiLevelType w:val="hybridMultilevel"/>
    <w:tmpl w:val="187CA2D0"/>
    <w:lvl w:ilvl="0" w:tplc="DB0AB09E">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D5DFE"/>
    <w:multiLevelType w:val="hybridMultilevel"/>
    <w:tmpl w:val="6284DA5C"/>
    <w:lvl w:ilvl="0" w:tplc="11844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2AD8"/>
    <w:multiLevelType w:val="hybridMultilevel"/>
    <w:tmpl w:val="B2EA6394"/>
    <w:lvl w:ilvl="0" w:tplc="6DB8A4D6">
      <w:start w:val="1"/>
      <w:numFmt w:val="bullet"/>
      <w:pStyle w:val="Bullet1"/>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1D2155"/>
    <w:multiLevelType w:val="hybridMultilevel"/>
    <w:tmpl w:val="D1D09368"/>
    <w:lvl w:ilvl="0" w:tplc="914EEA2C">
      <w:start w:val="1"/>
      <w:numFmt w:val="low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550976"/>
    <w:multiLevelType w:val="hybridMultilevel"/>
    <w:tmpl w:val="344EEB08"/>
    <w:lvl w:ilvl="0" w:tplc="3AB472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4D166B"/>
    <w:multiLevelType w:val="hybridMultilevel"/>
    <w:tmpl w:val="96A6D582"/>
    <w:lvl w:ilvl="0" w:tplc="D6A2B2F0">
      <w:start w:val="1"/>
      <w:numFmt w:val="decimal"/>
      <w:lvlRestart w:val="0"/>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BA443B"/>
    <w:multiLevelType w:val="hybridMultilevel"/>
    <w:tmpl w:val="9AF40968"/>
    <w:lvl w:ilvl="0" w:tplc="AB5A0876">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986680"/>
    <w:multiLevelType w:val="hybridMultilevel"/>
    <w:tmpl w:val="32CC1B40"/>
    <w:lvl w:ilvl="0" w:tplc="3E3841AE">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CD2A62"/>
    <w:multiLevelType w:val="hybridMultilevel"/>
    <w:tmpl w:val="A87C28EE"/>
    <w:lvl w:ilvl="0" w:tplc="2D128C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1034915"/>
    <w:multiLevelType w:val="hybridMultilevel"/>
    <w:tmpl w:val="F59ACE12"/>
    <w:lvl w:ilvl="0" w:tplc="01EE55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330E27"/>
    <w:multiLevelType w:val="hybridMultilevel"/>
    <w:tmpl w:val="E2C06666"/>
    <w:styleLink w:val="1ai21"/>
    <w:lvl w:ilvl="0" w:tplc="C4FA3E8C">
      <w:start w:val="1"/>
      <w:numFmt w:val="bullet"/>
      <w:pStyle w:val="B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6D2EAC"/>
    <w:multiLevelType w:val="hybridMultilevel"/>
    <w:tmpl w:val="CDAC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F608A"/>
    <w:multiLevelType w:val="hybridMultilevel"/>
    <w:tmpl w:val="C3448D2E"/>
    <w:lvl w:ilvl="0" w:tplc="8FAC4FB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3107E15"/>
    <w:multiLevelType w:val="hybridMultilevel"/>
    <w:tmpl w:val="DB68B3EE"/>
    <w:lvl w:ilvl="0" w:tplc="D2CC930C">
      <w:start w:val="1"/>
      <w:numFmt w:val="upperRoman"/>
      <w:lvlText w:val="%1."/>
      <w:lvlJc w:val="left"/>
      <w:pPr>
        <w:ind w:left="446" w:hanging="72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6" w15:restartNumberingAfterBreak="0">
    <w:nsid w:val="13857EAB"/>
    <w:multiLevelType w:val="hybridMultilevel"/>
    <w:tmpl w:val="83D27B92"/>
    <w:lvl w:ilvl="0" w:tplc="D6A2B2F0">
      <w:start w:val="1"/>
      <w:numFmt w:val="decimal"/>
      <w:lvlRestart w:val="0"/>
      <w:lvlText w:val="%1."/>
      <w:lvlJc w:val="left"/>
      <w:pPr>
        <w:tabs>
          <w:tab w:val="num" w:pos="720"/>
        </w:tabs>
        <w:ind w:left="720" w:hanging="360"/>
      </w:pPr>
      <w:rPr>
        <w:rFonts w:hint="default"/>
      </w:rPr>
    </w:lvl>
    <w:lvl w:ilvl="1" w:tplc="7F2AEE74">
      <w:start w:val="1"/>
      <w:numFmt w:val="lowerLetter"/>
      <w:lvlRestart w:val="0"/>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AB7DC7"/>
    <w:multiLevelType w:val="hybridMultilevel"/>
    <w:tmpl w:val="2996C0F8"/>
    <w:lvl w:ilvl="0" w:tplc="2010855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B4334"/>
    <w:multiLevelType w:val="hybridMultilevel"/>
    <w:tmpl w:val="E7C40166"/>
    <w:lvl w:ilvl="0" w:tplc="D6A2B2F0">
      <w:start w:val="1"/>
      <w:numFmt w:val="decimal"/>
      <w:lvlRestart w:val="0"/>
      <w:lvlText w:val="%1."/>
      <w:lvlJc w:val="left"/>
      <w:pPr>
        <w:tabs>
          <w:tab w:val="num" w:pos="720"/>
        </w:tabs>
        <w:ind w:left="720" w:hanging="360"/>
      </w:pPr>
      <w:rPr>
        <w:rFonts w:hint="default"/>
      </w:rPr>
    </w:lvl>
    <w:lvl w:ilvl="1" w:tplc="7F2AEE74">
      <w:start w:val="1"/>
      <w:numFmt w:val="lowerLetter"/>
      <w:lvlRestart w:val="0"/>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727705"/>
    <w:multiLevelType w:val="hybridMultilevel"/>
    <w:tmpl w:val="2222C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B228D7"/>
    <w:multiLevelType w:val="hybridMultilevel"/>
    <w:tmpl w:val="E2242FC8"/>
    <w:lvl w:ilvl="0" w:tplc="D6A2B2F0">
      <w:start w:val="1"/>
      <w:numFmt w:val="decimal"/>
      <w:lvlRestart w:val="0"/>
      <w:lvlText w:val="%1."/>
      <w:lvlJc w:val="left"/>
      <w:pPr>
        <w:tabs>
          <w:tab w:val="num" w:pos="720"/>
        </w:tabs>
        <w:ind w:left="720" w:hanging="360"/>
      </w:pPr>
      <w:rPr>
        <w:rFonts w:hint="default"/>
      </w:rPr>
    </w:lvl>
    <w:lvl w:ilvl="1" w:tplc="C6983380">
      <w:start w:val="1"/>
      <w:numFmt w:val="lowerLetter"/>
      <w:lvlRestart w:val="0"/>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244E4E"/>
    <w:multiLevelType w:val="hybridMultilevel"/>
    <w:tmpl w:val="7878F3A4"/>
    <w:lvl w:ilvl="0" w:tplc="1ED65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377F48"/>
    <w:multiLevelType w:val="hybridMultilevel"/>
    <w:tmpl w:val="5F5A629C"/>
    <w:lvl w:ilvl="0" w:tplc="BB4CC50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6C3A98"/>
    <w:multiLevelType w:val="hybridMultilevel"/>
    <w:tmpl w:val="2A9C1062"/>
    <w:lvl w:ilvl="0" w:tplc="5B10EFC0">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46AAB"/>
    <w:multiLevelType w:val="hybridMultilevel"/>
    <w:tmpl w:val="EB022904"/>
    <w:lvl w:ilvl="0" w:tplc="A6686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470C6B"/>
    <w:multiLevelType w:val="hybridMultilevel"/>
    <w:tmpl w:val="37F08444"/>
    <w:lvl w:ilvl="0" w:tplc="5FF47820">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D55ED5"/>
    <w:multiLevelType w:val="hybridMultilevel"/>
    <w:tmpl w:val="99DE55E8"/>
    <w:lvl w:ilvl="0" w:tplc="374A59D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3322B0"/>
    <w:multiLevelType w:val="hybridMultilevel"/>
    <w:tmpl w:val="FB5EFCF2"/>
    <w:lvl w:ilvl="0" w:tplc="031236C4">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A56A67"/>
    <w:multiLevelType w:val="hybridMultilevel"/>
    <w:tmpl w:val="64B62850"/>
    <w:lvl w:ilvl="0" w:tplc="91C0D97E">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0F22DF"/>
    <w:multiLevelType w:val="hybridMultilevel"/>
    <w:tmpl w:val="09B84C8A"/>
    <w:lvl w:ilvl="0" w:tplc="A198C04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B8D0953"/>
    <w:multiLevelType w:val="hybridMultilevel"/>
    <w:tmpl w:val="D18437B6"/>
    <w:lvl w:ilvl="0" w:tplc="914EEA2C">
      <w:start w:val="1"/>
      <w:numFmt w:val="low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FC1C9F"/>
    <w:multiLevelType w:val="hybridMultilevel"/>
    <w:tmpl w:val="73B44BC4"/>
    <w:lvl w:ilvl="0" w:tplc="068EE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2E227D"/>
    <w:multiLevelType w:val="hybridMultilevel"/>
    <w:tmpl w:val="BC6C00E2"/>
    <w:lvl w:ilvl="0" w:tplc="D4E27CB2">
      <w:start w:val="1"/>
      <w:numFmt w:val="bullet"/>
      <w:pStyle w:val="bullet3"/>
      <w:lvlText w:val=""/>
      <w:lvlJc w:val="left"/>
      <w:pPr>
        <w:tabs>
          <w:tab w:val="num" w:pos="2160"/>
        </w:tabs>
        <w:ind w:left="216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2E7B64DF"/>
    <w:multiLevelType w:val="hybridMultilevel"/>
    <w:tmpl w:val="B54842BE"/>
    <w:lvl w:ilvl="0" w:tplc="61F2D4F2">
      <w:start w:val="1"/>
      <w:numFmt w:val="bullet"/>
      <w:pStyle w:val="sub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03143"/>
    <w:multiLevelType w:val="hybridMultilevel"/>
    <w:tmpl w:val="143ED322"/>
    <w:lvl w:ilvl="0" w:tplc="4050B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15157"/>
    <w:multiLevelType w:val="hybridMultilevel"/>
    <w:tmpl w:val="5C302296"/>
    <w:lvl w:ilvl="0" w:tplc="EED27BD0">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3BB4D99"/>
    <w:multiLevelType w:val="hybridMultilevel"/>
    <w:tmpl w:val="411A0DEC"/>
    <w:lvl w:ilvl="0" w:tplc="610697F6">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8276EA"/>
    <w:multiLevelType w:val="hybridMultilevel"/>
    <w:tmpl w:val="7EA29018"/>
    <w:lvl w:ilvl="0" w:tplc="71649624">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60761EF"/>
    <w:multiLevelType w:val="hybridMultilevel"/>
    <w:tmpl w:val="B1CEB0B0"/>
    <w:styleLink w:val="1ai6"/>
    <w:lvl w:ilvl="0" w:tplc="B1CEB0B0">
      <w:start w:val="1"/>
      <w:numFmt w:val="decimal"/>
      <w:lvlRestart w:val="0"/>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69F3F8F"/>
    <w:multiLevelType w:val="hybridMultilevel"/>
    <w:tmpl w:val="D624D966"/>
    <w:lvl w:ilvl="0" w:tplc="6FD0E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3578AF"/>
    <w:multiLevelType w:val="hybridMultilevel"/>
    <w:tmpl w:val="6B504FAE"/>
    <w:lvl w:ilvl="0" w:tplc="B9F0E4A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60361B"/>
    <w:multiLevelType w:val="hybridMultilevel"/>
    <w:tmpl w:val="CB5871D6"/>
    <w:lvl w:ilvl="0" w:tplc="7548E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942C62"/>
    <w:multiLevelType w:val="hybridMultilevel"/>
    <w:tmpl w:val="B01EEDC2"/>
    <w:lvl w:ilvl="0" w:tplc="39480072">
      <w:start w:val="1"/>
      <w:numFmt w:val="low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AC2465"/>
    <w:multiLevelType w:val="hybridMultilevel"/>
    <w:tmpl w:val="2222C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532300"/>
    <w:multiLevelType w:val="hybridMultilevel"/>
    <w:tmpl w:val="B980E57A"/>
    <w:lvl w:ilvl="0" w:tplc="0910FCE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2521D8"/>
    <w:multiLevelType w:val="hybridMultilevel"/>
    <w:tmpl w:val="2CFC471C"/>
    <w:lvl w:ilvl="0" w:tplc="D6A2B2F0">
      <w:start w:val="1"/>
      <w:numFmt w:val="decimal"/>
      <w:lvlRestart w:val="0"/>
      <w:lvlText w:val="%1."/>
      <w:lvlJc w:val="left"/>
      <w:pPr>
        <w:tabs>
          <w:tab w:val="num" w:pos="720"/>
        </w:tabs>
        <w:ind w:left="720" w:hanging="360"/>
      </w:pPr>
      <w:rPr>
        <w:rFonts w:hint="default"/>
      </w:rPr>
    </w:lvl>
    <w:lvl w:ilvl="1" w:tplc="7F2AEE74">
      <w:start w:val="1"/>
      <w:numFmt w:val="lowerLetter"/>
      <w:lvlRestart w:val="0"/>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CB5E54"/>
    <w:multiLevelType w:val="hybridMultilevel"/>
    <w:tmpl w:val="A7E8F93C"/>
    <w:lvl w:ilvl="0" w:tplc="97204B9A">
      <w:start w:val="1"/>
      <w:numFmt w:val="decimal"/>
      <w:lvlRestart w:val="0"/>
      <w:pStyle w:val="NL"/>
      <w:lvlText w:val="%1."/>
      <w:lvlJc w:val="left"/>
      <w:pPr>
        <w:tabs>
          <w:tab w:val="num" w:pos="360"/>
        </w:tabs>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EA1889"/>
    <w:multiLevelType w:val="hybridMultilevel"/>
    <w:tmpl w:val="0FE4DED8"/>
    <w:lvl w:ilvl="0" w:tplc="22EAD8B0">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8872CB5"/>
    <w:multiLevelType w:val="hybridMultilevel"/>
    <w:tmpl w:val="7466E032"/>
    <w:lvl w:ilvl="0" w:tplc="8138A8A6">
      <w:start w:val="1"/>
      <w:numFmt w:val="bullet"/>
      <w:pStyle w:val="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255734"/>
    <w:multiLevelType w:val="hybridMultilevel"/>
    <w:tmpl w:val="45C2A254"/>
    <w:lvl w:ilvl="0" w:tplc="A9049A1C">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CC445B"/>
    <w:multiLevelType w:val="hybridMultilevel"/>
    <w:tmpl w:val="52CCB098"/>
    <w:lvl w:ilvl="0" w:tplc="53208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70281F"/>
    <w:multiLevelType w:val="hybridMultilevel"/>
    <w:tmpl w:val="EF367898"/>
    <w:lvl w:ilvl="0" w:tplc="0B703884">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017228"/>
    <w:multiLevelType w:val="hybridMultilevel"/>
    <w:tmpl w:val="5C384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0E75C0"/>
    <w:multiLevelType w:val="hybridMultilevel"/>
    <w:tmpl w:val="14E28B70"/>
    <w:lvl w:ilvl="0" w:tplc="425C3F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A46124"/>
    <w:multiLevelType w:val="hybridMultilevel"/>
    <w:tmpl w:val="FA22725A"/>
    <w:lvl w:ilvl="0" w:tplc="86D4E7A8">
      <w:start w:val="1"/>
      <w:numFmt w:val="decimal"/>
      <w:lvlRestart w:val="0"/>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0D429B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25B3B76"/>
    <w:multiLevelType w:val="hybridMultilevel"/>
    <w:tmpl w:val="BC382060"/>
    <w:lvl w:ilvl="0" w:tplc="9052167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28909D8"/>
    <w:multiLevelType w:val="hybridMultilevel"/>
    <w:tmpl w:val="A2727BE8"/>
    <w:lvl w:ilvl="0" w:tplc="6A909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B6492A"/>
    <w:multiLevelType w:val="hybridMultilevel"/>
    <w:tmpl w:val="0B5AC50A"/>
    <w:lvl w:ilvl="0" w:tplc="97225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DF63A2"/>
    <w:multiLevelType w:val="hybridMultilevel"/>
    <w:tmpl w:val="076C124C"/>
    <w:lvl w:ilvl="0" w:tplc="39AE1DA6">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104A58"/>
    <w:multiLevelType w:val="hybridMultilevel"/>
    <w:tmpl w:val="AB543B78"/>
    <w:lvl w:ilvl="0" w:tplc="A2D447E6">
      <w:start w:val="1"/>
      <w:numFmt w:val="low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197168"/>
    <w:multiLevelType w:val="hybridMultilevel"/>
    <w:tmpl w:val="EBA22AA0"/>
    <w:lvl w:ilvl="0" w:tplc="82487122">
      <w:start w:val="1"/>
      <w:numFmt w:val="low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132765"/>
    <w:multiLevelType w:val="hybridMultilevel"/>
    <w:tmpl w:val="3BB29784"/>
    <w:lvl w:ilvl="0" w:tplc="46AA4AA0">
      <w:start w:val="1"/>
      <w:numFmt w:val="decimal"/>
      <w:pStyle w:val="sub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F503E67"/>
    <w:multiLevelType w:val="hybridMultilevel"/>
    <w:tmpl w:val="37CE24A0"/>
    <w:lvl w:ilvl="0" w:tplc="55F4F514">
      <w:start w:val="1"/>
      <w:numFmt w:val="lowerRoman"/>
      <w:lvlText w:val="%1."/>
      <w:lvlJc w:val="left"/>
      <w:pPr>
        <w:ind w:left="180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7B1B8E"/>
    <w:multiLevelType w:val="hybridMultilevel"/>
    <w:tmpl w:val="BB508E90"/>
    <w:lvl w:ilvl="0" w:tplc="BF4C68A4">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4725B9"/>
    <w:multiLevelType w:val="hybridMultilevel"/>
    <w:tmpl w:val="D3F29916"/>
    <w:lvl w:ilvl="0" w:tplc="D3003E4E">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47C246A"/>
    <w:multiLevelType w:val="hybridMultilevel"/>
    <w:tmpl w:val="67664D50"/>
    <w:lvl w:ilvl="0" w:tplc="1BBECC0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8156BC"/>
    <w:multiLevelType w:val="hybridMultilevel"/>
    <w:tmpl w:val="63669AE4"/>
    <w:lvl w:ilvl="0" w:tplc="80E684C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77F5315"/>
    <w:multiLevelType w:val="hybridMultilevel"/>
    <w:tmpl w:val="3ECA5F98"/>
    <w:lvl w:ilvl="0" w:tplc="A3B6F6E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64498D"/>
    <w:multiLevelType w:val="hybridMultilevel"/>
    <w:tmpl w:val="B6D23302"/>
    <w:lvl w:ilvl="0" w:tplc="642A0F50">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F031C72"/>
    <w:multiLevelType w:val="hybridMultilevel"/>
    <w:tmpl w:val="7E3EB6E0"/>
    <w:styleLink w:val="1ai53"/>
    <w:lvl w:ilvl="0" w:tplc="B91C093C">
      <w:start w:val="1"/>
      <w:numFmt w:val="lowerLetter"/>
      <w:pStyle w:val="sub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04A278B"/>
    <w:multiLevelType w:val="hybridMultilevel"/>
    <w:tmpl w:val="7DCA3A18"/>
    <w:lvl w:ilvl="0" w:tplc="687A7550">
      <w:start w:val="1"/>
      <w:numFmt w:val="decimal"/>
      <w:lvlRestart w:val="0"/>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30975B4"/>
    <w:multiLevelType w:val="hybridMultilevel"/>
    <w:tmpl w:val="7D7EC62E"/>
    <w:lvl w:ilvl="0" w:tplc="AB882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8C1DD3"/>
    <w:multiLevelType w:val="hybridMultilevel"/>
    <w:tmpl w:val="99583A50"/>
    <w:lvl w:ilvl="0" w:tplc="7B36618E">
      <w:start w:val="1"/>
      <w:numFmt w:val="lowerLetter"/>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3F8529D"/>
    <w:multiLevelType w:val="hybridMultilevel"/>
    <w:tmpl w:val="10C4A928"/>
    <w:lvl w:ilvl="0" w:tplc="6E16DDA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A11F2F"/>
    <w:multiLevelType w:val="hybridMultilevel"/>
    <w:tmpl w:val="0F20B8D2"/>
    <w:lvl w:ilvl="0" w:tplc="D6A2B2F0">
      <w:start w:val="1"/>
      <w:numFmt w:val="decimal"/>
      <w:lvlRestart w:val="0"/>
      <w:lvlText w:val="%1."/>
      <w:lvlJc w:val="left"/>
      <w:pPr>
        <w:tabs>
          <w:tab w:val="num" w:pos="720"/>
        </w:tabs>
        <w:ind w:left="720" w:hanging="360"/>
      </w:pPr>
      <w:rPr>
        <w:rFonts w:hint="default"/>
      </w:rPr>
    </w:lvl>
    <w:lvl w:ilvl="1" w:tplc="00284358">
      <w:start w:val="1"/>
      <w:numFmt w:val="lowerLetter"/>
      <w:lvlRestart w:val="0"/>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B7513EE"/>
    <w:multiLevelType w:val="hybridMultilevel"/>
    <w:tmpl w:val="93B4D2BE"/>
    <w:lvl w:ilvl="0" w:tplc="61DA81EE">
      <w:start w:val="1"/>
      <w:numFmt w:val="upperRoman"/>
      <w:lvlText w:val="%1."/>
      <w:lvlJc w:val="left"/>
      <w:pPr>
        <w:ind w:left="4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62109E"/>
    <w:multiLevelType w:val="hybridMultilevel"/>
    <w:tmpl w:val="3F4A72BC"/>
    <w:lvl w:ilvl="0" w:tplc="96720BDA">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601DBC"/>
    <w:multiLevelType w:val="hybridMultilevel"/>
    <w:tmpl w:val="E0CED358"/>
    <w:styleLink w:val="1ai45"/>
    <w:lvl w:ilvl="0" w:tplc="A132A5AA">
      <w:start w:val="1"/>
      <w:numFmt w:val="bullet"/>
      <w:pStyle w:val="noteBL"/>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80"/>
  </w:num>
  <w:num w:numId="3">
    <w:abstractNumId w:val="22"/>
  </w:num>
  <w:num w:numId="4">
    <w:abstractNumId w:val="88"/>
  </w:num>
  <w:num w:numId="5">
    <w:abstractNumId w:val="22"/>
  </w:num>
  <w:num w:numId="6">
    <w:abstractNumId w:val="43"/>
  </w:num>
  <w:num w:numId="7">
    <w:abstractNumId w:val="65"/>
  </w:num>
  <w:num w:numId="8">
    <w:abstractNumId w:val="48"/>
  </w:num>
  <w:num w:numId="9">
    <w:abstractNumId w:val="42"/>
  </w:num>
  <w:num w:numId="10">
    <w:abstractNumId w:val="58"/>
  </w:num>
  <w:num w:numId="11">
    <w:abstractNumId w:val="14"/>
  </w:num>
  <w:num w:numId="12">
    <w:abstractNumId w:val="10"/>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3"/>
  </w:num>
  <w:num w:numId="27">
    <w:abstractNumId w:val="13"/>
  </w:num>
  <w:num w:numId="28">
    <w:abstractNumId w:val="49"/>
  </w:num>
  <w:num w:numId="29">
    <w:abstractNumId w:val="75"/>
  </w:num>
  <w:num w:numId="30">
    <w:abstractNumId w:val="77"/>
  </w:num>
  <w:num w:numId="31">
    <w:abstractNumId w:val="59"/>
  </w:num>
  <w:num w:numId="32">
    <w:abstractNumId w:val="62"/>
  </w:num>
  <w:num w:numId="33">
    <w:abstractNumId w:val="41"/>
  </w:num>
  <w:num w:numId="34">
    <w:abstractNumId w:val="18"/>
  </w:num>
  <w:num w:numId="35">
    <w:abstractNumId w:val="82"/>
  </w:num>
  <w:num w:numId="36">
    <w:abstractNumId w:val="79"/>
  </w:num>
  <w:num w:numId="37">
    <w:abstractNumId w:val="68"/>
  </w:num>
  <w:num w:numId="38">
    <w:abstractNumId w:val="67"/>
  </w:num>
  <w:num w:numId="39">
    <w:abstractNumId w:val="21"/>
  </w:num>
  <w:num w:numId="40">
    <w:abstractNumId w:val="20"/>
  </w:num>
  <w:num w:numId="41">
    <w:abstractNumId w:val="51"/>
  </w:num>
  <w:num w:numId="42">
    <w:abstractNumId w:val="34"/>
  </w:num>
  <w:num w:numId="43">
    <w:abstractNumId w:val="71"/>
  </w:num>
  <w:num w:numId="44">
    <w:abstractNumId w:val="24"/>
  </w:num>
  <w:num w:numId="45">
    <w:abstractNumId w:val="70"/>
  </w:num>
  <w:num w:numId="46">
    <w:abstractNumId w:val="19"/>
  </w:num>
  <w:num w:numId="47">
    <w:abstractNumId w:val="53"/>
  </w:num>
  <w:num w:numId="48">
    <w:abstractNumId w:val="40"/>
  </w:num>
  <w:num w:numId="49">
    <w:abstractNumId w:val="15"/>
  </w:num>
  <w:num w:numId="50">
    <w:abstractNumId w:val="27"/>
  </w:num>
  <w:num w:numId="51">
    <w:abstractNumId w:val="84"/>
  </w:num>
  <w:num w:numId="52">
    <w:abstractNumId w:val="74"/>
  </w:num>
  <w:num w:numId="53">
    <w:abstractNumId w:val="52"/>
  </w:num>
  <w:num w:numId="54">
    <w:abstractNumId w:val="54"/>
  </w:num>
  <w:num w:numId="55">
    <w:abstractNumId w:val="32"/>
  </w:num>
  <w:num w:numId="56">
    <w:abstractNumId w:val="78"/>
  </w:num>
  <w:num w:numId="57">
    <w:abstractNumId w:val="45"/>
  </w:num>
  <w:num w:numId="58">
    <w:abstractNumId w:val="87"/>
  </w:num>
  <w:num w:numId="59">
    <w:abstractNumId w:val="57"/>
  </w:num>
  <w:num w:numId="60">
    <w:abstractNumId w:val="11"/>
  </w:num>
  <w:num w:numId="61">
    <w:abstractNumId w:val="35"/>
  </w:num>
  <w:num w:numId="62">
    <w:abstractNumId w:val="33"/>
  </w:num>
  <w:num w:numId="63">
    <w:abstractNumId w:val="47"/>
  </w:num>
  <w:num w:numId="64">
    <w:abstractNumId w:val="73"/>
  </w:num>
  <w:num w:numId="65">
    <w:abstractNumId w:val="50"/>
  </w:num>
  <w:num w:numId="66">
    <w:abstractNumId w:val="29"/>
  </w:num>
  <w:num w:numId="67">
    <w:abstractNumId w:val="64"/>
  </w:num>
  <w:num w:numId="68">
    <w:abstractNumId w:val="61"/>
  </w:num>
  <w:num w:numId="69">
    <w:abstractNumId w:val="76"/>
  </w:num>
  <w:num w:numId="70">
    <w:abstractNumId w:val="16"/>
  </w:num>
  <w:num w:numId="71">
    <w:abstractNumId w:val="83"/>
  </w:num>
  <w:num w:numId="72">
    <w:abstractNumId w:val="17"/>
  </w:num>
  <w:num w:numId="73">
    <w:abstractNumId w:val="38"/>
  </w:num>
  <w:num w:numId="74">
    <w:abstractNumId w:val="46"/>
  </w:num>
  <w:num w:numId="75">
    <w:abstractNumId w:val="85"/>
  </w:num>
  <w:num w:numId="76">
    <w:abstractNumId w:val="81"/>
  </w:num>
  <w:num w:numId="77">
    <w:abstractNumId w:val="55"/>
  </w:num>
  <w:num w:numId="78">
    <w:abstractNumId w:val="26"/>
  </w:num>
  <w:num w:numId="79">
    <w:abstractNumId w:val="28"/>
  </w:num>
  <w:num w:numId="80">
    <w:abstractNumId w:val="63"/>
  </w:num>
  <w:num w:numId="81">
    <w:abstractNumId w:val="69"/>
  </w:num>
  <w:num w:numId="82">
    <w:abstractNumId w:val="12"/>
  </w:num>
  <w:num w:numId="83">
    <w:abstractNumId w:val="36"/>
  </w:num>
  <w:num w:numId="84">
    <w:abstractNumId w:val="31"/>
  </w:num>
  <w:num w:numId="85">
    <w:abstractNumId w:val="86"/>
  </w:num>
  <w:num w:numId="86">
    <w:abstractNumId w:val="37"/>
  </w:num>
  <w:num w:numId="87">
    <w:abstractNumId w:val="60"/>
  </w:num>
  <w:num w:numId="88">
    <w:abstractNumId w:val="44"/>
  </w:num>
  <w:num w:numId="89">
    <w:abstractNumId w:val="66"/>
  </w:num>
  <w:num w:numId="90">
    <w:abstractNumId w:val="39"/>
  </w:num>
  <w:num w:numId="91">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91"/>
    <w:rsid w:val="00005045"/>
    <w:rsid w:val="0000756D"/>
    <w:rsid w:val="0001640E"/>
    <w:rsid w:val="00022AE0"/>
    <w:rsid w:val="000276CA"/>
    <w:rsid w:val="00034A13"/>
    <w:rsid w:val="000425B9"/>
    <w:rsid w:val="00042B95"/>
    <w:rsid w:val="00045E2B"/>
    <w:rsid w:val="000530E2"/>
    <w:rsid w:val="00054518"/>
    <w:rsid w:val="00060167"/>
    <w:rsid w:val="00060445"/>
    <w:rsid w:val="000677CE"/>
    <w:rsid w:val="00081516"/>
    <w:rsid w:val="00087FA1"/>
    <w:rsid w:val="00094490"/>
    <w:rsid w:val="000967BE"/>
    <w:rsid w:val="000B186D"/>
    <w:rsid w:val="000B69EA"/>
    <w:rsid w:val="000B6B02"/>
    <w:rsid w:val="000C5405"/>
    <w:rsid w:val="000C6593"/>
    <w:rsid w:val="000C6B50"/>
    <w:rsid w:val="000D0580"/>
    <w:rsid w:val="000D599E"/>
    <w:rsid w:val="000D6036"/>
    <w:rsid w:val="000D7A65"/>
    <w:rsid w:val="000E08F0"/>
    <w:rsid w:val="000E1280"/>
    <w:rsid w:val="000E470C"/>
    <w:rsid w:val="000E51EA"/>
    <w:rsid w:val="000E5D99"/>
    <w:rsid w:val="000E5E55"/>
    <w:rsid w:val="000E761C"/>
    <w:rsid w:val="000F21E6"/>
    <w:rsid w:val="000F404B"/>
    <w:rsid w:val="000F6C02"/>
    <w:rsid w:val="000F6EEC"/>
    <w:rsid w:val="000F77DE"/>
    <w:rsid w:val="00106542"/>
    <w:rsid w:val="001115F0"/>
    <w:rsid w:val="001140C1"/>
    <w:rsid w:val="00117CD8"/>
    <w:rsid w:val="00123D10"/>
    <w:rsid w:val="001244FB"/>
    <w:rsid w:val="001278D4"/>
    <w:rsid w:val="00130E31"/>
    <w:rsid w:val="0013144E"/>
    <w:rsid w:val="00133E1C"/>
    <w:rsid w:val="001516FC"/>
    <w:rsid w:val="00152E0B"/>
    <w:rsid w:val="001553E6"/>
    <w:rsid w:val="0017428B"/>
    <w:rsid w:val="001758E5"/>
    <w:rsid w:val="00181C81"/>
    <w:rsid w:val="001873C3"/>
    <w:rsid w:val="001944A9"/>
    <w:rsid w:val="00194922"/>
    <w:rsid w:val="001A466F"/>
    <w:rsid w:val="001A5E43"/>
    <w:rsid w:val="001B1EA0"/>
    <w:rsid w:val="001B7B86"/>
    <w:rsid w:val="001C174D"/>
    <w:rsid w:val="001C692A"/>
    <w:rsid w:val="001D174E"/>
    <w:rsid w:val="001D6FE9"/>
    <w:rsid w:val="001E3442"/>
    <w:rsid w:val="001F3CE2"/>
    <w:rsid w:val="001F6507"/>
    <w:rsid w:val="00204FF1"/>
    <w:rsid w:val="002122FA"/>
    <w:rsid w:val="002164A8"/>
    <w:rsid w:val="00224C5C"/>
    <w:rsid w:val="002260EF"/>
    <w:rsid w:val="002315B0"/>
    <w:rsid w:val="0024503D"/>
    <w:rsid w:val="00245358"/>
    <w:rsid w:val="00252497"/>
    <w:rsid w:val="00256E14"/>
    <w:rsid w:val="0026222C"/>
    <w:rsid w:val="00263F1B"/>
    <w:rsid w:val="00267CE2"/>
    <w:rsid w:val="00270E8A"/>
    <w:rsid w:val="00271744"/>
    <w:rsid w:val="002735FC"/>
    <w:rsid w:val="00276430"/>
    <w:rsid w:val="00287D9A"/>
    <w:rsid w:val="002A57D2"/>
    <w:rsid w:val="002B0B31"/>
    <w:rsid w:val="002B2786"/>
    <w:rsid w:val="002C30C5"/>
    <w:rsid w:val="002D0AC9"/>
    <w:rsid w:val="002D1D40"/>
    <w:rsid w:val="002D7143"/>
    <w:rsid w:val="002E6703"/>
    <w:rsid w:val="0030239C"/>
    <w:rsid w:val="00305756"/>
    <w:rsid w:val="00321E71"/>
    <w:rsid w:val="003253F2"/>
    <w:rsid w:val="00325A02"/>
    <w:rsid w:val="00327893"/>
    <w:rsid w:val="00343484"/>
    <w:rsid w:val="003469DA"/>
    <w:rsid w:val="003477F3"/>
    <w:rsid w:val="003603B7"/>
    <w:rsid w:val="00361A28"/>
    <w:rsid w:val="003638DE"/>
    <w:rsid w:val="00364282"/>
    <w:rsid w:val="003678F3"/>
    <w:rsid w:val="00367A8A"/>
    <w:rsid w:val="00376B51"/>
    <w:rsid w:val="00392012"/>
    <w:rsid w:val="00395C59"/>
    <w:rsid w:val="00397699"/>
    <w:rsid w:val="003B585E"/>
    <w:rsid w:val="003C1AC5"/>
    <w:rsid w:val="003C1C47"/>
    <w:rsid w:val="003D0B73"/>
    <w:rsid w:val="003D2202"/>
    <w:rsid w:val="003E1F61"/>
    <w:rsid w:val="003E2345"/>
    <w:rsid w:val="003E237A"/>
    <w:rsid w:val="003E5236"/>
    <w:rsid w:val="003E7BC5"/>
    <w:rsid w:val="004057D1"/>
    <w:rsid w:val="00410E36"/>
    <w:rsid w:val="00414BF5"/>
    <w:rsid w:val="004270F5"/>
    <w:rsid w:val="00430838"/>
    <w:rsid w:val="004344E5"/>
    <w:rsid w:val="00442F7E"/>
    <w:rsid w:val="00450C2D"/>
    <w:rsid w:val="004510D7"/>
    <w:rsid w:val="004547B6"/>
    <w:rsid w:val="00475803"/>
    <w:rsid w:val="00477DF1"/>
    <w:rsid w:val="0049382B"/>
    <w:rsid w:val="0049412E"/>
    <w:rsid w:val="004A0DC7"/>
    <w:rsid w:val="004A119E"/>
    <w:rsid w:val="004A400F"/>
    <w:rsid w:val="004A4082"/>
    <w:rsid w:val="004B0A24"/>
    <w:rsid w:val="004B39AE"/>
    <w:rsid w:val="004B5C02"/>
    <w:rsid w:val="004B69DF"/>
    <w:rsid w:val="004B74A2"/>
    <w:rsid w:val="004B7850"/>
    <w:rsid w:val="004B78DC"/>
    <w:rsid w:val="004C3081"/>
    <w:rsid w:val="004E2324"/>
    <w:rsid w:val="004E3AEE"/>
    <w:rsid w:val="004E3C01"/>
    <w:rsid w:val="004E6AB2"/>
    <w:rsid w:val="00504165"/>
    <w:rsid w:val="005045A6"/>
    <w:rsid w:val="00511FA3"/>
    <w:rsid w:val="0052337C"/>
    <w:rsid w:val="00526DD5"/>
    <w:rsid w:val="005327F7"/>
    <w:rsid w:val="00532F91"/>
    <w:rsid w:val="00535279"/>
    <w:rsid w:val="00545D65"/>
    <w:rsid w:val="0054753F"/>
    <w:rsid w:val="005608A2"/>
    <w:rsid w:val="00562EBB"/>
    <w:rsid w:val="00570BF6"/>
    <w:rsid w:val="00574239"/>
    <w:rsid w:val="0057474E"/>
    <w:rsid w:val="00596F66"/>
    <w:rsid w:val="005A2657"/>
    <w:rsid w:val="005A29AC"/>
    <w:rsid w:val="005A3C04"/>
    <w:rsid w:val="005A52DB"/>
    <w:rsid w:val="005A5CFD"/>
    <w:rsid w:val="005B188D"/>
    <w:rsid w:val="005B286E"/>
    <w:rsid w:val="005B2FCC"/>
    <w:rsid w:val="005B3394"/>
    <w:rsid w:val="005B6BB4"/>
    <w:rsid w:val="005D650B"/>
    <w:rsid w:val="005E5810"/>
    <w:rsid w:val="0060070E"/>
    <w:rsid w:val="006113DB"/>
    <w:rsid w:val="006144C5"/>
    <w:rsid w:val="00615B11"/>
    <w:rsid w:val="006207BD"/>
    <w:rsid w:val="00626948"/>
    <w:rsid w:val="006269BA"/>
    <w:rsid w:val="0063351D"/>
    <w:rsid w:val="00635432"/>
    <w:rsid w:val="006361BB"/>
    <w:rsid w:val="00642F3E"/>
    <w:rsid w:val="00644292"/>
    <w:rsid w:val="006455D7"/>
    <w:rsid w:val="006462BE"/>
    <w:rsid w:val="006477B0"/>
    <w:rsid w:val="00660595"/>
    <w:rsid w:val="006636F8"/>
    <w:rsid w:val="00665B94"/>
    <w:rsid w:val="00670278"/>
    <w:rsid w:val="00673A42"/>
    <w:rsid w:val="006819FA"/>
    <w:rsid w:val="006868BF"/>
    <w:rsid w:val="006A50D3"/>
    <w:rsid w:val="006A75E2"/>
    <w:rsid w:val="006D2A7C"/>
    <w:rsid w:val="006E4992"/>
    <w:rsid w:val="006F19FA"/>
    <w:rsid w:val="006F50DD"/>
    <w:rsid w:val="006F7FA6"/>
    <w:rsid w:val="00713D94"/>
    <w:rsid w:val="00716144"/>
    <w:rsid w:val="00730D24"/>
    <w:rsid w:val="00731405"/>
    <w:rsid w:val="00732773"/>
    <w:rsid w:val="0074182E"/>
    <w:rsid w:val="00761693"/>
    <w:rsid w:val="00767A10"/>
    <w:rsid w:val="007709B9"/>
    <w:rsid w:val="0077632E"/>
    <w:rsid w:val="00777BB4"/>
    <w:rsid w:val="00785CDA"/>
    <w:rsid w:val="007864AD"/>
    <w:rsid w:val="007901C2"/>
    <w:rsid w:val="007962FF"/>
    <w:rsid w:val="007974A4"/>
    <w:rsid w:val="007A5865"/>
    <w:rsid w:val="007B1412"/>
    <w:rsid w:val="007B6E48"/>
    <w:rsid w:val="007B7B09"/>
    <w:rsid w:val="007C297B"/>
    <w:rsid w:val="007D0625"/>
    <w:rsid w:val="007E2607"/>
    <w:rsid w:val="007E5C13"/>
    <w:rsid w:val="00804595"/>
    <w:rsid w:val="00804AE0"/>
    <w:rsid w:val="00805E99"/>
    <w:rsid w:val="008114FA"/>
    <w:rsid w:val="008265DA"/>
    <w:rsid w:val="00826D90"/>
    <w:rsid w:val="00833091"/>
    <w:rsid w:val="00842863"/>
    <w:rsid w:val="00843CE5"/>
    <w:rsid w:val="0085375A"/>
    <w:rsid w:val="008660A4"/>
    <w:rsid w:val="0086740A"/>
    <w:rsid w:val="00871F04"/>
    <w:rsid w:val="008868B9"/>
    <w:rsid w:val="00891A12"/>
    <w:rsid w:val="0089599D"/>
    <w:rsid w:val="00895A81"/>
    <w:rsid w:val="008961CA"/>
    <w:rsid w:val="008A3D7D"/>
    <w:rsid w:val="008A4601"/>
    <w:rsid w:val="008A7F99"/>
    <w:rsid w:val="008B0262"/>
    <w:rsid w:val="008B4383"/>
    <w:rsid w:val="008C19CC"/>
    <w:rsid w:val="008C1FC8"/>
    <w:rsid w:val="008D3E02"/>
    <w:rsid w:val="008D7239"/>
    <w:rsid w:val="008E0AE0"/>
    <w:rsid w:val="008E3ECD"/>
    <w:rsid w:val="008F1B6B"/>
    <w:rsid w:val="008F7985"/>
    <w:rsid w:val="00900A79"/>
    <w:rsid w:val="00901B4A"/>
    <w:rsid w:val="00901C1A"/>
    <w:rsid w:val="00903054"/>
    <w:rsid w:val="009119A8"/>
    <w:rsid w:val="00911F48"/>
    <w:rsid w:val="00916C19"/>
    <w:rsid w:val="00922E31"/>
    <w:rsid w:val="009243A8"/>
    <w:rsid w:val="009357C3"/>
    <w:rsid w:val="009437BF"/>
    <w:rsid w:val="00946146"/>
    <w:rsid w:val="00947D74"/>
    <w:rsid w:val="00950E07"/>
    <w:rsid w:val="00952C55"/>
    <w:rsid w:val="00956D23"/>
    <w:rsid w:val="009629DC"/>
    <w:rsid w:val="00963632"/>
    <w:rsid w:val="00971E96"/>
    <w:rsid w:val="0098024A"/>
    <w:rsid w:val="00980BFC"/>
    <w:rsid w:val="00980C4E"/>
    <w:rsid w:val="00983B3D"/>
    <w:rsid w:val="00991290"/>
    <w:rsid w:val="00995063"/>
    <w:rsid w:val="0099652C"/>
    <w:rsid w:val="00997AFB"/>
    <w:rsid w:val="00997DD8"/>
    <w:rsid w:val="009A1543"/>
    <w:rsid w:val="009B1961"/>
    <w:rsid w:val="009B25EF"/>
    <w:rsid w:val="009B2DC9"/>
    <w:rsid w:val="009B6985"/>
    <w:rsid w:val="009C281C"/>
    <w:rsid w:val="009D420B"/>
    <w:rsid w:val="009D6BFA"/>
    <w:rsid w:val="009E103A"/>
    <w:rsid w:val="009F073F"/>
    <w:rsid w:val="009F1121"/>
    <w:rsid w:val="00A15810"/>
    <w:rsid w:val="00A206AF"/>
    <w:rsid w:val="00A35835"/>
    <w:rsid w:val="00A4598F"/>
    <w:rsid w:val="00A470AC"/>
    <w:rsid w:val="00A54AA3"/>
    <w:rsid w:val="00A54DA3"/>
    <w:rsid w:val="00A6155E"/>
    <w:rsid w:val="00A619EB"/>
    <w:rsid w:val="00A63E5A"/>
    <w:rsid w:val="00A64B69"/>
    <w:rsid w:val="00A653FB"/>
    <w:rsid w:val="00A71DED"/>
    <w:rsid w:val="00A758CB"/>
    <w:rsid w:val="00A775BB"/>
    <w:rsid w:val="00A8126D"/>
    <w:rsid w:val="00A903EA"/>
    <w:rsid w:val="00AA27BE"/>
    <w:rsid w:val="00AA455F"/>
    <w:rsid w:val="00AA45FB"/>
    <w:rsid w:val="00AA6EA2"/>
    <w:rsid w:val="00AB2521"/>
    <w:rsid w:val="00AB744D"/>
    <w:rsid w:val="00AB77CD"/>
    <w:rsid w:val="00AC1901"/>
    <w:rsid w:val="00AC1A48"/>
    <w:rsid w:val="00AD0E14"/>
    <w:rsid w:val="00AD33CB"/>
    <w:rsid w:val="00AF5549"/>
    <w:rsid w:val="00B04D17"/>
    <w:rsid w:val="00B113F6"/>
    <w:rsid w:val="00B13121"/>
    <w:rsid w:val="00B177C2"/>
    <w:rsid w:val="00B25F90"/>
    <w:rsid w:val="00B30B34"/>
    <w:rsid w:val="00B3337F"/>
    <w:rsid w:val="00B5448E"/>
    <w:rsid w:val="00B54ECB"/>
    <w:rsid w:val="00B5656D"/>
    <w:rsid w:val="00B576ED"/>
    <w:rsid w:val="00B608E6"/>
    <w:rsid w:val="00B62C32"/>
    <w:rsid w:val="00B6385C"/>
    <w:rsid w:val="00B6782A"/>
    <w:rsid w:val="00B7587B"/>
    <w:rsid w:val="00B77D60"/>
    <w:rsid w:val="00B81528"/>
    <w:rsid w:val="00B81ECB"/>
    <w:rsid w:val="00B8200F"/>
    <w:rsid w:val="00B840A9"/>
    <w:rsid w:val="00B93FE3"/>
    <w:rsid w:val="00B94095"/>
    <w:rsid w:val="00BA1BB8"/>
    <w:rsid w:val="00BA424C"/>
    <w:rsid w:val="00BA4334"/>
    <w:rsid w:val="00BA44E6"/>
    <w:rsid w:val="00BA7298"/>
    <w:rsid w:val="00BB2FAE"/>
    <w:rsid w:val="00BB4865"/>
    <w:rsid w:val="00BC07AF"/>
    <w:rsid w:val="00BD0FD0"/>
    <w:rsid w:val="00BD4A27"/>
    <w:rsid w:val="00BE2C5F"/>
    <w:rsid w:val="00BE36A7"/>
    <w:rsid w:val="00BE4A5B"/>
    <w:rsid w:val="00BE5CF4"/>
    <w:rsid w:val="00BE64DC"/>
    <w:rsid w:val="00BF242C"/>
    <w:rsid w:val="00BF2E5A"/>
    <w:rsid w:val="00C014FB"/>
    <w:rsid w:val="00C02A15"/>
    <w:rsid w:val="00C1712D"/>
    <w:rsid w:val="00C2491F"/>
    <w:rsid w:val="00C25E5E"/>
    <w:rsid w:val="00C2750B"/>
    <w:rsid w:val="00C312A7"/>
    <w:rsid w:val="00C3387F"/>
    <w:rsid w:val="00C33C04"/>
    <w:rsid w:val="00C34341"/>
    <w:rsid w:val="00C35A78"/>
    <w:rsid w:val="00C37144"/>
    <w:rsid w:val="00C373A7"/>
    <w:rsid w:val="00C440AA"/>
    <w:rsid w:val="00C44D6E"/>
    <w:rsid w:val="00C45524"/>
    <w:rsid w:val="00C51469"/>
    <w:rsid w:val="00C53A8A"/>
    <w:rsid w:val="00C5762C"/>
    <w:rsid w:val="00C64ABB"/>
    <w:rsid w:val="00C64DA8"/>
    <w:rsid w:val="00C671EB"/>
    <w:rsid w:val="00C70702"/>
    <w:rsid w:val="00C76095"/>
    <w:rsid w:val="00C7646C"/>
    <w:rsid w:val="00C77361"/>
    <w:rsid w:val="00C81000"/>
    <w:rsid w:val="00C83872"/>
    <w:rsid w:val="00C83924"/>
    <w:rsid w:val="00C8758C"/>
    <w:rsid w:val="00C90720"/>
    <w:rsid w:val="00C971FF"/>
    <w:rsid w:val="00CA473C"/>
    <w:rsid w:val="00CA600C"/>
    <w:rsid w:val="00CB2184"/>
    <w:rsid w:val="00CB226C"/>
    <w:rsid w:val="00CB4AED"/>
    <w:rsid w:val="00CB4D71"/>
    <w:rsid w:val="00CC5474"/>
    <w:rsid w:val="00CD1791"/>
    <w:rsid w:val="00CD603F"/>
    <w:rsid w:val="00CE331D"/>
    <w:rsid w:val="00CE5649"/>
    <w:rsid w:val="00CE7A97"/>
    <w:rsid w:val="00CF45EF"/>
    <w:rsid w:val="00CF5CF0"/>
    <w:rsid w:val="00D0027B"/>
    <w:rsid w:val="00D05CB8"/>
    <w:rsid w:val="00D165D6"/>
    <w:rsid w:val="00D2463E"/>
    <w:rsid w:val="00D2504B"/>
    <w:rsid w:val="00D351AA"/>
    <w:rsid w:val="00D43569"/>
    <w:rsid w:val="00D47C73"/>
    <w:rsid w:val="00D47E66"/>
    <w:rsid w:val="00D531AB"/>
    <w:rsid w:val="00D53A51"/>
    <w:rsid w:val="00D617AC"/>
    <w:rsid w:val="00D628E4"/>
    <w:rsid w:val="00D709A6"/>
    <w:rsid w:val="00D716E5"/>
    <w:rsid w:val="00D8044B"/>
    <w:rsid w:val="00D83FFD"/>
    <w:rsid w:val="00D91079"/>
    <w:rsid w:val="00D94CBA"/>
    <w:rsid w:val="00D9609D"/>
    <w:rsid w:val="00D96A4E"/>
    <w:rsid w:val="00D96F4E"/>
    <w:rsid w:val="00DC0055"/>
    <w:rsid w:val="00DC5C8D"/>
    <w:rsid w:val="00DD022C"/>
    <w:rsid w:val="00DD19A0"/>
    <w:rsid w:val="00DD38E6"/>
    <w:rsid w:val="00DD4A3E"/>
    <w:rsid w:val="00DD7C18"/>
    <w:rsid w:val="00DD7E89"/>
    <w:rsid w:val="00DE32C4"/>
    <w:rsid w:val="00DE62C8"/>
    <w:rsid w:val="00DF36D0"/>
    <w:rsid w:val="00DF77DA"/>
    <w:rsid w:val="00E02079"/>
    <w:rsid w:val="00E0300B"/>
    <w:rsid w:val="00E202C8"/>
    <w:rsid w:val="00E24221"/>
    <w:rsid w:val="00E24EC1"/>
    <w:rsid w:val="00E25116"/>
    <w:rsid w:val="00E2750C"/>
    <w:rsid w:val="00E43086"/>
    <w:rsid w:val="00E46906"/>
    <w:rsid w:val="00E610D1"/>
    <w:rsid w:val="00E614AE"/>
    <w:rsid w:val="00E61F4A"/>
    <w:rsid w:val="00E6281E"/>
    <w:rsid w:val="00E63294"/>
    <w:rsid w:val="00E63A11"/>
    <w:rsid w:val="00E64C38"/>
    <w:rsid w:val="00E6539E"/>
    <w:rsid w:val="00E66262"/>
    <w:rsid w:val="00E67CED"/>
    <w:rsid w:val="00E73736"/>
    <w:rsid w:val="00E771EA"/>
    <w:rsid w:val="00E80106"/>
    <w:rsid w:val="00E8513E"/>
    <w:rsid w:val="00E8679A"/>
    <w:rsid w:val="00E902DC"/>
    <w:rsid w:val="00E91E79"/>
    <w:rsid w:val="00E96A3C"/>
    <w:rsid w:val="00E97794"/>
    <w:rsid w:val="00EA3BF9"/>
    <w:rsid w:val="00EB22E1"/>
    <w:rsid w:val="00EB6AB4"/>
    <w:rsid w:val="00ED473A"/>
    <w:rsid w:val="00ED5654"/>
    <w:rsid w:val="00EE28BA"/>
    <w:rsid w:val="00EE4822"/>
    <w:rsid w:val="00EE7D48"/>
    <w:rsid w:val="00EF3188"/>
    <w:rsid w:val="00EF52C3"/>
    <w:rsid w:val="00F03301"/>
    <w:rsid w:val="00F05302"/>
    <w:rsid w:val="00F21163"/>
    <w:rsid w:val="00F25B62"/>
    <w:rsid w:val="00F3793B"/>
    <w:rsid w:val="00F44FB3"/>
    <w:rsid w:val="00F55CF0"/>
    <w:rsid w:val="00F74B72"/>
    <w:rsid w:val="00F82307"/>
    <w:rsid w:val="00F8296A"/>
    <w:rsid w:val="00F87CDC"/>
    <w:rsid w:val="00F91A4B"/>
    <w:rsid w:val="00F930DA"/>
    <w:rsid w:val="00F97702"/>
    <w:rsid w:val="00F97767"/>
    <w:rsid w:val="00FB4037"/>
    <w:rsid w:val="00FB4758"/>
    <w:rsid w:val="00FC3B95"/>
    <w:rsid w:val="00FC6B89"/>
    <w:rsid w:val="00FC7C9B"/>
    <w:rsid w:val="00FD3A29"/>
    <w:rsid w:val="00FD729D"/>
    <w:rsid w:val="00FF0E3F"/>
    <w:rsid w:val="00FF3E09"/>
    <w:rsid w:val="00FF5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98D8B"/>
  <w15:docId w15:val="{BB0049A7-1989-4B69-A8D2-0BA1E51E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F0"/>
    <w:rPr>
      <w:sz w:val="24"/>
      <w:szCs w:val="24"/>
    </w:rPr>
  </w:style>
  <w:style w:type="paragraph" w:styleId="Heading1">
    <w:name w:val="heading 1"/>
    <w:basedOn w:val="Normal"/>
    <w:next w:val="Normal"/>
    <w:link w:val="Heading1Char"/>
    <w:qFormat/>
    <w:rsid w:val="00D709A6"/>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outlineLvl w:val="0"/>
    </w:pPr>
    <w:rPr>
      <w:szCs w:val="22"/>
    </w:rPr>
  </w:style>
  <w:style w:type="paragraph" w:styleId="Heading2">
    <w:name w:val="heading 2"/>
    <w:basedOn w:val="Normal"/>
    <w:next w:val="Normal"/>
    <w:link w:val="Heading2Char"/>
    <w:qFormat/>
    <w:rsid w:val="00D709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60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09A6"/>
    <w:pPr>
      <w:keepNext/>
      <w:spacing w:before="240" w:after="60"/>
      <w:outlineLvl w:val="3"/>
    </w:pPr>
    <w:rPr>
      <w:b/>
      <w:bCs/>
      <w:sz w:val="28"/>
      <w:szCs w:val="28"/>
    </w:rPr>
  </w:style>
  <w:style w:type="paragraph" w:styleId="Heading5">
    <w:name w:val="heading 5"/>
    <w:basedOn w:val="Normal"/>
    <w:next w:val="Normal"/>
    <w:link w:val="Heading5Char"/>
    <w:qFormat/>
    <w:rsid w:val="00D709A6"/>
    <w:pPr>
      <w:keepNext/>
      <w:keepLines/>
      <w:pageBreakBefore/>
      <w:widowControl w:val="0"/>
      <w:autoSpaceDE w:val="0"/>
      <w:autoSpaceDN w:val="0"/>
      <w:adjustRightInd w:val="0"/>
      <w:outlineLvl w:val="4"/>
    </w:pPr>
    <w:rPr>
      <w:rFonts w:ascii="Arial" w:hAnsi="Arial" w:cs="Arial"/>
      <w:b/>
      <w:bCs/>
      <w:color w:val="000000"/>
      <w:sz w:val="22"/>
      <w:szCs w:val="22"/>
    </w:rPr>
  </w:style>
  <w:style w:type="paragraph" w:styleId="Heading6">
    <w:name w:val="heading 6"/>
    <w:basedOn w:val="Normal"/>
    <w:next w:val="Normal"/>
    <w:link w:val="Heading6Char"/>
    <w:qFormat/>
    <w:rsid w:val="00D709A6"/>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outlineLvl w:val="5"/>
    </w:pPr>
    <w:rPr>
      <w:rFonts w:ascii="Arial" w:hAnsi="Arial" w:cs="Arial"/>
      <w:sz w:val="32"/>
    </w:rPr>
  </w:style>
  <w:style w:type="paragraph" w:styleId="Heading7">
    <w:name w:val="heading 7"/>
    <w:basedOn w:val="Normal"/>
    <w:next w:val="Normal"/>
    <w:link w:val="Heading7Char"/>
    <w:qFormat/>
    <w:rsid w:val="00D709A6"/>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outlineLvl w:val="6"/>
    </w:pPr>
    <w:rPr>
      <w:b/>
      <w:bCs/>
      <w:sz w:val="28"/>
      <w:szCs w:val="22"/>
    </w:rPr>
  </w:style>
  <w:style w:type="paragraph" w:styleId="Heading8">
    <w:name w:val="heading 8"/>
    <w:basedOn w:val="Normal"/>
    <w:next w:val="Normal"/>
    <w:link w:val="Heading8Char"/>
    <w:qFormat/>
    <w:rsid w:val="00D709A6"/>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360" w:hanging="360"/>
      <w:outlineLvl w:val="7"/>
    </w:pPr>
    <w:rPr>
      <w:rFonts w:ascii="Arial" w:hAnsi="Arial" w:cs="Arial"/>
      <w:sz w:val="28"/>
      <w:szCs w:val="32"/>
    </w:rPr>
  </w:style>
  <w:style w:type="paragraph" w:styleId="Heading9">
    <w:name w:val="heading 9"/>
    <w:basedOn w:val="Normal"/>
    <w:next w:val="Normal"/>
    <w:link w:val="Heading9Char"/>
    <w:qFormat/>
    <w:rsid w:val="00D709A6"/>
    <w:pPr>
      <w:keepNext/>
      <w:keepLines/>
      <w:ind w:left="360" w:hanging="360"/>
      <w:outlineLvl w:val="8"/>
    </w:pPr>
    <w:rPr>
      <w:rFonts w:ascii="Arial" w:hAnsi="Arial"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H2"/>
    <w:next w:val="Bodynoindent"/>
    <w:link w:val="H3Char"/>
    <w:rsid w:val="00246036"/>
    <w:pPr>
      <w:shd w:val="clear" w:color="auto" w:fill="auto"/>
    </w:pPr>
  </w:style>
  <w:style w:type="paragraph" w:customStyle="1" w:styleId="H2">
    <w:name w:val="H2"/>
    <w:basedOn w:val="Bodynoindent"/>
    <w:next w:val="Bodynoindent"/>
    <w:rsid w:val="00246036"/>
    <w:pPr>
      <w:keepNext/>
      <w:shd w:val="clear" w:color="auto" w:fill="CCCCCC"/>
      <w:spacing w:before="240" w:after="240"/>
    </w:pPr>
    <w:rPr>
      <w:rFonts w:ascii="Arial Narrow" w:hAnsi="Arial Narrow"/>
      <w:b/>
      <w:sz w:val="28"/>
    </w:rPr>
  </w:style>
  <w:style w:type="paragraph" w:customStyle="1" w:styleId="Bodynoindent">
    <w:name w:val="Body_no_indent"/>
    <w:basedOn w:val="Body"/>
    <w:next w:val="Body"/>
    <w:link w:val="BodynoindentChar"/>
    <w:qFormat/>
    <w:rsid w:val="00246036"/>
    <w:pPr>
      <w:ind w:firstLine="0"/>
    </w:pPr>
  </w:style>
  <w:style w:type="paragraph" w:customStyle="1" w:styleId="Body">
    <w:name w:val="Body"/>
    <w:basedOn w:val="Normal"/>
    <w:link w:val="BodyChar1"/>
    <w:rsid w:val="00246036"/>
    <w:pPr>
      <w:ind w:firstLine="360"/>
      <w:jc w:val="both"/>
    </w:pPr>
    <w:rPr>
      <w:sz w:val="22"/>
      <w:lang w:val="x-none" w:eastAsia="x-none"/>
    </w:rPr>
  </w:style>
  <w:style w:type="paragraph" w:customStyle="1" w:styleId="TOCSummary">
    <w:name w:val="TOC_Summary"/>
    <w:basedOn w:val="Bodynoindent"/>
    <w:next w:val="Bodynoindent"/>
    <w:link w:val="TOCSummaryChar"/>
    <w:rsid w:val="00246036"/>
    <w:pPr>
      <w:shd w:val="clear" w:color="auto" w:fill="CCCCCC"/>
      <w:ind w:firstLine="720"/>
      <w:jc w:val="left"/>
    </w:pPr>
    <w:rPr>
      <w:rFonts w:ascii="Arial Narrow" w:hAnsi="Arial Narrow"/>
      <w:sz w:val="24"/>
    </w:rPr>
  </w:style>
  <w:style w:type="paragraph" w:customStyle="1" w:styleId="H1">
    <w:name w:val="H1"/>
    <w:basedOn w:val="Normal"/>
    <w:next w:val="H1Summary"/>
    <w:link w:val="H1Char"/>
    <w:rsid w:val="00246036"/>
    <w:pPr>
      <w:keepNext/>
      <w:shd w:val="clear" w:color="auto" w:fill="CCCCCC"/>
      <w:spacing w:before="240" w:after="120"/>
    </w:pPr>
    <w:rPr>
      <w:rFonts w:ascii="Arial Narrow" w:hAnsi="Arial Narrow"/>
      <w:b/>
      <w:caps/>
      <w:sz w:val="36"/>
      <w:lang w:val="x-none" w:eastAsia="x-none"/>
    </w:rPr>
  </w:style>
  <w:style w:type="paragraph" w:customStyle="1" w:styleId="H4">
    <w:name w:val="H4"/>
    <w:basedOn w:val="H3"/>
    <w:next w:val="Bodynoindent"/>
    <w:rsid w:val="00715829"/>
    <w:pPr>
      <w:spacing w:after="120"/>
    </w:pPr>
    <w:rPr>
      <w:i/>
      <w:sz w:val="22"/>
    </w:rPr>
  </w:style>
  <w:style w:type="paragraph" w:customStyle="1" w:styleId="BL">
    <w:name w:val="BL"/>
    <w:basedOn w:val="Normal"/>
    <w:link w:val="BLChar"/>
    <w:rsid w:val="00246036"/>
    <w:pPr>
      <w:numPr>
        <w:numId w:val="5"/>
      </w:numPr>
      <w:spacing w:before="60" w:after="60"/>
      <w:jc w:val="both"/>
    </w:pPr>
    <w:rPr>
      <w:sz w:val="22"/>
    </w:rPr>
  </w:style>
  <w:style w:type="paragraph" w:customStyle="1" w:styleId="Note">
    <w:name w:val="Note"/>
    <w:basedOn w:val="Normal"/>
    <w:rsid w:val="00246036"/>
    <w:pPr>
      <w:pBdr>
        <w:top w:val="single" w:sz="4" w:space="1" w:color="auto"/>
        <w:left w:val="single" w:sz="4" w:space="4" w:color="auto"/>
        <w:bottom w:val="single" w:sz="4" w:space="1" w:color="auto"/>
        <w:right w:val="single" w:sz="4" w:space="4" w:color="auto"/>
      </w:pBdr>
      <w:spacing w:before="60" w:after="60"/>
    </w:pPr>
    <w:rPr>
      <w:sz w:val="20"/>
    </w:rPr>
  </w:style>
  <w:style w:type="paragraph" w:customStyle="1" w:styleId="CellBody">
    <w:name w:val="CellBody"/>
    <w:basedOn w:val="Bodynoindent"/>
    <w:rsid w:val="00496A52"/>
    <w:pPr>
      <w:ind w:left="144" w:hanging="144"/>
      <w:jc w:val="left"/>
    </w:pPr>
    <w:rPr>
      <w:rFonts w:ascii="Arial Narrow" w:hAnsi="Arial Narrow"/>
    </w:rPr>
  </w:style>
  <w:style w:type="paragraph" w:customStyle="1" w:styleId="CellHeading">
    <w:name w:val="CellHeading"/>
    <w:basedOn w:val="CellBody"/>
    <w:next w:val="CellBody"/>
    <w:link w:val="CellHeadingChar"/>
    <w:rsid w:val="00246036"/>
    <w:pPr>
      <w:spacing w:before="120"/>
    </w:pPr>
    <w:rPr>
      <w:b/>
    </w:rPr>
  </w:style>
  <w:style w:type="paragraph" w:customStyle="1" w:styleId="FigNumber">
    <w:name w:val="Fig_Number"/>
    <w:basedOn w:val="H4"/>
    <w:next w:val="Bodynoindent"/>
    <w:rsid w:val="00A90B27"/>
    <w:pPr>
      <w:jc w:val="center"/>
    </w:pPr>
    <w:rPr>
      <w:szCs w:val="22"/>
    </w:rPr>
  </w:style>
  <w:style w:type="paragraph" w:customStyle="1" w:styleId="CT">
    <w:name w:val="CT"/>
    <w:basedOn w:val="Normal"/>
    <w:next w:val="CN"/>
    <w:rsid w:val="00246036"/>
    <w:pPr>
      <w:spacing w:before="240" w:after="240"/>
      <w:jc w:val="right"/>
    </w:pPr>
    <w:rPr>
      <w:rFonts w:ascii="Arial Narrow" w:hAnsi="Arial Narrow"/>
      <w:b/>
      <w:caps/>
      <w:sz w:val="56"/>
    </w:rPr>
  </w:style>
  <w:style w:type="paragraph" w:customStyle="1" w:styleId="CN">
    <w:name w:val="CN"/>
    <w:basedOn w:val="CT"/>
    <w:next w:val="H1"/>
    <w:rsid w:val="00246036"/>
    <w:rPr>
      <w:sz w:val="240"/>
    </w:rPr>
  </w:style>
  <w:style w:type="paragraph" w:customStyle="1" w:styleId="subalpha">
    <w:name w:val="sub_alpha"/>
    <w:basedOn w:val="Normal"/>
    <w:rsid w:val="00246036"/>
    <w:pPr>
      <w:numPr>
        <w:numId w:val="2"/>
      </w:numPr>
      <w:spacing w:after="60"/>
      <w:jc w:val="both"/>
    </w:pPr>
    <w:rPr>
      <w:sz w:val="22"/>
    </w:rPr>
  </w:style>
  <w:style w:type="paragraph" w:customStyle="1" w:styleId="NL">
    <w:name w:val="NL"/>
    <w:basedOn w:val="Normal"/>
    <w:rsid w:val="00246036"/>
    <w:pPr>
      <w:numPr>
        <w:numId w:val="14"/>
      </w:numPr>
      <w:spacing w:before="60" w:after="60"/>
      <w:jc w:val="both"/>
    </w:pPr>
    <w:rPr>
      <w:sz w:val="22"/>
    </w:rPr>
  </w:style>
  <w:style w:type="paragraph" w:customStyle="1" w:styleId="Example">
    <w:name w:val="Example"/>
    <w:basedOn w:val="H4"/>
    <w:next w:val="Bodynoindent"/>
    <w:qFormat/>
    <w:rsid w:val="00A91C3F"/>
    <w:rPr>
      <w:i w:val="0"/>
    </w:rPr>
  </w:style>
  <w:style w:type="paragraph" w:customStyle="1" w:styleId="subNL">
    <w:name w:val="sub_NL"/>
    <w:basedOn w:val="subalpha"/>
    <w:rsid w:val="00246036"/>
    <w:pPr>
      <w:numPr>
        <w:numId w:val="1"/>
      </w:numPr>
    </w:pPr>
  </w:style>
  <w:style w:type="paragraph" w:customStyle="1" w:styleId="NoteHead">
    <w:name w:val="Note_Head"/>
    <w:basedOn w:val="Note"/>
    <w:next w:val="NoteTitle"/>
    <w:link w:val="NoteHeadChar"/>
    <w:qFormat/>
    <w:rsid w:val="00246036"/>
    <w:pPr>
      <w:spacing w:after="0"/>
    </w:pPr>
    <w:rPr>
      <w:b/>
    </w:rPr>
  </w:style>
  <w:style w:type="paragraph" w:customStyle="1" w:styleId="subBL">
    <w:name w:val="sub_BL"/>
    <w:basedOn w:val="BL"/>
    <w:rsid w:val="00246036"/>
    <w:pPr>
      <w:numPr>
        <w:numId w:val="6"/>
      </w:numPr>
      <w:spacing w:before="40" w:after="40"/>
    </w:pPr>
  </w:style>
  <w:style w:type="character" w:customStyle="1" w:styleId="Exampleend">
    <w:name w:val="Example_end"/>
    <w:rsid w:val="00246036"/>
    <w:rPr>
      <w:color w:val="FFFFFF"/>
      <w:bdr w:val="none" w:sz="0" w:space="0" w:color="auto"/>
      <w:shd w:val="solid" w:color="auto" w:fill="000000"/>
    </w:rPr>
  </w:style>
  <w:style w:type="paragraph" w:styleId="Header">
    <w:name w:val="header"/>
    <w:basedOn w:val="Normal"/>
    <w:link w:val="HeaderChar"/>
    <w:rsid w:val="00246036"/>
    <w:pPr>
      <w:tabs>
        <w:tab w:val="center" w:pos="4320"/>
        <w:tab w:val="right" w:pos="8640"/>
      </w:tabs>
    </w:pPr>
  </w:style>
  <w:style w:type="paragraph" w:styleId="Footer">
    <w:name w:val="footer"/>
    <w:basedOn w:val="Normal"/>
    <w:link w:val="FooterChar"/>
    <w:uiPriority w:val="99"/>
    <w:rsid w:val="00246036"/>
    <w:pPr>
      <w:pBdr>
        <w:top w:val="single" w:sz="4" w:space="1" w:color="auto"/>
      </w:pBdr>
      <w:tabs>
        <w:tab w:val="center" w:pos="4320"/>
        <w:tab w:val="right" w:pos="8640"/>
      </w:tabs>
    </w:pPr>
    <w:rPr>
      <w:rFonts w:ascii="Arial Narrow" w:hAnsi="Arial Narrow"/>
      <w:b/>
    </w:rPr>
  </w:style>
  <w:style w:type="character" w:styleId="PageNumber">
    <w:name w:val="page number"/>
    <w:basedOn w:val="DefaultParagraphFont"/>
    <w:rsid w:val="00246036"/>
  </w:style>
  <w:style w:type="paragraph" w:customStyle="1" w:styleId="UL">
    <w:name w:val="UL"/>
    <w:basedOn w:val="Bodynoindent"/>
    <w:rsid w:val="00246036"/>
    <w:pPr>
      <w:tabs>
        <w:tab w:val="left" w:pos="720"/>
        <w:tab w:val="left" w:pos="1080"/>
        <w:tab w:val="left" w:pos="1440"/>
        <w:tab w:val="left" w:pos="1800"/>
        <w:tab w:val="left" w:pos="2160"/>
      </w:tabs>
      <w:spacing w:after="60"/>
      <w:ind w:left="360"/>
      <w:jc w:val="left"/>
    </w:pPr>
  </w:style>
  <w:style w:type="paragraph" w:customStyle="1" w:styleId="ULfirst">
    <w:name w:val="UL_first"/>
    <w:basedOn w:val="UL"/>
    <w:next w:val="UL"/>
    <w:rsid w:val="00246036"/>
    <w:pPr>
      <w:spacing w:before="240"/>
    </w:pPr>
  </w:style>
  <w:style w:type="paragraph" w:customStyle="1" w:styleId="ULlast">
    <w:name w:val="UL_last"/>
    <w:basedOn w:val="UL"/>
    <w:next w:val="Body"/>
    <w:rsid w:val="00246036"/>
    <w:pPr>
      <w:spacing w:after="240"/>
    </w:pPr>
  </w:style>
  <w:style w:type="paragraph" w:customStyle="1" w:styleId="CellBodyfirst">
    <w:name w:val="CellBody_first"/>
    <w:basedOn w:val="CellBody"/>
    <w:next w:val="CellBody"/>
    <w:link w:val="CellBodyfirstChar"/>
    <w:rsid w:val="00496A52"/>
    <w:pPr>
      <w:spacing w:before="120"/>
    </w:pPr>
  </w:style>
  <w:style w:type="paragraph" w:customStyle="1" w:styleId="noteBL">
    <w:name w:val="note_BL"/>
    <w:basedOn w:val="Note"/>
    <w:rsid w:val="00246036"/>
    <w:pPr>
      <w:numPr>
        <w:numId w:val="4"/>
      </w:numPr>
      <w:pBdr>
        <w:left w:val="single" w:sz="4" w:space="22" w:color="auto"/>
      </w:pBdr>
      <w:spacing w:before="0" w:after="0"/>
    </w:pPr>
  </w:style>
  <w:style w:type="paragraph" w:customStyle="1" w:styleId="CellHeadingC">
    <w:name w:val="CellHeadingC"/>
    <w:basedOn w:val="CellHeading"/>
    <w:rsid w:val="006F4F09"/>
    <w:pPr>
      <w:ind w:left="0" w:firstLine="0"/>
      <w:jc w:val="center"/>
    </w:pPr>
  </w:style>
  <w:style w:type="paragraph" w:customStyle="1" w:styleId="CellHeadingR">
    <w:name w:val="CellHeadingR"/>
    <w:basedOn w:val="CellHeading"/>
    <w:rsid w:val="006F4F09"/>
    <w:pPr>
      <w:ind w:left="0" w:firstLine="0"/>
      <w:jc w:val="right"/>
    </w:pPr>
  </w:style>
  <w:style w:type="paragraph" w:customStyle="1" w:styleId="CellBodyCfirst">
    <w:name w:val="CellBodyC_first"/>
    <w:basedOn w:val="CellBodyfirst"/>
    <w:link w:val="CellBodyCfirstChar"/>
    <w:rsid w:val="006F4F09"/>
    <w:pPr>
      <w:ind w:left="0" w:firstLine="0"/>
      <w:jc w:val="center"/>
    </w:pPr>
  </w:style>
  <w:style w:type="paragraph" w:customStyle="1" w:styleId="CellBodyRfirst">
    <w:name w:val="CellBodyR_first"/>
    <w:basedOn w:val="CellBodyfirst"/>
    <w:rsid w:val="006F4F09"/>
    <w:pPr>
      <w:ind w:left="0" w:firstLine="0"/>
      <w:jc w:val="right"/>
    </w:pPr>
  </w:style>
  <w:style w:type="paragraph" w:customStyle="1" w:styleId="CellBodyC">
    <w:name w:val="CellBodyC"/>
    <w:basedOn w:val="CellBody"/>
    <w:rsid w:val="006F4F09"/>
    <w:pPr>
      <w:ind w:left="0" w:firstLine="0"/>
      <w:jc w:val="center"/>
    </w:pPr>
  </w:style>
  <w:style w:type="paragraph" w:customStyle="1" w:styleId="CellBodyR">
    <w:name w:val="CellBodyR"/>
    <w:basedOn w:val="CellBody"/>
    <w:link w:val="CellBodyRChar"/>
    <w:rsid w:val="006F4F09"/>
    <w:pPr>
      <w:ind w:left="0" w:firstLine="0"/>
      <w:jc w:val="right"/>
    </w:pPr>
  </w:style>
  <w:style w:type="paragraph" w:customStyle="1" w:styleId="listcontinue">
    <w:name w:val="list_continue"/>
    <w:basedOn w:val="NL"/>
    <w:rsid w:val="00246036"/>
    <w:pPr>
      <w:numPr>
        <w:numId w:val="0"/>
      </w:numPr>
      <w:tabs>
        <w:tab w:val="left" w:pos="360"/>
      </w:tabs>
      <w:ind w:left="360"/>
    </w:pPr>
  </w:style>
  <w:style w:type="paragraph" w:customStyle="1" w:styleId="NLcontinue">
    <w:name w:val="NL_continue"/>
    <w:basedOn w:val="NL"/>
    <w:rsid w:val="00246036"/>
    <w:pPr>
      <w:numPr>
        <w:numId w:val="0"/>
      </w:numPr>
      <w:tabs>
        <w:tab w:val="left" w:pos="360"/>
      </w:tabs>
      <w:ind w:left="360"/>
    </w:pPr>
  </w:style>
  <w:style w:type="paragraph" w:customStyle="1" w:styleId="subcontinue">
    <w:name w:val="sub_continue"/>
    <w:basedOn w:val="subBL"/>
    <w:rsid w:val="00246036"/>
    <w:pPr>
      <w:numPr>
        <w:numId w:val="0"/>
      </w:numPr>
      <w:ind w:left="720"/>
    </w:pPr>
  </w:style>
  <w:style w:type="paragraph" w:customStyle="1" w:styleId="InlineFigure">
    <w:name w:val="InlineFigure"/>
    <w:basedOn w:val="Bodynoindent"/>
    <w:next w:val="Body"/>
    <w:rsid w:val="00246036"/>
    <w:pPr>
      <w:spacing w:before="120" w:after="120"/>
      <w:jc w:val="center"/>
    </w:pPr>
  </w:style>
  <w:style w:type="paragraph" w:customStyle="1" w:styleId="CellBodySubtotal">
    <w:name w:val="CellBodySubtotal"/>
    <w:basedOn w:val="CellBodyR"/>
    <w:rsid w:val="00614122"/>
    <w:rPr>
      <w:u w:val="single"/>
    </w:rPr>
  </w:style>
  <w:style w:type="paragraph" w:customStyle="1" w:styleId="CellBodyTotal">
    <w:name w:val="CellBodyTotal"/>
    <w:basedOn w:val="CellBodySubtotal"/>
    <w:rsid w:val="00246036"/>
    <w:rPr>
      <w:u w:val="double"/>
    </w:rPr>
  </w:style>
  <w:style w:type="paragraph" w:customStyle="1" w:styleId="H1Summary">
    <w:name w:val="H1_Summary"/>
    <w:basedOn w:val="TOCSummary"/>
    <w:next w:val="Bodynoindent"/>
    <w:link w:val="H1SummaryChar"/>
    <w:rsid w:val="00532F91"/>
    <w:pPr>
      <w:spacing w:after="120"/>
      <w:ind w:firstLine="0"/>
    </w:pPr>
    <w:rPr>
      <w:sz w:val="28"/>
    </w:rPr>
  </w:style>
  <w:style w:type="paragraph" w:customStyle="1" w:styleId="H5">
    <w:name w:val="H5"/>
    <w:basedOn w:val="H4"/>
    <w:next w:val="Bodynoindent"/>
    <w:rsid w:val="00327E13"/>
    <w:rPr>
      <w:rFonts w:ascii="Times New Roman" w:hAnsi="Times New Roman"/>
      <w:i w:val="0"/>
      <w:sz w:val="24"/>
    </w:rPr>
  </w:style>
  <w:style w:type="paragraph" w:customStyle="1" w:styleId="HA">
    <w:name w:val="HA"/>
    <w:basedOn w:val="Example"/>
    <w:next w:val="Bodynoindent"/>
    <w:link w:val="HAChar"/>
    <w:rsid w:val="00715829"/>
    <w:pPr>
      <w:spacing w:before="120" w:after="0"/>
    </w:pPr>
  </w:style>
  <w:style w:type="paragraph" w:customStyle="1" w:styleId="QT">
    <w:name w:val="QT"/>
    <w:basedOn w:val="Bodynoindent"/>
    <w:next w:val="HA"/>
    <w:link w:val="QTChar"/>
    <w:rsid w:val="00715829"/>
  </w:style>
  <w:style w:type="paragraph" w:customStyle="1" w:styleId="HQ">
    <w:name w:val="HQ"/>
    <w:basedOn w:val="HA"/>
    <w:next w:val="QT"/>
    <w:link w:val="HQChar"/>
    <w:rsid w:val="00715829"/>
  </w:style>
  <w:style w:type="paragraph" w:customStyle="1" w:styleId="NoteTitle">
    <w:name w:val="NoteTitle"/>
    <w:basedOn w:val="Note"/>
    <w:next w:val="Note"/>
    <w:link w:val="NoteTitleChar"/>
    <w:rsid w:val="00671DC3"/>
    <w:rPr>
      <w:rFonts w:ascii="Arial" w:hAnsi="Arial"/>
    </w:rPr>
  </w:style>
  <w:style w:type="paragraph" w:customStyle="1" w:styleId="SBTextIndent">
    <w:name w:val="SBTextIndent"/>
    <w:basedOn w:val="Body"/>
    <w:rsid w:val="00F223E9"/>
    <w:pPr>
      <w:shd w:val="clear" w:color="auto" w:fill="CCCCCC"/>
      <w:ind w:left="2160" w:right="2160"/>
      <w:jc w:val="left"/>
    </w:pPr>
  </w:style>
  <w:style w:type="paragraph" w:customStyle="1" w:styleId="SBText">
    <w:name w:val="SBText"/>
    <w:basedOn w:val="Bodynoindent"/>
    <w:next w:val="SBTextIndent"/>
    <w:link w:val="SBTextChar"/>
    <w:rsid w:val="00727A2E"/>
    <w:pPr>
      <w:shd w:val="clear" w:color="auto" w:fill="CCCCCC"/>
      <w:ind w:left="2160" w:right="2160"/>
      <w:jc w:val="left"/>
    </w:pPr>
  </w:style>
  <w:style w:type="paragraph" w:customStyle="1" w:styleId="SBH1">
    <w:name w:val="SBH1"/>
    <w:basedOn w:val="H4"/>
    <w:next w:val="SBText"/>
    <w:rsid w:val="00933988"/>
    <w:pPr>
      <w:shd w:val="clear" w:color="auto" w:fill="CCCCCC"/>
      <w:ind w:left="2160" w:right="2160"/>
    </w:pPr>
  </w:style>
  <w:style w:type="paragraph" w:customStyle="1" w:styleId="SBTitle">
    <w:name w:val="SBTitle"/>
    <w:basedOn w:val="H3"/>
    <w:next w:val="SBH1"/>
    <w:rsid w:val="00933988"/>
    <w:pPr>
      <w:shd w:val="clear" w:color="auto" w:fill="CCCCCC"/>
      <w:spacing w:before="120"/>
      <w:ind w:left="2160" w:right="2160"/>
    </w:pPr>
  </w:style>
  <w:style w:type="paragraph" w:customStyle="1" w:styleId="SBBL">
    <w:name w:val="SBBL"/>
    <w:basedOn w:val="BL"/>
    <w:rsid w:val="00022520"/>
    <w:pPr>
      <w:shd w:val="clear" w:color="auto" w:fill="CCCCCC"/>
      <w:ind w:left="2520" w:right="2160"/>
    </w:pPr>
  </w:style>
  <w:style w:type="paragraph" w:customStyle="1" w:styleId="LTO">
    <w:name w:val="LTO"/>
    <w:basedOn w:val="NoteTitle"/>
    <w:next w:val="Bodynoindent"/>
    <w:link w:val="LTOChar"/>
    <w:rsid w:val="00115AAD"/>
    <w:pPr>
      <w:pBdr>
        <w:top w:val="single" w:sz="4" w:space="4" w:color="auto"/>
        <w:bottom w:val="single" w:sz="4" w:space="4" w:color="auto"/>
      </w:pBdr>
    </w:pPr>
  </w:style>
  <w:style w:type="paragraph" w:customStyle="1" w:styleId="RandCStatute">
    <w:name w:val="RandCStatute"/>
    <w:basedOn w:val="Bodynoindent"/>
    <w:next w:val="LTO"/>
    <w:link w:val="RandCStatuteChar"/>
    <w:rsid w:val="00115AAD"/>
    <w:pPr>
      <w:spacing w:after="120"/>
    </w:pPr>
  </w:style>
  <w:style w:type="paragraph" w:customStyle="1" w:styleId="RandCHead">
    <w:name w:val="RandCHead"/>
    <w:basedOn w:val="H5"/>
    <w:next w:val="RandCStatute"/>
    <w:link w:val="RandCHeadChar"/>
    <w:rsid w:val="00115AAD"/>
    <w:pPr>
      <w:spacing w:before="120" w:after="0"/>
    </w:pPr>
    <w:rPr>
      <w:rFonts w:ascii="Arial Narrow" w:hAnsi="Arial Narrow"/>
    </w:rPr>
  </w:style>
  <w:style w:type="paragraph" w:customStyle="1" w:styleId="TableFootnote">
    <w:name w:val="TableFootnote"/>
    <w:basedOn w:val="CellBody"/>
    <w:next w:val="Bodynoindent"/>
    <w:link w:val="TableFootnoteChar"/>
    <w:rsid w:val="0018390A"/>
    <w:pPr>
      <w:pBdr>
        <w:top w:val="single" w:sz="4" w:space="1" w:color="auto"/>
        <w:bottom w:val="single" w:sz="12" w:space="1" w:color="auto"/>
      </w:pBdr>
      <w:spacing w:after="120"/>
    </w:pPr>
    <w:rPr>
      <w:sz w:val="20"/>
    </w:rPr>
  </w:style>
  <w:style w:type="paragraph" w:styleId="BalloonText">
    <w:name w:val="Balloon Text"/>
    <w:basedOn w:val="Normal"/>
    <w:link w:val="BalloonTextChar"/>
    <w:rsid w:val="005E46F2"/>
    <w:rPr>
      <w:rFonts w:ascii="Tahoma" w:hAnsi="Tahoma"/>
      <w:sz w:val="16"/>
      <w:szCs w:val="16"/>
      <w:lang w:val="x-none" w:eastAsia="x-none"/>
    </w:rPr>
  </w:style>
  <w:style w:type="character" w:customStyle="1" w:styleId="BalloonTextChar">
    <w:name w:val="Balloon Text Char"/>
    <w:link w:val="BalloonText"/>
    <w:rsid w:val="005E46F2"/>
    <w:rPr>
      <w:rFonts w:ascii="Tahoma" w:hAnsi="Tahoma" w:cs="Tahoma"/>
      <w:sz w:val="16"/>
      <w:szCs w:val="16"/>
    </w:rPr>
  </w:style>
  <w:style w:type="character" w:customStyle="1" w:styleId="BodyChar1">
    <w:name w:val="Body Char1"/>
    <w:link w:val="Body"/>
    <w:rsid w:val="00196223"/>
    <w:rPr>
      <w:sz w:val="22"/>
      <w:szCs w:val="24"/>
    </w:rPr>
  </w:style>
  <w:style w:type="character" w:customStyle="1" w:styleId="H1SummaryChar">
    <w:name w:val="H1_Summary Char"/>
    <w:link w:val="H1Summary"/>
    <w:rsid w:val="00196223"/>
    <w:rPr>
      <w:rFonts w:ascii="Arial Narrow" w:hAnsi="Arial Narrow"/>
      <w:sz w:val="28"/>
      <w:szCs w:val="24"/>
      <w:shd w:val="clear" w:color="auto" w:fill="CCCCCC"/>
    </w:rPr>
  </w:style>
  <w:style w:type="numbering" w:styleId="1ai">
    <w:name w:val="Outline List 1"/>
    <w:basedOn w:val="NoList"/>
    <w:rsid w:val="004A4930"/>
    <w:pPr>
      <w:numPr>
        <w:numId w:val="7"/>
      </w:numPr>
    </w:pPr>
  </w:style>
  <w:style w:type="numbering" w:customStyle="1" w:styleId="1ai2">
    <w:name w:val="1 / a / i2"/>
    <w:basedOn w:val="NoList"/>
    <w:next w:val="1ai"/>
    <w:rsid w:val="004A4930"/>
  </w:style>
  <w:style w:type="table" w:customStyle="1" w:styleId="TableGrid3">
    <w:name w:val="Table Grid3"/>
    <w:basedOn w:val="TableNormal"/>
    <w:next w:val="TableGrid"/>
    <w:rsid w:val="004A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A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noindentChar">
    <w:name w:val="Body_no_indent Char"/>
    <w:link w:val="Bodynoindent"/>
    <w:rsid w:val="002945EA"/>
    <w:rPr>
      <w:sz w:val="22"/>
      <w:szCs w:val="24"/>
    </w:rPr>
  </w:style>
  <w:style w:type="character" w:customStyle="1" w:styleId="H3Char">
    <w:name w:val="H3 Char"/>
    <w:link w:val="H3"/>
    <w:rsid w:val="002945EA"/>
    <w:rPr>
      <w:rFonts w:ascii="Arial Narrow" w:hAnsi="Arial Narrow"/>
      <w:b/>
      <w:sz w:val="28"/>
      <w:szCs w:val="24"/>
    </w:rPr>
  </w:style>
  <w:style w:type="character" w:customStyle="1" w:styleId="H1Char">
    <w:name w:val="H1 Char"/>
    <w:link w:val="H1"/>
    <w:rsid w:val="002945EA"/>
    <w:rPr>
      <w:rFonts w:ascii="Arial Narrow" w:hAnsi="Arial Narrow"/>
      <w:b/>
      <w:caps/>
      <w:sz w:val="36"/>
      <w:szCs w:val="24"/>
      <w:shd w:val="clear" w:color="auto" w:fill="CCCCCC"/>
    </w:rPr>
  </w:style>
  <w:style w:type="character" w:styleId="CommentReference">
    <w:name w:val="annotation reference"/>
    <w:rsid w:val="00506A2B"/>
    <w:rPr>
      <w:sz w:val="16"/>
      <w:szCs w:val="16"/>
    </w:rPr>
  </w:style>
  <w:style w:type="paragraph" w:styleId="CommentText">
    <w:name w:val="annotation text"/>
    <w:basedOn w:val="Normal"/>
    <w:link w:val="CommentTextChar"/>
    <w:rsid w:val="00506A2B"/>
    <w:rPr>
      <w:sz w:val="20"/>
      <w:szCs w:val="20"/>
    </w:rPr>
  </w:style>
  <w:style w:type="character" w:customStyle="1" w:styleId="CommentTextChar">
    <w:name w:val="Comment Text Char"/>
    <w:basedOn w:val="DefaultParagraphFont"/>
    <w:link w:val="CommentText"/>
    <w:rsid w:val="00506A2B"/>
  </w:style>
  <w:style w:type="paragraph" w:styleId="CommentSubject">
    <w:name w:val="annotation subject"/>
    <w:basedOn w:val="CommentText"/>
    <w:next w:val="CommentText"/>
    <w:link w:val="CommentSubjectChar"/>
    <w:rsid w:val="00506A2B"/>
    <w:rPr>
      <w:b/>
      <w:bCs/>
      <w:lang w:val="x-none" w:eastAsia="x-none"/>
    </w:rPr>
  </w:style>
  <w:style w:type="character" w:customStyle="1" w:styleId="CommentSubjectChar">
    <w:name w:val="Comment Subject Char"/>
    <w:link w:val="CommentSubject"/>
    <w:rsid w:val="00506A2B"/>
    <w:rPr>
      <w:b/>
      <w:bCs/>
    </w:rPr>
  </w:style>
  <w:style w:type="paragraph" w:customStyle="1" w:styleId="ColorfulShading-Accent11">
    <w:name w:val="Colorful Shading - Accent 11"/>
    <w:hidden/>
    <w:uiPriority w:val="99"/>
    <w:semiHidden/>
    <w:rsid w:val="00464AAA"/>
    <w:rPr>
      <w:sz w:val="24"/>
      <w:szCs w:val="24"/>
    </w:rPr>
  </w:style>
  <w:style w:type="character" w:styleId="Hyperlink">
    <w:name w:val="Hyperlink"/>
    <w:uiPriority w:val="99"/>
    <w:rsid w:val="00271E69"/>
    <w:rPr>
      <w:color w:val="0000FF"/>
      <w:u w:val="single"/>
    </w:rPr>
  </w:style>
  <w:style w:type="paragraph" w:customStyle="1" w:styleId="MTDisplayEquation">
    <w:name w:val="MTDisplayEquation"/>
    <w:basedOn w:val="Body"/>
    <w:next w:val="Normal"/>
    <w:link w:val="MTDisplayEquationChar"/>
    <w:rsid w:val="00074B99"/>
    <w:pPr>
      <w:tabs>
        <w:tab w:val="center" w:pos="4320"/>
        <w:tab w:val="right" w:pos="8640"/>
      </w:tabs>
    </w:pPr>
  </w:style>
  <w:style w:type="character" w:customStyle="1" w:styleId="MTDisplayEquationChar">
    <w:name w:val="MTDisplayEquation Char"/>
    <w:link w:val="MTDisplayEquation"/>
    <w:rsid w:val="00074B99"/>
    <w:rPr>
      <w:sz w:val="22"/>
      <w:szCs w:val="24"/>
    </w:rPr>
  </w:style>
  <w:style w:type="paragraph" w:styleId="ListParagraph">
    <w:name w:val="List Paragraph"/>
    <w:basedOn w:val="Normal"/>
    <w:uiPriority w:val="34"/>
    <w:qFormat/>
    <w:rsid w:val="00392012"/>
    <w:pPr>
      <w:ind w:left="720"/>
      <w:contextualSpacing/>
    </w:pPr>
    <w:rPr>
      <w:rFonts w:ascii="Calibri" w:eastAsia="Calibri" w:hAnsi="Calibri"/>
      <w:sz w:val="22"/>
      <w:szCs w:val="22"/>
    </w:rPr>
  </w:style>
  <w:style w:type="character" w:customStyle="1" w:styleId="Heading1Char">
    <w:name w:val="Heading 1 Char"/>
    <w:link w:val="Heading1"/>
    <w:rsid w:val="00D709A6"/>
    <w:rPr>
      <w:sz w:val="24"/>
      <w:szCs w:val="22"/>
    </w:rPr>
  </w:style>
  <w:style w:type="character" w:customStyle="1" w:styleId="Heading2Char">
    <w:name w:val="Heading 2 Char"/>
    <w:link w:val="Heading2"/>
    <w:rsid w:val="00D709A6"/>
    <w:rPr>
      <w:rFonts w:ascii="Arial" w:hAnsi="Arial" w:cs="Arial"/>
      <w:b/>
      <w:bCs/>
      <w:i/>
      <w:iCs/>
      <w:sz w:val="28"/>
      <w:szCs w:val="28"/>
    </w:rPr>
  </w:style>
  <w:style w:type="character" w:customStyle="1" w:styleId="Heading4Char">
    <w:name w:val="Heading 4 Char"/>
    <w:link w:val="Heading4"/>
    <w:rsid w:val="00D709A6"/>
    <w:rPr>
      <w:b/>
      <w:bCs/>
      <w:sz w:val="28"/>
      <w:szCs w:val="28"/>
    </w:rPr>
  </w:style>
  <w:style w:type="character" w:customStyle="1" w:styleId="Heading5Char">
    <w:name w:val="Heading 5 Char"/>
    <w:link w:val="Heading5"/>
    <w:rsid w:val="00D709A6"/>
    <w:rPr>
      <w:rFonts w:ascii="Arial" w:hAnsi="Arial" w:cs="Arial"/>
      <w:b/>
      <w:bCs/>
      <w:color w:val="000000"/>
      <w:sz w:val="22"/>
      <w:szCs w:val="22"/>
    </w:rPr>
  </w:style>
  <w:style w:type="character" w:customStyle="1" w:styleId="Heading6Char">
    <w:name w:val="Heading 6 Char"/>
    <w:link w:val="Heading6"/>
    <w:rsid w:val="00D709A6"/>
    <w:rPr>
      <w:rFonts w:ascii="Arial" w:hAnsi="Arial" w:cs="Arial"/>
      <w:sz w:val="32"/>
      <w:szCs w:val="24"/>
    </w:rPr>
  </w:style>
  <w:style w:type="character" w:customStyle="1" w:styleId="Heading7Char">
    <w:name w:val="Heading 7 Char"/>
    <w:link w:val="Heading7"/>
    <w:rsid w:val="00D709A6"/>
    <w:rPr>
      <w:b/>
      <w:bCs/>
      <w:sz w:val="28"/>
      <w:szCs w:val="22"/>
    </w:rPr>
  </w:style>
  <w:style w:type="character" w:customStyle="1" w:styleId="Heading8Char">
    <w:name w:val="Heading 8 Char"/>
    <w:link w:val="Heading8"/>
    <w:rsid w:val="00D709A6"/>
    <w:rPr>
      <w:rFonts w:ascii="Arial" w:hAnsi="Arial" w:cs="Arial"/>
      <w:sz w:val="28"/>
      <w:szCs w:val="32"/>
    </w:rPr>
  </w:style>
  <w:style w:type="character" w:customStyle="1" w:styleId="Heading9Char">
    <w:name w:val="Heading 9 Char"/>
    <w:link w:val="Heading9"/>
    <w:rsid w:val="00D709A6"/>
    <w:rPr>
      <w:rFonts w:ascii="Arial" w:hAnsi="Arial" w:cs="Arial"/>
      <w:b/>
      <w:bCs/>
      <w:sz w:val="28"/>
      <w:szCs w:val="22"/>
    </w:rPr>
  </w:style>
  <w:style w:type="numbering" w:customStyle="1" w:styleId="NoList1">
    <w:name w:val="No List1"/>
    <w:next w:val="NoList"/>
    <w:uiPriority w:val="99"/>
    <w:semiHidden/>
    <w:unhideWhenUsed/>
    <w:rsid w:val="00D709A6"/>
  </w:style>
  <w:style w:type="character" w:customStyle="1" w:styleId="Heading3Char">
    <w:name w:val="Heading 3 Char"/>
    <w:link w:val="Heading3"/>
    <w:uiPriority w:val="9"/>
    <w:rsid w:val="00D709A6"/>
    <w:rPr>
      <w:rFonts w:ascii="Arial" w:hAnsi="Arial" w:cs="Arial"/>
      <w:b/>
      <w:bCs/>
      <w:sz w:val="26"/>
      <w:szCs w:val="26"/>
    </w:rPr>
  </w:style>
  <w:style w:type="paragraph" w:customStyle="1" w:styleId="Level1">
    <w:name w:val="Level 1"/>
    <w:rsid w:val="00D709A6"/>
    <w:pPr>
      <w:widowControl w:val="0"/>
      <w:autoSpaceDE w:val="0"/>
      <w:autoSpaceDN w:val="0"/>
      <w:adjustRightInd w:val="0"/>
      <w:ind w:left="72"/>
      <w:jc w:val="both"/>
    </w:pPr>
    <w:rPr>
      <w:sz w:val="24"/>
      <w:szCs w:val="24"/>
    </w:rPr>
  </w:style>
  <w:style w:type="paragraph" w:customStyle="1" w:styleId="Level2">
    <w:name w:val="Level 2"/>
    <w:rsid w:val="00D709A6"/>
    <w:pPr>
      <w:widowControl w:val="0"/>
      <w:autoSpaceDE w:val="0"/>
      <w:autoSpaceDN w:val="0"/>
      <w:adjustRightInd w:val="0"/>
      <w:ind w:left="1440"/>
      <w:jc w:val="both"/>
    </w:pPr>
    <w:rPr>
      <w:sz w:val="24"/>
      <w:szCs w:val="24"/>
    </w:rPr>
  </w:style>
  <w:style w:type="paragraph" w:customStyle="1" w:styleId="Level3">
    <w:name w:val="Level 3"/>
    <w:rsid w:val="00D709A6"/>
    <w:pPr>
      <w:widowControl w:val="0"/>
      <w:autoSpaceDE w:val="0"/>
      <w:autoSpaceDN w:val="0"/>
      <w:adjustRightInd w:val="0"/>
      <w:ind w:left="2160"/>
      <w:jc w:val="both"/>
    </w:pPr>
    <w:rPr>
      <w:sz w:val="24"/>
      <w:szCs w:val="24"/>
    </w:rPr>
  </w:style>
  <w:style w:type="paragraph" w:customStyle="1" w:styleId="Level4">
    <w:name w:val="Level 4"/>
    <w:rsid w:val="00D709A6"/>
    <w:pPr>
      <w:widowControl w:val="0"/>
      <w:autoSpaceDE w:val="0"/>
      <w:autoSpaceDN w:val="0"/>
      <w:adjustRightInd w:val="0"/>
      <w:ind w:left="2880"/>
      <w:jc w:val="both"/>
    </w:pPr>
    <w:rPr>
      <w:sz w:val="24"/>
      <w:szCs w:val="24"/>
    </w:rPr>
  </w:style>
  <w:style w:type="paragraph" w:customStyle="1" w:styleId="Level5">
    <w:name w:val="Level 5"/>
    <w:rsid w:val="00D709A6"/>
    <w:pPr>
      <w:widowControl w:val="0"/>
      <w:autoSpaceDE w:val="0"/>
      <w:autoSpaceDN w:val="0"/>
      <w:adjustRightInd w:val="0"/>
      <w:ind w:left="3600"/>
      <w:jc w:val="both"/>
    </w:pPr>
    <w:rPr>
      <w:sz w:val="24"/>
      <w:szCs w:val="24"/>
    </w:rPr>
  </w:style>
  <w:style w:type="paragraph" w:customStyle="1" w:styleId="Level6">
    <w:name w:val="Level 6"/>
    <w:rsid w:val="00D709A6"/>
    <w:pPr>
      <w:widowControl w:val="0"/>
      <w:autoSpaceDE w:val="0"/>
      <w:autoSpaceDN w:val="0"/>
      <w:adjustRightInd w:val="0"/>
      <w:ind w:left="4320"/>
      <w:jc w:val="both"/>
    </w:pPr>
    <w:rPr>
      <w:sz w:val="24"/>
      <w:szCs w:val="24"/>
    </w:rPr>
  </w:style>
  <w:style w:type="paragraph" w:customStyle="1" w:styleId="Level7">
    <w:name w:val="Level 7"/>
    <w:rsid w:val="00D709A6"/>
    <w:pPr>
      <w:widowControl w:val="0"/>
      <w:autoSpaceDE w:val="0"/>
      <w:autoSpaceDN w:val="0"/>
      <w:adjustRightInd w:val="0"/>
      <w:ind w:left="5040"/>
      <w:jc w:val="both"/>
    </w:pPr>
    <w:rPr>
      <w:sz w:val="24"/>
      <w:szCs w:val="24"/>
    </w:rPr>
  </w:style>
  <w:style w:type="paragraph" w:customStyle="1" w:styleId="Level8">
    <w:name w:val="Level 8"/>
    <w:rsid w:val="00D709A6"/>
    <w:pPr>
      <w:widowControl w:val="0"/>
      <w:autoSpaceDE w:val="0"/>
      <w:autoSpaceDN w:val="0"/>
      <w:adjustRightInd w:val="0"/>
      <w:ind w:left="5760"/>
      <w:jc w:val="both"/>
    </w:pPr>
    <w:rPr>
      <w:sz w:val="24"/>
      <w:szCs w:val="24"/>
    </w:rPr>
  </w:style>
  <w:style w:type="paragraph" w:customStyle="1" w:styleId="Level9">
    <w:name w:val="Level 9"/>
    <w:rsid w:val="00D709A6"/>
    <w:pPr>
      <w:widowControl w:val="0"/>
      <w:autoSpaceDE w:val="0"/>
      <w:autoSpaceDN w:val="0"/>
      <w:adjustRightInd w:val="0"/>
      <w:ind w:left="-1440"/>
      <w:jc w:val="both"/>
    </w:pPr>
    <w:rPr>
      <w:b/>
      <w:bCs/>
      <w:sz w:val="24"/>
      <w:szCs w:val="24"/>
    </w:rPr>
  </w:style>
  <w:style w:type="paragraph" w:customStyle="1" w:styleId="QuickA">
    <w:name w:val="Quick A."/>
    <w:rsid w:val="00D709A6"/>
    <w:pPr>
      <w:widowControl w:val="0"/>
      <w:autoSpaceDE w:val="0"/>
      <w:autoSpaceDN w:val="0"/>
      <w:adjustRightInd w:val="0"/>
      <w:ind w:left="-1440"/>
      <w:jc w:val="both"/>
    </w:pPr>
    <w:rPr>
      <w:sz w:val="24"/>
      <w:szCs w:val="24"/>
    </w:rPr>
  </w:style>
  <w:style w:type="character" w:customStyle="1" w:styleId="SectionHead">
    <w:name w:val="Section Head"/>
    <w:rsid w:val="00D709A6"/>
    <w:rPr>
      <w:rFonts w:ascii="Futura Md BT" w:hAnsi="Futura Md BT" w:cs="Futura Md BT"/>
      <w:b/>
      <w:bCs/>
      <w:sz w:val="44"/>
      <w:szCs w:val="44"/>
    </w:rPr>
  </w:style>
  <w:style w:type="character" w:customStyle="1" w:styleId="ChapterHead">
    <w:name w:val="Chapter Head"/>
    <w:rsid w:val="00D709A6"/>
    <w:rPr>
      <w:rFonts w:ascii="Futura Md BT" w:hAnsi="Futura Md BT" w:cs="Futura Md BT"/>
      <w:b/>
      <w:bCs/>
      <w:sz w:val="33"/>
      <w:szCs w:val="33"/>
    </w:rPr>
  </w:style>
  <w:style w:type="character" w:customStyle="1" w:styleId="IssueHead">
    <w:name w:val="Issue Head"/>
    <w:rsid w:val="00D709A6"/>
    <w:rPr>
      <w:rFonts w:ascii="Obelisk" w:hAnsi="Obelisk" w:cs="Obelisk"/>
      <w:b/>
      <w:bCs/>
      <w:sz w:val="26"/>
      <w:szCs w:val="26"/>
    </w:rPr>
  </w:style>
  <w:style w:type="character" w:customStyle="1" w:styleId="QAHilite">
    <w:name w:val="Q/A Hilite"/>
    <w:rsid w:val="00D709A6"/>
    <w:rPr>
      <w:rFonts w:ascii="Futura Md BT" w:hAnsi="Futura Md BT" w:cs="Futura Md BT"/>
      <w:b/>
      <w:bCs/>
      <w:sz w:val="22"/>
      <w:szCs w:val="22"/>
    </w:rPr>
  </w:style>
  <w:style w:type="paragraph" w:customStyle="1" w:styleId="QuestionTxt">
    <w:name w:val="Question Txt"/>
    <w:rsid w:val="00D709A6"/>
    <w:pPr>
      <w:widowControl w:val="0"/>
      <w:autoSpaceDE w:val="0"/>
      <w:autoSpaceDN w:val="0"/>
      <w:adjustRightInd w:val="0"/>
    </w:pPr>
    <w:rPr>
      <w:i/>
      <w:iCs/>
      <w:sz w:val="24"/>
      <w:szCs w:val="24"/>
    </w:rPr>
  </w:style>
  <w:style w:type="paragraph" w:customStyle="1" w:styleId="a">
    <w:name w:val=""/>
    <w:rsid w:val="00D709A6"/>
    <w:pPr>
      <w:widowControl w:val="0"/>
      <w:autoSpaceDE w:val="0"/>
      <w:autoSpaceDN w:val="0"/>
      <w:adjustRightInd w:val="0"/>
      <w:ind w:left="-1440"/>
      <w:jc w:val="both"/>
    </w:pPr>
    <w:rPr>
      <w:i/>
      <w:iCs/>
      <w:sz w:val="24"/>
      <w:szCs w:val="24"/>
    </w:rPr>
  </w:style>
  <w:style w:type="paragraph" w:customStyle="1" w:styleId="Quick1">
    <w:name w:val="Quick 1."/>
    <w:rsid w:val="00D709A6"/>
    <w:pPr>
      <w:widowControl w:val="0"/>
      <w:autoSpaceDE w:val="0"/>
      <w:autoSpaceDN w:val="0"/>
      <w:adjustRightInd w:val="0"/>
      <w:ind w:left="-1440"/>
      <w:jc w:val="both"/>
    </w:pPr>
    <w:rPr>
      <w:i/>
      <w:iCs/>
      <w:sz w:val="24"/>
      <w:szCs w:val="24"/>
    </w:rPr>
  </w:style>
  <w:style w:type="paragraph" w:customStyle="1" w:styleId="Quicka0">
    <w:name w:val="Quick a."/>
    <w:rsid w:val="00D709A6"/>
    <w:pPr>
      <w:widowControl w:val="0"/>
      <w:autoSpaceDE w:val="0"/>
      <w:autoSpaceDN w:val="0"/>
      <w:adjustRightInd w:val="0"/>
      <w:ind w:left="-1440"/>
      <w:jc w:val="both"/>
    </w:pPr>
    <w:rPr>
      <w:i/>
      <w:iCs/>
      <w:sz w:val="24"/>
      <w:szCs w:val="24"/>
    </w:rPr>
  </w:style>
  <w:style w:type="character" w:customStyle="1" w:styleId="FooterChar">
    <w:name w:val="Footer Char"/>
    <w:link w:val="Footer"/>
    <w:uiPriority w:val="99"/>
    <w:rsid w:val="00D709A6"/>
    <w:rPr>
      <w:rFonts w:ascii="Arial Narrow" w:hAnsi="Arial Narrow"/>
      <w:b/>
      <w:sz w:val="24"/>
      <w:szCs w:val="24"/>
    </w:rPr>
  </w:style>
  <w:style w:type="character" w:customStyle="1" w:styleId="HeaderChar">
    <w:name w:val="Header Char"/>
    <w:link w:val="Header"/>
    <w:uiPriority w:val="99"/>
    <w:rsid w:val="00D709A6"/>
    <w:rPr>
      <w:sz w:val="24"/>
      <w:szCs w:val="24"/>
    </w:rPr>
  </w:style>
  <w:style w:type="table" w:customStyle="1" w:styleId="TableGrid1">
    <w:name w:val="Table Grid1"/>
    <w:basedOn w:val="TableNormal"/>
    <w:next w:val="TableGrid"/>
    <w:rsid w:val="00D7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09A6"/>
    <w:pPr>
      <w:keepLines/>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Pr>
      <w:sz w:val="22"/>
      <w:szCs w:val="22"/>
    </w:rPr>
  </w:style>
  <w:style w:type="character" w:customStyle="1" w:styleId="BodyTextChar">
    <w:name w:val="Body Text Char"/>
    <w:link w:val="BodyText"/>
    <w:rsid w:val="00D709A6"/>
    <w:rPr>
      <w:sz w:val="22"/>
      <w:szCs w:val="22"/>
    </w:rPr>
  </w:style>
  <w:style w:type="character" w:customStyle="1" w:styleId="BodyCharChar">
    <w:name w:val="Body Char Char"/>
    <w:rsid w:val="00D709A6"/>
    <w:rPr>
      <w:sz w:val="22"/>
      <w:szCs w:val="24"/>
      <w:lang w:val="en-US" w:eastAsia="en-US" w:bidi="ar-SA"/>
    </w:rPr>
  </w:style>
  <w:style w:type="paragraph" w:customStyle="1" w:styleId="BodyChar">
    <w:name w:val="Body Char"/>
    <w:basedOn w:val="Normal"/>
    <w:rsid w:val="00D709A6"/>
    <w:pPr>
      <w:ind w:firstLine="360"/>
      <w:jc w:val="both"/>
    </w:pPr>
    <w:rPr>
      <w:sz w:val="22"/>
    </w:rPr>
  </w:style>
  <w:style w:type="character" w:customStyle="1" w:styleId="H2Char">
    <w:name w:val="H2 Char"/>
    <w:rsid w:val="00D709A6"/>
    <w:rPr>
      <w:rFonts w:ascii="Arial Narrow" w:hAnsi="Arial Narrow"/>
      <w:b/>
      <w:sz w:val="28"/>
      <w:szCs w:val="24"/>
      <w:lang w:val="en-US" w:eastAsia="en-US" w:bidi="ar-SA"/>
    </w:rPr>
  </w:style>
  <w:style w:type="character" w:customStyle="1" w:styleId="ExampleChar">
    <w:name w:val="Example Char"/>
    <w:rsid w:val="00D709A6"/>
    <w:rPr>
      <w:rFonts w:ascii="Arial Narrow" w:hAnsi="Arial Narrow"/>
      <w:b/>
      <w:sz w:val="22"/>
      <w:szCs w:val="24"/>
      <w:lang w:val="en-US" w:eastAsia="en-US" w:bidi="ar-SA"/>
    </w:rPr>
  </w:style>
  <w:style w:type="character" w:customStyle="1" w:styleId="CellBodyChar">
    <w:name w:val="CellBody Char"/>
    <w:rsid w:val="00D709A6"/>
    <w:rPr>
      <w:rFonts w:ascii="Arial Narrow" w:hAnsi="Arial Narrow"/>
      <w:szCs w:val="24"/>
      <w:lang w:val="en-US" w:eastAsia="en-US" w:bidi="ar-SA"/>
    </w:rPr>
  </w:style>
  <w:style w:type="paragraph" w:styleId="BodyText3">
    <w:name w:val="Body Text 3"/>
    <w:basedOn w:val="Normal"/>
    <w:link w:val="BodyText3Char"/>
    <w:rsid w:val="00D709A6"/>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Pr>
      <w:i/>
      <w:iCs/>
      <w:sz w:val="22"/>
      <w:szCs w:val="22"/>
    </w:rPr>
  </w:style>
  <w:style w:type="character" w:customStyle="1" w:styleId="BodyText3Char">
    <w:name w:val="Body Text 3 Char"/>
    <w:link w:val="BodyText3"/>
    <w:rsid w:val="00D709A6"/>
    <w:rPr>
      <w:i/>
      <w:iCs/>
      <w:sz w:val="22"/>
      <w:szCs w:val="22"/>
    </w:rPr>
  </w:style>
  <w:style w:type="paragraph" w:customStyle="1" w:styleId="PractitionerNote">
    <w:name w:val="PractitionerNote"/>
    <w:basedOn w:val="Normal"/>
    <w:rsid w:val="00D709A6"/>
    <w:pPr>
      <w:keepNext/>
      <w:pBdr>
        <w:top w:val="single" w:sz="4" w:space="1" w:color="auto"/>
        <w:left w:val="single" w:sz="4" w:space="4" w:color="auto"/>
        <w:bottom w:val="single" w:sz="4" w:space="1" w:color="auto"/>
        <w:right w:val="single" w:sz="4" w:space="4" w:color="auto"/>
      </w:pBdr>
      <w:spacing w:before="60" w:after="60"/>
    </w:pPr>
    <w:rPr>
      <w:rFonts w:ascii="Arial Narrow" w:hAnsi="Arial Narrow"/>
    </w:rPr>
  </w:style>
  <w:style w:type="character" w:customStyle="1" w:styleId="PractitionerNoteChar">
    <w:name w:val="PractitionerNote Char"/>
    <w:rsid w:val="00D709A6"/>
    <w:rPr>
      <w:rFonts w:ascii="Arial Narrow" w:hAnsi="Arial Narrow"/>
      <w:sz w:val="24"/>
      <w:szCs w:val="24"/>
      <w:lang w:val="en-US" w:eastAsia="en-US" w:bidi="ar-SA"/>
    </w:rPr>
  </w:style>
  <w:style w:type="paragraph" w:customStyle="1" w:styleId="PractitionerNoteHead">
    <w:name w:val="PractitionerNote_Head"/>
    <w:basedOn w:val="Normal"/>
    <w:next w:val="PractitionerNote"/>
    <w:rsid w:val="00D709A6"/>
    <w:pPr>
      <w:keepNext/>
      <w:pBdr>
        <w:top w:val="single" w:sz="4" w:space="1" w:color="auto"/>
        <w:left w:val="single" w:sz="4" w:space="4" w:color="auto"/>
        <w:bottom w:val="single" w:sz="4" w:space="1" w:color="auto"/>
        <w:right w:val="single" w:sz="4" w:space="4" w:color="auto"/>
      </w:pBdr>
      <w:spacing w:before="60"/>
    </w:pPr>
    <w:rPr>
      <w:rFonts w:ascii="Arial Narrow" w:hAnsi="Arial Narrow"/>
      <w:b/>
      <w:sz w:val="20"/>
    </w:rPr>
  </w:style>
  <w:style w:type="paragraph" w:customStyle="1" w:styleId="Observation">
    <w:name w:val="Observation"/>
    <w:basedOn w:val="Normal"/>
    <w:rsid w:val="00D709A6"/>
    <w:pPr>
      <w:keepNext/>
      <w:pBdr>
        <w:top w:val="single" w:sz="4" w:space="1" w:color="auto"/>
        <w:left w:val="single" w:sz="4" w:space="4" w:color="auto"/>
        <w:bottom w:val="single" w:sz="4" w:space="1" w:color="auto"/>
        <w:right w:val="single" w:sz="4" w:space="4" w:color="auto"/>
      </w:pBdr>
      <w:spacing w:before="60" w:after="60"/>
    </w:pPr>
    <w:rPr>
      <w:rFonts w:ascii="Arial Narrow" w:hAnsi="Arial Narrow"/>
      <w:sz w:val="20"/>
    </w:rPr>
  </w:style>
  <w:style w:type="paragraph" w:customStyle="1" w:styleId="ObservationHead">
    <w:name w:val="Observation_Head"/>
    <w:basedOn w:val="Normal"/>
    <w:next w:val="Observation"/>
    <w:rsid w:val="00D709A6"/>
    <w:pPr>
      <w:keepNext/>
      <w:pBdr>
        <w:top w:val="single" w:sz="4" w:space="1" w:color="auto"/>
        <w:left w:val="single" w:sz="4" w:space="4" w:color="auto"/>
        <w:bottom w:val="single" w:sz="4" w:space="1" w:color="auto"/>
        <w:right w:val="single" w:sz="4" w:space="4" w:color="auto"/>
      </w:pBdr>
      <w:spacing w:before="60"/>
    </w:pPr>
    <w:rPr>
      <w:rFonts w:ascii="Arial Narrow" w:hAnsi="Arial Narrow"/>
      <w:b/>
      <w:sz w:val="20"/>
    </w:rPr>
  </w:style>
  <w:style w:type="paragraph" w:customStyle="1" w:styleId="H3norunin">
    <w:name w:val="H3_norunin"/>
    <w:basedOn w:val="H2"/>
    <w:next w:val="Bodynoindent"/>
    <w:link w:val="H3noruninChar"/>
    <w:rsid w:val="00D709A6"/>
    <w:pPr>
      <w:keepNext w:val="0"/>
      <w:shd w:val="clear" w:color="auto" w:fill="auto"/>
      <w:spacing w:after="120"/>
    </w:pPr>
    <w:rPr>
      <w:sz w:val="22"/>
      <w:lang w:val="en-US" w:eastAsia="en-US"/>
    </w:rPr>
  </w:style>
  <w:style w:type="character" w:customStyle="1" w:styleId="H4Char">
    <w:name w:val="H4 Char"/>
    <w:rsid w:val="00D709A6"/>
    <w:rPr>
      <w:rFonts w:ascii="Arial Narrow" w:hAnsi="Arial Narrow"/>
      <w:b/>
      <w:sz w:val="22"/>
      <w:szCs w:val="24"/>
      <w:lang w:val="en-US" w:eastAsia="en-US" w:bidi="ar-SA"/>
    </w:rPr>
  </w:style>
  <w:style w:type="paragraph" w:styleId="NormalWeb">
    <w:name w:val="Normal (Web)"/>
    <w:basedOn w:val="Normal"/>
    <w:uiPriority w:val="99"/>
    <w:rsid w:val="00D709A6"/>
    <w:pPr>
      <w:spacing w:before="100" w:beforeAutospacing="1" w:after="100" w:afterAutospacing="1"/>
    </w:pPr>
  </w:style>
  <w:style w:type="character" w:styleId="Emphasis">
    <w:name w:val="Emphasis"/>
    <w:uiPriority w:val="20"/>
    <w:qFormat/>
    <w:rsid w:val="00D709A6"/>
    <w:rPr>
      <w:i/>
      <w:iCs/>
    </w:rPr>
  </w:style>
  <w:style w:type="paragraph" w:styleId="HTMLPreformatted">
    <w:name w:val="HTML Preformatted"/>
    <w:basedOn w:val="Normal"/>
    <w:link w:val="HTMLPreformattedChar"/>
    <w:rsid w:val="00D7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D709A6"/>
    <w:rPr>
      <w:rFonts w:ascii="Courier New" w:hAnsi="Courier New" w:cs="Courier New"/>
    </w:rPr>
  </w:style>
  <w:style w:type="character" w:styleId="Strong">
    <w:name w:val="Strong"/>
    <w:qFormat/>
    <w:rsid w:val="00D709A6"/>
    <w:rPr>
      <w:b/>
      <w:bCs/>
    </w:rPr>
  </w:style>
  <w:style w:type="paragraph" w:customStyle="1" w:styleId="H2A">
    <w:name w:val="H2A"/>
    <w:basedOn w:val="H2"/>
    <w:next w:val="Bodynoindent"/>
    <w:rsid w:val="00D709A6"/>
    <w:pPr>
      <w:keepNext w:val="0"/>
      <w:shd w:val="clear" w:color="auto" w:fill="auto"/>
    </w:pPr>
    <w:rPr>
      <w:lang w:val="en-US" w:eastAsia="en-US"/>
    </w:rPr>
  </w:style>
  <w:style w:type="paragraph" w:customStyle="1" w:styleId="LawChangeNote">
    <w:name w:val="LawChangeNote"/>
    <w:basedOn w:val="Note"/>
    <w:rsid w:val="00D709A6"/>
    <w:pPr>
      <w:keepNext/>
      <w:tabs>
        <w:tab w:val="num" w:pos="720"/>
      </w:tabs>
    </w:pPr>
    <w:rPr>
      <w:rFonts w:ascii="Arial Narrow" w:hAnsi="Arial Narrow"/>
    </w:rPr>
  </w:style>
  <w:style w:type="paragraph" w:customStyle="1" w:styleId="H4norunin">
    <w:name w:val="H4_norunin"/>
    <w:basedOn w:val="Bodynoindent"/>
    <w:next w:val="Body"/>
    <w:rsid w:val="00D709A6"/>
    <w:pPr>
      <w:spacing w:before="240" w:after="100"/>
    </w:pPr>
    <w:rPr>
      <w:rFonts w:ascii="Arial Narrow" w:hAnsi="Arial Narrow"/>
      <w:lang w:val="en-US" w:eastAsia="en-US"/>
    </w:rPr>
  </w:style>
  <w:style w:type="paragraph" w:customStyle="1" w:styleId="PlanningPointer">
    <w:name w:val="PlanningPointer"/>
    <w:basedOn w:val="Note"/>
    <w:rsid w:val="00D709A6"/>
    <w:pPr>
      <w:keepNext/>
      <w:tabs>
        <w:tab w:val="num" w:pos="720"/>
      </w:tabs>
    </w:pPr>
    <w:rPr>
      <w:rFonts w:ascii="Arial Narrow" w:hAnsi="Arial Narrow"/>
    </w:rPr>
  </w:style>
  <w:style w:type="paragraph" w:customStyle="1" w:styleId="PlanningPointerHead">
    <w:name w:val="PlanningPointer_Head"/>
    <w:basedOn w:val="NoteHead"/>
    <w:next w:val="PlanningPointer"/>
    <w:rsid w:val="00D709A6"/>
    <w:pPr>
      <w:keepNext/>
    </w:pPr>
    <w:rPr>
      <w:rFonts w:ascii="Arial Narrow" w:hAnsi="Arial Narrow"/>
    </w:rPr>
  </w:style>
  <w:style w:type="paragraph" w:customStyle="1" w:styleId="LawChangeNoteHead">
    <w:name w:val="LawChangeNote_Head"/>
    <w:basedOn w:val="NoteHead"/>
    <w:next w:val="LawChangeNote"/>
    <w:rsid w:val="00D709A6"/>
    <w:pPr>
      <w:keepNext/>
    </w:pPr>
    <w:rPr>
      <w:rFonts w:ascii="Arial Narrow" w:hAnsi="Arial Narrow"/>
    </w:rPr>
  </w:style>
  <w:style w:type="character" w:styleId="FollowedHyperlink">
    <w:name w:val="FollowedHyperlink"/>
    <w:rsid w:val="00D709A6"/>
    <w:rPr>
      <w:color w:val="800080"/>
      <w:u w:val="single"/>
    </w:rPr>
  </w:style>
  <w:style w:type="paragraph" w:customStyle="1" w:styleId="xl24">
    <w:name w:val="xl24"/>
    <w:basedOn w:val="Normal"/>
    <w:rsid w:val="00D709A6"/>
    <w:pPr>
      <w:spacing w:before="100" w:beforeAutospacing="1" w:after="100" w:afterAutospacing="1"/>
      <w:textAlignment w:val="top"/>
    </w:pPr>
    <w:rPr>
      <w:rFonts w:ascii="Arial Narrow" w:hAnsi="Arial Narrow"/>
    </w:rPr>
  </w:style>
  <w:style w:type="paragraph" w:customStyle="1" w:styleId="xl25">
    <w:name w:val="xl25"/>
    <w:basedOn w:val="Normal"/>
    <w:rsid w:val="00D709A6"/>
    <w:pPr>
      <w:spacing w:before="100" w:beforeAutospacing="1" w:after="100" w:afterAutospacing="1"/>
      <w:jc w:val="right"/>
      <w:textAlignment w:val="top"/>
    </w:pPr>
    <w:rPr>
      <w:rFonts w:ascii="Arial Narrow" w:hAnsi="Arial Narrow"/>
    </w:rPr>
  </w:style>
  <w:style w:type="paragraph" w:customStyle="1" w:styleId="xl26">
    <w:name w:val="xl26"/>
    <w:basedOn w:val="Normal"/>
    <w:rsid w:val="00D709A6"/>
    <w:pPr>
      <w:spacing w:before="100" w:beforeAutospacing="1" w:after="100" w:afterAutospacing="1"/>
      <w:jc w:val="right"/>
      <w:textAlignment w:val="top"/>
    </w:pPr>
    <w:rPr>
      <w:rFonts w:ascii="Arial Narrow" w:hAnsi="Arial Narrow"/>
    </w:rPr>
  </w:style>
  <w:style w:type="paragraph" w:customStyle="1" w:styleId="xl27">
    <w:name w:val="xl27"/>
    <w:basedOn w:val="Normal"/>
    <w:rsid w:val="00D709A6"/>
    <w:pPr>
      <w:pBdr>
        <w:bottom w:val="single" w:sz="4" w:space="0" w:color="auto"/>
      </w:pBdr>
      <w:spacing w:before="100" w:beforeAutospacing="1" w:after="100" w:afterAutospacing="1"/>
      <w:jc w:val="right"/>
      <w:textAlignment w:val="top"/>
    </w:pPr>
    <w:rPr>
      <w:rFonts w:ascii="Arial Narrow" w:hAnsi="Arial Narrow"/>
    </w:rPr>
  </w:style>
  <w:style w:type="paragraph" w:customStyle="1" w:styleId="xl28">
    <w:name w:val="xl28"/>
    <w:basedOn w:val="Normal"/>
    <w:rsid w:val="00D709A6"/>
    <w:pPr>
      <w:pBdr>
        <w:bottom w:val="single" w:sz="4" w:space="0" w:color="auto"/>
      </w:pBdr>
      <w:spacing w:before="100" w:beforeAutospacing="1" w:after="100" w:afterAutospacing="1"/>
      <w:jc w:val="right"/>
      <w:textAlignment w:val="top"/>
    </w:pPr>
    <w:rPr>
      <w:rFonts w:ascii="Arial Narrow" w:hAnsi="Arial Narrow"/>
    </w:rPr>
  </w:style>
  <w:style w:type="paragraph" w:customStyle="1" w:styleId="xl29">
    <w:name w:val="xl29"/>
    <w:basedOn w:val="Normal"/>
    <w:rsid w:val="00D709A6"/>
    <w:pPr>
      <w:spacing w:before="100" w:beforeAutospacing="1" w:after="100" w:afterAutospacing="1"/>
      <w:textAlignment w:val="top"/>
    </w:pPr>
    <w:rPr>
      <w:rFonts w:ascii="Arial Narrow" w:hAnsi="Arial Narrow"/>
    </w:rPr>
  </w:style>
  <w:style w:type="paragraph" w:customStyle="1" w:styleId="xl30">
    <w:name w:val="xl30"/>
    <w:basedOn w:val="Normal"/>
    <w:rsid w:val="00D709A6"/>
    <w:pPr>
      <w:spacing w:before="100" w:beforeAutospacing="1" w:after="100" w:afterAutospacing="1"/>
      <w:textAlignment w:val="top"/>
    </w:pPr>
    <w:rPr>
      <w:rFonts w:ascii="Arial Narrow" w:hAnsi="Arial Narrow"/>
      <w:b/>
      <w:bCs/>
    </w:rPr>
  </w:style>
  <w:style w:type="paragraph" w:customStyle="1" w:styleId="xl31">
    <w:name w:val="xl31"/>
    <w:basedOn w:val="Normal"/>
    <w:rsid w:val="00D709A6"/>
    <w:pPr>
      <w:pBdr>
        <w:bottom w:val="single" w:sz="4" w:space="0" w:color="auto"/>
      </w:pBdr>
      <w:spacing w:before="100" w:beforeAutospacing="1" w:after="100" w:afterAutospacing="1"/>
      <w:textAlignment w:val="top"/>
    </w:pPr>
    <w:rPr>
      <w:rFonts w:ascii="Arial Narrow" w:hAnsi="Arial Narrow"/>
    </w:rPr>
  </w:style>
  <w:style w:type="paragraph" w:customStyle="1" w:styleId="xl32">
    <w:name w:val="xl32"/>
    <w:basedOn w:val="Normal"/>
    <w:rsid w:val="00D709A6"/>
    <w:pPr>
      <w:pBdr>
        <w:bottom w:val="single" w:sz="4" w:space="0" w:color="auto"/>
      </w:pBdr>
      <w:spacing w:before="100" w:beforeAutospacing="1" w:after="100" w:afterAutospacing="1"/>
      <w:jc w:val="center"/>
    </w:pPr>
    <w:rPr>
      <w:rFonts w:ascii="Arial Narrow" w:hAnsi="Arial Narrow"/>
      <w:b/>
      <w:bCs/>
    </w:rPr>
  </w:style>
  <w:style w:type="paragraph" w:customStyle="1" w:styleId="xl33">
    <w:name w:val="xl33"/>
    <w:basedOn w:val="Normal"/>
    <w:rsid w:val="00D709A6"/>
    <w:pPr>
      <w:pBdr>
        <w:bottom w:val="single" w:sz="4" w:space="0" w:color="auto"/>
      </w:pBdr>
      <w:spacing w:before="100" w:beforeAutospacing="1" w:after="100" w:afterAutospacing="1"/>
      <w:jc w:val="center"/>
    </w:pPr>
    <w:rPr>
      <w:rFonts w:ascii="Arial Narrow" w:hAnsi="Arial Narrow"/>
      <w:b/>
      <w:bCs/>
    </w:rPr>
  </w:style>
  <w:style w:type="paragraph" w:customStyle="1" w:styleId="xl34">
    <w:name w:val="xl34"/>
    <w:basedOn w:val="Normal"/>
    <w:rsid w:val="00D709A6"/>
    <w:pPr>
      <w:spacing w:before="100" w:beforeAutospacing="1" w:after="100" w:afterAutospacing="1"/>
    </w:pPr>
    <w:rPr>
      <w:rFonts w:ascii="Arial Narrow" w:hAnsi="Arial Narrow"/>
    </w:rPr>
  </w:style>
  <w:style w:type="paragraph" w:customStyle="1" w:styleId="xl35">
    <w:name w:val="xl35"/>
    <w:basedOn w:val="Normal"/>
    <w:rsid w:val="00D709A6"/>
    <w:pPr>
      <w:pBdr>
        <w:bottom w:val="single" w:sz="4" w:space="0" w:color="auto"/>
      </w:pBdr>
      <w:spacing w:before="100" w:beforeAutospacing="1" w:after="100" w:afterAutospacing="1"/>
    </w:pPr>
    <w:rPr>
      <w:rFonts w:ascii="Arial Narrow" w:hAnsi="Arial Narrow"/>
    </w:rPr>
  </w:style>
  <w:style w:type="paragraph" w:customStyle="1" w:styleId="xl36">
    <w:name w:val="xl36"/>
    <w:basedOn w:val="Normal"/>
    <w:rsid w:val="00D709A6"/>
    <w:pPr>
      <w:pBdr>
        <w:bottom w:val="single" w:sz="4" w:space="0" w:color="auto"/>
      </w:pBdr>
      <w:spacing w:before="100" w:beforeAutospacing="1" w:after="100" w:afterAutospacing="1"/>
    </w:pPr>
  </w:style>
  <w:style w:type="paragraph" w:customStyle="1" w:styleId="xl37">
    <w:name w:val="xl37"/>
    <w:basedOn w:val="Normal"/>
    <w:rsid w:val="00D709A6"/>
    <w:pPr>
      <w:pBdr>
        <w:bottom w:val="single" w:sz="4" w:space="0" w:color="auto"/>
      </w:pBdr>
      <w:spacing w:before="100" w:beforeAutospacing="1" w:after="100" w:afterAutospacing="1"/>
      <w:jc w:val="center"/>
    </w:pPr>
    <w:rPr>
      <w:rFonts w:ascii="Arial Narrow" w:hAnsi="Arial Narrow"/>
      <w:b/>
      <w:bCs/>
    </w:rPr>
  </w:style>
  <w:style w:type="paragraph" w:customStyle="1" w:styleId="xl38">
    <w:name w:val="xl38"/>
    <w:basedOn w:val="Normal"/>
    <w:rsid w:val="00D709A6"/>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39">
    <w:name w:val="xl39"/>
    <w:basedOn w:val="Normal"/>
    <w:rsid w:val="00D709A6"/>
    <w:pPr>
      <w:pBdr>
        <w:bottom w:val="single" w:sz="4" w:space="0" w:color="auto"/>
      </w:pBdr>
      <w:spacing w:before="100" w:beforeAutospacing="1" w:after="100" w:afterAutospacing="1"/>
    </w:pPr>
    <w:rPr>
      <w:rFonts w:ascii="Arial Narrow" w:hAnsi="Arial Narrow"/>
    </w:rPr>
  </w:style>
  <w:style w:type="paragraph" w:customStyle="1" w:styleId="xl40">
    <w:name w:val="xl40"/>
    <w:basedOn w:val="Normal"/>
    <w:rsid w:val="00D709A6"/>
    <w:pPr>
      <w:pBdr>
        <w:top w:val="single" w:sz="4" w:space="0" w:color="auto"/>
      </w:pBdr>
      <w:spacing w:before="100" w:beforeAutospacing="1" w:after="100" w:afterAutospacing="1"/>
    </w:pPr>
  </w:style>
  <w:style w:type="paragraph" w:customStyle="1" w:styleId="xl41">
    <w:name w:val="xl41"/>
    <w:basedOn w:val="Normal"/>
    <w:rsid w:val="00D709A6"/>
    <w:pPr>
      <w:pBdr>
        <w:top w:val="single" w:sz="4" w:space="0" w:color="auto"/>
      </w:pBdr>
      <w:spacing w:before="100" w:beforeAutospacing="1" w:after="100" w:afterAutospacing="1"/>
    </w:pPr>
    <w:rPr>
      <w:rFonts w:ascii="Arial Narrow" w:hAnsi="Arial Narrow"/>
    </w:rPr>
  </w:style>
  <w:style w:type="paragraph" w:customStyle="1" w:styleId="xl42">
    <w:name w:val="xl42"/>
    <w:basedOn w:val="Normal"/>
    <w:rsid w:val="00D709A6"/>
    <w:pPr>
      <w:pBdr>
        <w:bottom w:val="single" w:sz="4" w:space="0" w:color="auto"/>
      </w:pBdr>
      <w:spacing w:before="100" w:beforeAutospacing="1" w:after="100" w:afterAutospacing="1"/>
      <w:jc w:val="center"/>
    </w:pPr>
    <w:rPr>
      <w:rFonts w:ascii="Arial Narrow" w:hAnsi="Arial Narrow"/>
      <w:b/>
      <w:bCs/>
    </w:rPr>
  </w:style>
  <w:style w:type="paragraph" w:customStyle="1" w:styleId="xl43">
    <w:name w:val="xl43"/>
    <w:basedOn w:val="Normal"/>
    <w:rsid w:val="00D709A6"/>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44">
    <w:name w:val="xl44"/>
    <w:basedOn w:val="Normal"/>
    <w:rsid w:val="00D709A6"/>
    <w:pPr>
      <w:pBdr>
        <w:bottom w:val="single" w:sz="4" w:space="0" w:color="auto"/>
      </w:pBdr>
      <w:spacing w:before="100" w:beforeAutospacing="1" w:after="100" w:afterAutospacing="1"/>
      <w:jc w:val="center"/>
      <w:textAlignment w:val="top"/>
    </w:pPr>
    <w:rPr>
      <w:rFonts w:ascii="Arial Narrow" w:hAnsi="Arial Narrow"/>
      <w:b/>
      <w:bCs/>
      <w:sz w:val="22"/>
      <w:szCs w:val="22"/>
    </w:rPr>
  </w:style>
  <w:style w:type="paragraph" w:customStyle="1" w:styleId="xl45">
    <w:name w:val="xl45"/>
    <w:basedOn w:val="Normal"/>
    <w:rsid w:val="00D709A6"/>
    <w:pPr>
      <w:pBdr>
        <w:top w:val="single" w:sz="4" w:space="0" w:color="auto"/>
        <w:bottom w:val="single" w:sz="4" w:space="0" w:color="auto"/>
      </w:pBdr>
      <w:spacing w:before="100" w:beforeAutospacing="1" w:after="100" w:afterAutospacing="1"/>
      <w:jc w:val="center"/>
      <w:textAlignment w:val="top"/>
    </w:pPr>
    <w:rPr>
      <w:rFonts w:ascii="Arial Narrow" w:hAnsi="Arial Narrow"/>
      <w:b/>
      <w:bCs/>
    </w:rPr>
  </w:style>
  <w:style w:type="paragraph" w:customStyle="1" w:styleId="TN">
    <w:name w:val="TN"/>
    <w:basedOn w:val="H3"/>
    <w:rsid w:val="00D709A6"/>
    <w:pPr>
      <w:spacing w:after="0"/>
      <w:jc w:val="center"/>
    </w:pPr>
    <w:rPr>
      <w:sz w:val="22"/>
      <w:lang w:val="en-US" w:eastAsia="en-US"/>
    </w:rPr>
  </w:style>
  <w:style w:type="character" w:customStyle="1" w:styleId="NoteChar">
    <w:name w:val="Note Char"/>
    <w:rsid w:val="00D709A6"/>
    <w:rPr>
      <w:rFonts w:ascii="Arial Narrow" w:hAnsi="Arial Narrow"/>
      <w:szCs w:val="24"/>
      <w:lang w:val="en-US" w:eastAsia="en-US" w:bidi="ar-SA"/>
    </w:rPr>
  </w:style>
  <w:style w:type="character" w:customStyle="1" w:styleId="searchterm">
    <w:name w:val="searchterm"/>
    <w:rsid w:val="00D709A6"/>
  </w:style>
  <w:style w:type="paragraph" w:styleId="FootnoteText">
    <w:name w:val="footnote text"/>
    <w:aliases w:val=" Char Char, Char,Footnote Text Char2,Footnote Text Char1 Char,Footnote Text1 Char, Char Char Char Char Char, Char Char Char1 Char, Char Char1 Char Char,Footnote Text1,Footnote Text Char1,Footnote Text Char Char Char Char"/>
    <w:basedOn w:val="Normal"/>
    <w:link w:val="FootnoteTextChar"/>
    <w:rsid w:val="00D709A6"/>
    <w:rPr>
      <w:sz w:val="20"/>
      <w:szCs w:val="20"/>
    </w:rPr>
  </w:style>
  <w:style w:type="character" w:customStyle="1" w:styleId="FootnoteTextChar">
    <w:name w:val="Footnote Text Char"/>
    <w:aliases w:val=" Char Char Char1, Char Char2,Footnote Text Char2 Char1,Footnote Text Char1 Char Char1,Footnote Text1 Char Char1, Char Char Char Char Char Char1, Char Char Char1 Char Char1, Char Char1 Char Char Char1,Footnote Text1 Char1"/>
    <w:basedOn w:val="DefaultParagraphFont"/>
    <w:link w:val="FootnoteText"/>
    <w:rsid w:val="00D709A6"/>
  </w:style>
  <w:style w:type="character" w:styleId="FootnoteReference">
    <w:name w:val="footnote reference"/>
    <w:rsid w:val="00D709A6"/>
    <w:rPr>
      <w:vertAlign w:val="superscript"/>
    </w:rPr>
  </w:style>
  <w:style w:type="character" w:customStyle="1" w:styleId="CellBodyRChar">
    <w:name w:val="CellBodyR Char"/>
    <w:link w:val="CellBodyR"/>
    <w:rsid w:val="00D709A6"/>
    <w:rPr>
      <w:rFonts w:ascii="Arial Narrow" w:hAnsi="Arial Narrow"/>
      <w:sz w:val="22"/>
      <w:szCs w:val="24"/>
      <w:lang w:val="x-none" w:eastAsia="x-none"/>
    </w:rPr>
  </w:style>
  <w:style w:type="paragraph" w:styleId="BodyText2">
    <w:name w:val="Body Text 2"/>
    <w:basedOn w:val="Normal"/>
    <w:link w:val="BodyText2Char"/>
    <w:rsid w:val="00D709A6"/>
    <w:pPr>
      <w:spacing w:after="120" w:line="480" w:lineRule="auto"/>
    </w:pPr>
  </w:style>
  <w:style w:type="character" w:customStyle="1" w:styleId="BodyText2Char">
    <w:name w:val="Body Text 2 Char"/>
    <w:link w:val="BodyText2"/>
    <w:rsid w:val="00D709A6"/>
    <w:rPr>
      <w:sz w:val="24"/>
      <w:szCs w:val="24"/>
    </w:rPr>
  </w:style>
  <w:style w:type="paragraph" w:customStyle="1" w:styleId="1AutoList1">
    <w:name w:val="1AutoList1"/>
    <w:rsid w:val="00D709A6"/>
    <w:pPr>
      <w:widowControl w:val="0"/>
      <w:tabs>
        <w:tab w:val="left" w:pos="720"/>
      </w:tabs>
      <w:ind w:left="720" w:hanging="720"/>
      <w:jc w:val="both"/>
    </w:pPr>
    <w:rPr>
      <w:snapToGrid w:val="0"/>
      <w:sz w:val="24"/>
    </w:rPr>
  </w:style>
  <w:style w:type="paragraph" w:styleId="BlockText">
    <w:name w:val="Block Text"/>
    <w:basedOn w:val="Normal"/>
    <w:rsid w:val="00D709A6"/>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1260" w:right="1260"/>
    </w:pPr>
    <w:rPr>
      <w:szCs w:val="18"/>
    </w:rPr>
  </w:style>
  <w:style w:type="paragraph" w:styleId="BodyTextIndent">
    <w:name w:val="Body Text Indent"/>
    <w:basedOn w:val="Normal"/>
    <w:link w:val="BodyTextIndentChar"/>
    <w:rsid w:val="00D709A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720" w:hanging="360"/>
    </w:pPr>
    <w:rPr>
      <w:rFonts w:ascii="Arial" w:hAnsi="Arial" w:cs="Arial"/>
      <w:sz w:val="22"/>
    </w:rPr>
  </w:style>
  <w:style w:type="character" w:customStyle="1" w:styleId="BodyTextIndentChar">
    <w:name w:val="Body Text Indent Char"/>
    <w:link w:val="BodyTextIndent"/>
    <w:rsid w:val="00D709A6"/>
    <w:rPr>
      <w:rFonts w:ascii="Arial" w:hAnsi="Arial" w:cs="Arial"/>
      <w:sz w:val="22"/>
      <w:szCs w:val="24"/>
    </w:rPr>
  </w:style>
  <w:style w:type="paragraph" w:styleId="BodyTextIndent3">
    <w:name w:val="Body Text Indent 3"/>
    <w:basedOn w:val="Normal"/>
    <w:link w:val="BodyTextIndent3Char"/>
    <w:rsid w:val="00D709A6"/>
    <w:pPr>
      <w:spacing w:after="120"/>
      <w:ind w:left="360"/>
    </w:pPr>
    <w:rPr>
      <w:sz w:val="16"/>
      <w:szCs w:val="16"/>
    </w:rPr>
  </w:style>
  <w:style w:type="character" w:customStyle="1" w:styleId="BodyTextIndent3Char">
    <w:name w:val="Body Text Indent 3 Char"/>
    <w:link w:val="BodyTextIndent3"/>
    <w:rsid w:val="00D709A6"/>
    <w:rPr>
      <w:sz w:val="16"/>
      <w:szCs w:val="16"/>
    </w:rPr>
  </w:style>
  <w:style w:type="paragraph" w:customStyle="1" w:styleId="1AutoList18">
    <w:name w:val="1AutoList18"/>
    <w:rsid w:val="00D709A6"/>
    <w:pPr>
      <w:widowControl w:val="0"/>
      <w:tabs>
        <w:tab w:val="left" w:pos="720"/>
      </w:tabs>
      <w:ind w:left="720" w:hanging="720"/>
      <w:jc w:val="both"/>
    </w:pPr>
    <w:rPr>
      <w:snapToGrid w:val="0"/>
      <w:sz w:val="24"/>
    </w:rPr>
  </w:style>
  <w:style w:type="paragraph" w:customStyle="1" w:styleId="2AutoList18">
    <w:name w:val="2AutoList18"/>
    <w:rsid w:val="00D709A6"/>
    <w:pPr>
      <w:widowControl w:val="0"/>
      <w:tabs>
        <w:tab w:val="left" w:pos="720"/>
        <w:tab w:val="left" w:pos="1440"/>
      </w:tabs>
      <w:ind w:left="1440" w:hanging="720"/>
      <w:jc w:val="both"/>
    </w:pPr>
    <w:rPr>
      <w:snapToGrid w:val="0"/>
      <w:sz w:val="24"/>
    </w:rPr>
  </w:style>
  <w:style w:type="character" w:customStyle="1" w:styleId="RandCStatuteChar">
    <w:name w:val="RandCStatute Char"/>
    <w:link w:val="RandCStatute"/>
    <w:rsid w:val="00D709A6"/>
    <w:rPr>
      <w:sz w:val="22"/>
      <w:szCs w:val="24"/>
      <w:lang w:val="x-none" w:eastAsia="x-none"/>
    </w:rPr>
  </w:style>
  <w:style w:type="character" w:customStyle="1" w:styleId="RandCHeadChar">
    <w:name w:val="RandCHead Char"/>
    <w:link w:val="RandCHead"/>
    <w:rsid w:val="00D709A6"/>
    <w:rPr>
      <w:rFonts w:ascii="Arial Narrow" w:hAnsi="Arial Narrow"/>
      <w:b/>
      <w:sz w:val="24"/>
      <w:szCs w:val="24"/>
      <w:lang w:val="x-none" w:eastAsia="x-none"/>
    </w:rPr>
  </w:style>
  <w:style w:type="numbering" w:customStyle="1" w:styleId="1ai1">
    <w:name w:val="1 / a / i1"/>
    <w:basedOn w:val="NoList"/>
    <w:next w:val="1ai"/>
    <w:rsid w:val="00D709A6"/>
  </w:style>
  <w:style w:type="character" w:customStyle="1" w:styleId="NoteTitleChar">
    <w:name w:val="NoteTitle Char"/>
    <w:link w:val="NoteTitle"/>
    <w:rsid w:val="00D709A6"/>
    <w:rPr>
      <w:rFonts w:ascii="Arial" w:hAnsi="Arial"/>
      <w:szCs w:val="24"/>
    </w:rPr>
  </w:style>
  <w:style w:type="table" w:styleId="TableClassic1">
    <w:name w:val="Table Classic 1"/>
    <w:basedOn w:val="TableNormal"/>
    <w:rsid w:val="00D709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3">
    <w:name w:val="Char Char3"/>
    <w:rsid w:val="00D709A6"/>
    <w:rPr>
      <w:rFonts w:ascii="Tahoma" w:hAnsi="Tahoma" w:cs="Tahoma"/>
      <w:sz w:val="16"/>
      <w:szCs w:val="16"/>
    </w:rPr>
  </w:style>
  <w:style w:type="paragraph" w:styleId="DocumentMap">
    <w:name w:val="Document Map"/>
    <w:basedOn w:val="Normal"/>
    <w:link w:val="DocumentMapChar"/>
    <w:rsid w:val="00D709A6"/>
    <w:rPr>
      <w:rFonts w:ascii="Tahoma" w:hAnsi="Tahoma" w:cs="Tahoma"/>
      <w:sz w:val="16"/>
      <w:szCs w:val="16"/>
    </w:rPr>
  </w:style>
  <w:style w:type="character" w:customStyle="1" w:styleId="DocumentMapChar">
    <w:name w:val="Document Map Char"/>
    <w:link w:val="DocumentMap"/>
    <w:rsid w:val="00D709A6"/>
    <w:rPr>
      <w:rFonts w:ascii="Tahoma" w:hAnsi="Tahoma" w:cs="Tahoma"/>
      <w:sz w:val="16"/>
      <w:szCs w:val="16"/>
    </w:rPr>
  </w:style>
  <w:style w:type="character" w:customStyle="1" w:styleId="HAChar">
    <w:name w:val="HA Char"/>
    <w:link w:val="HA"/>
    <w:rsid w:val="00D709A6"/>
    <w:rPr>
      <w:rFonts w:ascii="Arial Narrow" w:hAnsi="Arial Narrow"/>
      <w:b/>
      <w:sz w:val="22"/>
      <w:szCs w:val="24"/>
      <w:lang w:val="x-none" w:eastAsia="x-none"/>
    </w:rPr>
  </w:style>
  <w:style w:type="paragraph" w:styleId="NoSpacing">
    <w:name w:val="No Spacing"/>
    <w:uiPriority w:val="1"/>
    <w:qFormat/>
    <w:rsid w:val="00D709A6"/>
    <w:rPr>
      <w:rFonts w:ascii="Arial" w:eastAsia="Calibri" w:hAnsi="Arial"/>
      <w:sz w:val="24"/>
      <w:szCs w:val="22"/>
    </w:rPr>
  </w:style>
  <w:style w:type="character" w:customStyle="1" w:styleId="SBTextChar">
    <w:name w:val="SBText Char"/>
    <w:link w:val="SBText"/>
    <w:rsid w:val="00D709A6"/>
    <w:rPr>
      <w:sz w:val="22"/>
      <w:szCs w:val="24"/>
      <w:shd w:val="clear" w:color="auto" w:fill="CCCCCC"/>
      <w:lang w:val="x-none" w:eastAsia="x-none"/>
    </w:rPr>
  </w:style>
  <w:style w:type="paragraph" w:customStyle="1" w:styleId="StyleNoteHeadBottomSinglesolidlineAuto05ptLinewi">
    <w:name w:val="Style Note_Head + Bottom: (Single solid line Auto  0.5 pt Line wi..."/>
    <w:basedOn w:val="NoteHead"/>
    <w:autoRedefine/>
    <w:rsid w:val="00D709A6"/>
    <w:rPr>
      <w:bCs/>
      <w:szCs w:val="20"/>
    </w:rPr>
  </w:style>
  <w:style w:type="character" w:customStyle="1" w:styleId="HQChar">
    <w:name w:val="HQ Char"/>
    <w:link w:val="HQ"/>
    <w:rsid w:val="00D709A6"/>
    <w:rPr>
      <w:rFonts w:ascii="Arial Narrow" w:hAnsi="Arial Narrow"/>
      <w:b/>
      <w:sz w:val="22"/>
      <w:szCs w:val="24"/>
      <w:lang w:val="x-none" w:eastAsia="x-none"/>
    </w:rPr>
  </w:style>
  <w:style w:type="paragraph" w:customStyle="1" w:styleId="NoteHead0">
    <w:name w:val="Note Head"/>
    <w:basedOn w:val="NoteHead"/>
    <w:next w:val="NoteTitle"/>
    <w:autoRedefine/>
    <w:rsid w:val="00D709A6"/>
    <w:rPr>
      <w:b w:val="0"/>
    </w:rPr>
  </w:style>
  <w:style w:type="paragraph" w:customStyle="1" w:styleId="Extract">
    <w:name w:val="Extract"/>
    <w:basedOn w:val="Bodynoindent"/>
    <w:rsid w:val="00D709A6"/>
    <w:pPr>
      <w:ind w:left="360" w:right="360"/>
    </w:pPr>
    <w:rPr>
      <w:lang w:val="en-US" w:eastAsia="en-US"/>
    </w:rPr>
  </w:style>
  <w:style w:type="character" w:customStyle="1" w:styleId="CellBodyCfirstChar">
    <w:name w:val="CellBodyC_first Char"/>
    <w:link w:val="CellBodyCfirst"/>
    <w:rsid w:val="00D709A6"/>
    <w:rPr>
      <w:rFonts w:ascii="Arial Narrow" w:hAnsi="Arial Narrow"/>
      <w:sz w:val="22"/>
      <w:szCs w:val="24"/>
      <w:lang w:val="x-none" w:eastAsia="x-none"/>
    </w:rPr>
  </w:style>
  <w:style w:type="character" w:customStyle="1" w:styleId="CellHeadingChar">
    <w:name w:val="CellHeading Char"/>
    <w:link w:val="CellHeading"/>
    <w:rsid w:val="00D709A6"/>
    <w:rPr>
      <w:rFonts w:ascii="Arial Narrow" w:hAnsi="Arial Narrow"/>
      <w:b/>
      <w:sz w:val="22"/>
      <w:szCs w:val="24"/>
      <w:lang w:val="x-none" w:eastAsia="x-none"/>
    </w:rPr>
  </w:style>
  <w:style w:type="character" w:customStyle="1" w:styleId="CellBodyfirstChar">
    <w:name w:val="CellBody_first Char"/>
    <w:link w:val="CellBodyfirst"/>
    <w:rsid w:val="00D709A6"/>
    <w:rPr>
      <w:rFonts w:ascii="Arial Narrow" w:hAnsi="Arial Narrow"/>
      <w:sz w:val="22"/>
      <w:szCs w:val="24"/>
      <w:lang w:val="x-none" w:eastAsia="x-none"/>
    </w:rPr>
  </w:style>
  <w:style w:type="character" w:customStyle="1" w:styleId="QTChar">
    <w:name w:val="QT Char"/>
    <w:link w:val="QT"/>
    <w:rsid w:val="00D709A6"/>
    <w:rPr>
      <w:sz w:val="22"/>
      <w:szCs w:val="24"/>
      <w:lang w:val="x-none" w:eastAsia="x-none"/>
    </w:rPr>
  </w:style>
  <w:style w:type="character" w:customStyle="1" w:styleId="LTOChar">
    <w:name w:val="LTO Char"/>
    <w:link w:val="LTO"/>
    <w:rsid w:val="00D709A6"/>
    <w:rPr>
      <w:rFonts w:ascii="Arial" w:hAnsi="Arial"/>
      <w:szCs w:val="24"/>
    </w:rPr>
  </w:style>
  <w:style w:type="numbering" w:customStyle="1" w:styleId="NoList11">
    <w:name w:val="No List11"/>
    <w:next w:val="NoList"/>
    <w:uiPriority w:val="99"/>
    <w:semiHidden/>
    <w:unhideWhenUsed/>
    <w:rsid w:val="00D709A6"/>
  </w:style>
  <w:style w:type="table" w:customStyle="1" w:styleId="TableGrid11">
    <w:name w:val="Table Grid11"/>
    <w:basedOn w:val="TableNormal"/>
    <w:next w:val="TableGrid"/>
    <w:uiPriority w:val="59"/>
    <w:rsid w:val="00D709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09A6"/>
  </w:style>
  <w:style w:type="paragraph" w:styleId="Revision">
    <w:name w:val="Revision"/>
    <w:hidden/>
    <w:uiPriority w:val="99"/>
    <w:semiHidden/>
    <w:rsid w:val="00D709A6"/>
    <w:rPr>
      <w:sz w:val="24"/>
      <w:szCs w:val="24"/>
    </w:rPr>
  </w:style>
  <w:style w:type="numbering" w:customStyle="1" w:styleId="NoList111">
    <w:name w:val="No List111"/>
    <w:next w:val="NoList"/>
    <w:semiHidden/>
    <w:unhideWhenUsed/>
    <w:rsid w:val="00D709A6"/>
  </w:style>
  <w:style w:type="numbering" w:customStyle="1" w:styleId="NoList2">
    <w:name w:val="No List2"/>
    <w:next w:val="NoList"/>
    <w:uiPriority w:val="99"/>
    <w:semiHidden/>
    <w:unhideWhenUsed/>
    <w:rsid w:val="00270E8A"/>
  </w:style>
  <w:style w:type="table" w:customStyle="1" w:styleId="TableGrid2">
    <w:name w:val="Table Grid2"/>
    <w:basedOn w:val="TableNormal"/>
    <w:next w:val="TableGrid"/>
    <w:rsid w:val="0027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NoList"/>
    <w:next w:val="1ai"/>
    <w:rsid w:val="00270E8A"/>
  </w:style>
  <w:style w:type="table" w:customStyle="1" w:styleId="TableClassic11">
    <w:name w:val="Table Classic 11"/>
    <w:basedOn w:val="TableNormal"/>
    <w:next w:val="TableClassic1"/>
    <w:rsid w:val="00270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270E8A"/>
  </w:style>
  <w:style w:type="table" w:customStyle="1" w:styleId="TableGrid12">
    <w:name w:val="Table Grid12"/>
    <w:basedOn w:val="TableNormal"/>
    <w:next w:val="TableGrid"/>
    <w:uiPriority w:val="59"/>
    <w:rsid w:val="00270E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unhideWhenUsed/>
    <w:rsid w:val="00270E8A"/>
  </w:style>
  <w:style w:type="numbering" w:customStyle="1" w:styleId="NoList3">
    <w:name w:val="No List3"/>
    <w:next w:val="NoList"/>
    <w:uiPriority w:val="99"/>
    <w:semiHidden/>
    <w:unhideWhenUsed/>
    <w:rsid w:val="00270E8A"/>
  </w:style>
  <w:style w:type="numbering" w:customStyle="1" w:styleId="1ai4">
    <w:name w:val="1 / a / i4"/>
    <w:basedOn w:val="NoList"/>
    <w:next w:val="1ai"/>
    <w:rsid w:val="00270E8A"/>
  </w:style>
  <w:style w:type="numbering" w:customStyle="1" w:styleId="NoList13">
    <w:name w:val="No List13"/>
    <w:next w:val="NoList"/>
    <w:uiPriority w:val="99"/>
    <w:semiHidden/>
    <w:unhideWhenUsed/>
    <w:rsid w:val="00270E8A"/>
  </w:style>
  <w:style w:type="table" w:customStyle="1" w:styleId="TableGrid13">
    <w:name w:val="Table Grid13"/>
    <w:basedOn w:val="TableNormal"/>
    <w:next w:val="TableGrid"/>
    <w:uiPriority w:val="59"/>
    <w:rsid w:val="00270E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unhideWhenUsed/>
    <w:rsid w:val="00270E8A"/>
  </w:style>
  <w:style w:type="numbering" w:customStyle="1" w:styleId="1ai5">
    <w:name w:val="1 / a / i5"/>
    <w:basedOn w:val="NoList"/>
    <w:next w:val="1ai"/>
    <w:rsid w:val="006A75E2"/>
  </w:style>
  <w:style w:type="numbering" w:customStyle="1" w:styleId="1ai11">
    <w:name w:val="1 / a / i11"/>
    <w:basedOn w:val="NoList"/>
    <w:next w:val="1ai"/>
    <w:rsid w:val="006A75E2"/>
  </w:style>
  <w:style w:type="numbering" w:customStyle="1" w:styleId="1ai31">
    <w:name w:val="1 / a / i31"/>
    <w:basedOn w:val="NoList"/>
    <w:next w:val="1ai"/>
    <w:rsid w:val="006A75E2"/>
  </w:style>
  <w:style w:type="numbering" w:customStyle="1" w:styleId="1ai41">
    <w:name w:val="1 / a / i41"/>
    <w:basedOn w:val="NoList"/>
    <w:next w:val="1ai"/>
    <w:rsid w:val="006A75E2"/>
  </w:style>
  <w:style w:type="paragraph" w:styleId="List">
    <w:name w:val="List"/>
    <w:basedOn w:val="Normal"/>
    <w:rsid w:val="006A75E2"/>
    <w:pPr>
      <w:ind w:left="360" w:hanging="360"/>
      <w:contextualSpacing/>
    </w:pPr>
  </w:style>
  <w:style w:type="paragraph" w:styleId="Caption">
    <w:name w:val="caption"/>
    <w:basedOn w:val="Normal"/>
    <w:next w:val="Normal"/>
    <w:unhideWhenUsed/>
    <w:qFormat/>
    <w:rsid w:val="006A75E2"/>
    <w:pPr>
      <w:spacing w:after="200"/>
    </w:pPr>
    <w:rPr>
      <w:b/>
      <w:bCs/>
      <w:color w:val="4F81BD" w:themeColor="accent1"/>
      <w:sz w:val="18"/>
      <w:szCs w:val="18"/>
    </w:rPr>
  </w:style>
  <w:style w:type="paragraph" w:styleId="BodyTextFirstIndent">
    <w:name w:val="Body Text First Indent"/>
    <w:basedOn w:val="BodyText"/>
    <w:link w:val="BodyTextFirstIndentChar"/>
    <w:rsid w:val="006A75E2"/>
    <w:pPr>
      <w:keepLines w:val="0"/>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s>
      <w:ind w:firstLine="360"/>
    </w:pPr>
    <w:rPr>
      <w:sz w:val="24"/>
      <w:szCs w:val="24"/>
    </w:rPr>
  </w:style>
  <w:style w:type="character" w:customStyle="1" w:styleId="BodyTextFirstIndentChar">
    <w:name w:val="Body Text First Indent Char"/>
    <w:basedOn w:val="BodyTextChar"/>
    <w:link w:val="BodyTextFirstIndent"/>
    <w:rsid w:val="006A75E2"/>
    <w:rPr>
      <w:sz w:val="24"/>
      <w:szCs w:val="24"/>
    </w:rPr>
  </w:style>
  <w:style w:type="paragraph" w:styleId="BodyTextFirstIndent2">
    <w:name w:val="Body Text First Indent 2"/>
    <w:basedOn w:val="BodyTextIndent"/>
    <w:link w:val="BodyTextFirstIndent2Char"/>
    <w:rsid w:val="006A75E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s>
      <w:ind w:left="360" w:firstLine="360"/>
    </w:pPr>
    <w:rPr>
      <w:rFonts w:ascii="Times New Roman" w:hAnsi="Times New Roman" w:cs="Times New Roman"/>
      <w:sz w:val="24"/>
    </w:rPr>
  </w:style>
  <w:style w:type="character" w:customStyle="1" w:styleId="BodyTextFirstIndent2Char">
    <w:name w:val="Body Text First Indent 2 Char"/>
    <w:basedOn w:val="BodyTextIndentChar"/>
    <w:link w:val="BodyTextFirstIndent2"/>
    <w:rsid w:val="006A75E2"/>
    <w:rPr>
      <w:rFonts w:ascii="Arial" w:hAnsi="Arial" w:cs="Arial"/>
      <w:sz w:val="24"/>
      <w:szCs w:val="24"/>
    </w:rPr>
  </w:style>
  <w:style w:type="numbering" w:customStyle="1" w:styleId="1ai51">
    <w:name w:val="1 / a / i51"/>
    <w:basedOn w:val="NoList"/>
    <w:next w:val="1ai"/>
    <w:rsid w:val="006A75E2"/>
  </w:style>
  <w:style w:type="paragraph" w:styleId="BodyTextIndent2">
    <w:name w:val="Body Text Indent 2"/>
    <w:basedOn w:val="Normal"/>
    <w:link w:val="BodyTextIndent2Char"/>
    <w:rsid w:val="006A75E2"/>
    <w:pPr>
      <w:spacing w:after="120" w:line="480" w:lineRule="auto"/>
      <w:ind w:left="360"/>
    </w:pPr>
  </w:style>
  <w:style w:type="character" w:customStyle="1" w:styleId="BodyTextIndent2Char">
    <w:name w:val="Body Text Indent 2 Char"/>
    <w:basedOn w:val="DefaultParagraphFont"/>
    <w:link w:val="BodyTextIndent2"/>
    <w:rsid w:val="006A75E2"/>
    <w:rPr>
      <w:sz w:val="24"/>
      <w:szCs w:val="24"/>
    </w:rPr>
  </w:style>
  <w:style w:type="paragraph" w:customStyle="1" w:styleId="Quick">
    <w:name w:val="Quick Ѓ"/>
    <w:basedOn w:val="Normal"/>
    <w:rsid w:val="006A75E2"/>
    <w:pPr>
      <w:widowControl w:val="0"/>
    </w:pPr>
    <w:rPr>
      <w:szCs w:val="20"/>
    </w:rPr>
  </w:style>
  <w:style w:type="paragraph" w:customStyle="1" w:styleId="Default">
    <w:name w:val="Default"/>
    <w:rsid w:val="006A75E2"/>
    <w:pPr>
      <w:autoSpaceDE w:val="0"/>
      <w:autoSpaceDN w:val="0"/>
      <w:adjustRightInd w:val="0"/>
    </w:pPr>
    <w:rPr>
      <w:color w:val="000000"/>
      <w:sz w:val="24"/>
      <w:szCs w:val="24"/>
    </w:rPr>
  </w:style>
  <w:style w:type="character" w:customStyle="1" w:styleId="permalink">
    <w:name w:val="permalink"/>
    <w:rsid w:val="006A75E2"/>
    <w:rPr>
      <w:rFonts w:cs="Times New Roman"/>
    </w:rPr>
  </w:style>
  <w:style w:type="character" w:customStyle="1" w:styleId="permalink1">
    <w:name w:val="permalink1"/>
    <w:rsid w:val="006A75E2"/>
    <w:rPr>
      <w:vanish/>
      <w:webHidden w:val="0"/>
      <w:specVanish w:val="0"/>
    </w:rPr>
  </w:style>
  <w:style w:type="character" w:customStyle="1" w:styleId="emphi">
    <w:name w:val="emphi"/>
    <w:basedOn w:val="DefaultParagraphFont"/>
    <w:rsid w:val="006A75E2"/>
  </w:style>
  <w:style w:type="character" w:customStyle="1" w:styleId="TOCSummaryChar">
    <w:name w:val="TOC_Summary Char"/>
    <w:link w:val="TOCSummary"/>
    <w:rsid w:val="006A75E2"/>
    <w:rPr>
      <w:rFonts w:ascii="Arial Narrow" w:hAnsi="Arial Narrow"/>
      <w:sz w:val="24"/>
      <w:szCs w:val="24"/>
      <w:shd w:val="clear" w:color="auto" w:fill="CCCCCC"/>
      <w:lang w:val="x-none" w:eastAsia="x-none"/>
    </w:rPr>
  </w:style>
  <w:style w:type="character" w:customStyle="1" w:styleId="CharChar1">
    <w:name w:val="Char Char1"/>
    <w:locked/>
    <w:rsid w:val="006A75E2"/>
    <w:rPr>
      <w:rFonts w:cs="Times New Roman"/>
    </w:rPr>
  </w:style>
  <w:style w:type="character" w:customStyle="1" w:styleId="tllsllbutton1">
    <w:name w:val="tllsllbutton1"/>
    <w:rsid w:val="006A75E2"/>
    <w:rPr>
      <w:rFonts w:ascii="Verdana" w:hAnsi="Verdana" w:hint="default"/>
      <w:b/>
      <w:bCs/>
      <w:sz w:val="10"/>
      <w:szCs w:val="10"/>
    </w:rPr>
  </w:style>
  <w:style w:type="paragraph" w:customStyle="1" w:styleId="FLT">
    <w:name w:val="FLT"/>
    <w:basedOn w:val="Normal"/>
    <w:rsid w:val="00B6385C"/>
    <w:pPr>
      <w:spacing w:before="360" w:line="220" w:lineRule="atLeast"/>
      <w:jc w:val="both"/>
    </w:pPr>
    <w:rPr>
      <w:rFonts w:ascii="Palatino" w:hAnsi="Palatino"/>
      <w:sz w:val="20"/>
      <w:szCs w:val="20"/>
    </w:rPr>
  </w:style>
  <w:style w:type="character" w:customStyle="1" w:styleId="TableFootnoteChar">
    <w:name w:val="TableFootnote Char"/>
    <w:basedOn w:val="CellBodyChar"/>
    <w:link w:val="TableFootnote"/>
    <w:rsid w:val="00B6385C"/>
    <w:rPr>
      <w:rFonts w:ascii="Arial Narrow" w:hAnsi="Arial Narrow"/>
      <w:szCs w:val="24"/>
      <w:lang w:val="x-none" w:eastAsia="x-none" w:bidi="ar-SA"/>
    </w:rPr>
  </w:style>
  <w:style w:type="paragraph" w:customStyle="1" w:styleId="BLcont">
    <w:name w:val="BL con't"/>
    <w:basedOn w:val="FLT"/>
    <w:rsid w:val="00B6385C"/>
    <w:pPr>
      <w:widowControl w:val="0"/>
      <w:tabs>
        <w:tab w:val="left" w:pos="780"/>
      </w:tabs>
      <w:spacing w:before="40" w:line="260" w:lineRule="atLeast"/>
      <w:ind w:left="780" w:hanging="300"/>
    </w:pPr>
    <w:rPr>
      <w:sz w:val="22"/>
    </w:rPr>
  </w:style>
  <w:style w:type="character" w:customStyle="1" w:styleId="cr">
    <w:name w:val="cr"/>
    <w:rsid w:val="00B6385C"/>
    <w:rPr>
      <w:rFonts w:ascii="Times New Roman" w:hAnsi="Times New Roman"/>
      <w:b/>
      <w:i/>
      <w:sz w:val="20"/>
    </w:rPr>
  </w:style>
  <w:style w:type="paragraph" w:customStyle="1" w:styleId="Example3col">
    <w:name w:val="Example 3col"/>
    <w:basedOn w:val="Normal"/>
    <w:rsid w:val="00B6385C"/>
    <w:pPr>
      <w:tabs>
        <w:tab w:val="left" w:pos="1200"/>
        <w:tab w:val="left" w:pos="1440"/>
        <w:tab w:val="decimal" w:pos="4410"/>
        <w:tab w:val="right" w:pos="4800"/>
        <w:tab w:val="decimal" w:pos="5580"/>
        <w:tab w:val="decimal" w:pos="5940"/>
        <w:tab w:val="right" w:pos="6000"/>
        <w:tab w:val="decimal" w:pos="7020"/>
        <w:tab w:val="right" w:pos="7200"/>
        <w:tab w:val="decimal" w:pos="7380"/>
        <w:tab w:val="decimal" w:pos="8370"/>
      </w:tabs>
      <w:ind w:left="720"/>
    </w:pPr>
  </w:style>
  <w:style w:type="paragraph" w:styleId="NormalIndent">
    <w:name w:val="Normal Indent"/>
    <w:basedOn w:val="Normal"/>
    <w:rsid w:val="00B6385C"/>
    <w:pPr>
      <w:spacing w:line="240" w:lineRule="exact"/>
      <w:ind w:left="720"/>
      <w:jc w:val="both"/>
    </w:pPr>
    <w:rPr>
      <w:szCs w:val="20"/>
    </w:rPr>
  </w:style>
  <w:style w:type="paragraph" w:customStyle="1" w:styleId="Example3col0">
    <w:name w:val="Example3col"/>
    <w:basedOn w:val="NormalIndent"/>
    <w:rsid w:val="00B6385C"/>
    <w:pPr>
      <w:tabs>
        <w:tab w:val="left" w:pos="1440"/>
        <w:tab w:val="decimal" w:pos="5940"/>
        <w:tab w:val="decimal" w:pos="7020"/>
        <w:tab w:val="decimal" w:pos="8370"/>
      </w:tabs>
    </w:pPr>
  </w:style>
  <w:style w:type="paragraph" w:customStyle="1" w:styleId="Example10">
    <w:name w:val="Example10"/>
    <w:basedOn w:val="Example3col0"/>
    <w:rsid w:val="00B6385C"/>
    <w:pPr>
      <w:spacing w:line="200" w:lineRule="exact"/>
    </w:pPr>
    <w:rPr>
      <w:sz w:val="20"/>
    </w:rPr>
  </w:style>
  <w:style w:type="character" w:customStyle="1" w:styleId="FootnoteTextChar3">
    <w:name w:val="Footnote Text Char3"/>
    <w:aliases w:val="Footnote Text Char Char, Char Char Char, Char Char1,Footnote Text Char2 Char,Footnote Text Char1 Char Char,Footnote Text1 Char Char, Char Char Char Char Char Char, Char Char Char1 Char Char, Char Char1 Char Char Char"/>
    <w:semiHidden/>
    <w:rsid w:val="00B6385C"/>
    <w:rPr>
      <w:lang w:val="en-US" w:eastAsia="en-US" w:bidi="ar-SA"/>
    </w:rPr>
  </w:style>
  <w:style w:type="paragraph" w:customStyle="1" w:styleId="Intro">
    <w:name w:val="Intro"/>
    <w:basedOn w:val="Normal"/>
    <w:rsid w:val="00B6385C"/>
    <w:pPr>
      <w:spacing w:line="240" w:lineRule="exact"/>
      <w:jc w:val="center"/>
    </w:pPr>
    <w:rPr>
      <w:b/>
      <w:caps/>
      <w:szCs w:val="20"/>
    </w:rPr>
  </w:style>
  <w:style w:type="paragraph" w:customStyle="1" w:styleId="Letter">
    <w:name w:val="Letter"/>
    <w:basedOn w:val="Normal"/>
    <w:rsid w:val="00B6385C"/>
    <w:pPr>
      <w:spacing w:line="240" w:lineRule="exact"/>
      <w:ind w:firstLine="720"/>
      <w:jc w:val="both"/>
    </w:pPr>
    <w:rPr>
      <w:szCs w:val="20"/>
    </w:rPr>
  </w:style>
  <w:style w:type="paragraph" w:customStyle="1" w:styleId="NoteTitle0">
    <w:name w:val="Note_Title"/>
    <w:basedOn w:val="NoteHead"/>
    <w:next w:val="Note"/>
    <w:autoRedefine/>
    <w:rsid w:val="00B6385C"/>
    <w:pPr>
      <w:spacing w:before="0" w:line="220" w:lineRule="atLeast"/>
    </w:pPr>
    <w:rPr>
      <w:rFonts w:ascii="Arial" w:hAnsi="Arial"/>
      <w:b w:val="0"/>
      <w:lang w:val="x-none" w:eastAsia="x-none"/>
    </w:rPr>
  </w:style>
  <w:style w:type="paragraph" w:customStyle="1" w:styleId="outlinelevel4">
    <w:name w:val="outline level 4"/>
    <w:rsid w:val="00B6385C"/>
    <w:pPr>
      <w:tabs>
        <w:tab w:val="left" w:pos="2400"/>
      </w:tabs>
      <w:overflowPunct w:val="0"/>
      <w:autoSpaceDE w:val="0"/>
      <w:autoSpaceDN w:val="0"/>
      <w:adjustRightInd w:val="0"/>
      <w:spacing w:before="60" w:after="60" w:line="240" w:lineRule="exact"/>
      <w:ind w:left="2400" w:hanging="600"/>
      <w:jc w:val="both"/>
      <w:textAlignment w:val="baseline"/>
    </w:pPr>
    <w:rPr>
      <w:rFonts w:ascii="Times" w:hAnsi="Times"/>
      <w:sz w:val="24"/>
    </w:rPr>
  </w:style>
  <w:style w:type="paragraph" w:customStyle="1" w:styleId="PI">
    <w:name w:val="PI"/>
    <w:basedOn w:val="FLT"/>
    <w:rsid w:val="00B6385C"/>
    <w:pPr>
      <w:widowControl w:val="0"/>
      <w:tabs>
        <w:tab w:val="left" w:pos="432"/>
        <w:tab w:val="left" w:pos="864"/>
        <w:tab w:val="left" w:pos="1296"/>
        <w:tab w:val="left" w:pos="1728"/>
        <w:tab w:val="left" w:pos="2160"/>
        <w:tab w:val="left" w:pos="2592"/>
      </w:tabs>
      <w:spacing w:before="0" w:line="260" w:lineRule="atLeast"/>
      <w:ind w:firstLine="240"/>
    </w:pPr>
    <w:rPr>
      <w:sz w:val="22"/>
    </w:rPr>
  </w:style>
  <w:style w:type="paragraph" w:customStyle="1" w:styleId="PIWS">
    <w:name w:val="PIWS"/>
    <w:basedOn w:val="Normal"/>
    <w:rsid w:val="00B6385C"/>
    <w:pPr>
      <w:spacing w:before="300" w:line="220" w:lineRule="atLeast"/>
      <w:ind w:firstLine="240"/>
    </w:pPr>
    <w:rPr>
      <w:rFonts w:ascii="Palatino" w:hAnsi="Palatino"/>
      <w:sz w:val="20"/>
    </w:rPr>
  </w:style>
  <w:style w:type="paragraph" w:customStyle="1" w:styleId="PIWS1p6">
    <w:name w:val="PIWS 1p6"/>
    <w:basedOn w:val="PIWS"/>
    <w:rsid w:val="00B6385C"/>
    <w:pPr>
      <w:widowControl w:val="0"/>
      <w:tabs>
        <w:tab w:val="left" w:pos="432"/>
        <w:tab w:val="left" w:pos="864"/>
        <w:tab w:val="left" w:pos="1296"/>
        <w:tab w:val="left" w:pos="1728"/>
        <w:tab w:val="left" w:pos="2160"/>
        <w:tab w:val="left" w:pos="2592"/>
      </w:tabs>
      <w:spacing w:before="360" w:line="260" w:lineRule="atLeast"/>
    </w:pPr>
    <w:rPr>
      <w:sz w:val="22"/>
    </w:rPr>
  </w:style>
  <w:style w:type="paragraph" w:customStyle="1" w:styleId="Style1">
    <w:name w:val="Style1"/>
    <w:basedOn w:val="Normal"/>
    <w:rsid w:val="00B6385C"/>
    <w:pPr>
      <w:tabs>
        <w:tab w:val="left" w:pos="144"/>
      </w:tabs>
      <w:ind w:left="2520" w:hanging="360"/>
    </w:pPr>
  </w:style>
  <w:style w:type="paragraph" w:styleId="TableofAuthorities">
    <w:name w:val="table of authorities"/>
    <w:basedOn w:val="Normal"/>
    <w:next w:val="Normal"/>
    <w:rsid w:val="00B6385C"/>
    <w:pPr>
      <w:tabs>
        <w:tab w:val="right" w:leader="dot" w:pos="8640"/>
      </w:tabs>
    </w:pPr>
    <w:rPr>
      <w:sz w:val="20"/>
    </w:rPr>
  </w:style>
  <w:style w:type="paragraph" w:styleId="TOAHeading">
    <w:name w:val="toa heading"/>
    <w:basedOn w:val="Normal"/>
    <w:next w:val="Normal"/>
    <w:rsid w:val="00B6385C"/>
    <w:pPr>
      <w:spacing w:before="120"/>
    </w:pPr>
    <w:rPr>
      <w:b/>
    </w:rPr>
  </w:style>
  <w:style w:type="paragraph" w:styleId="TOC1">
    <w:name w:val="toc 1"/>
    <w:basedOn w:val="Normal"/>
    <w:next w:val="Normal"/>
    <w:uiPriority w:val="39"/>
    <w:rsid w:val="00B6385C"/>
    <w:pPr>
      <w:tabs>
        <w:tab w:val="left" w:pos="1152"/>
        <w:tab w:val="right" w:pos="8640"/>
      </w:tabs>
      <w:spacing w:before="360"/>
    </w:pPr>
    <w:rPr>
      <w:b/>
      <w:caps/>
    </w:rPr>
  </w:style>
  <w:style w:type="paragraph" w:styleId="TOC2">
    <w:name w:val="toc 2"/>
    <w:basedOn w:val="Normal"/>
    <w:next w:val="Normal"/>
    <w:uiPriority w:val="39"/>
    <w:rsid w:val="00B6385C"/>
    <w:pPr>
      <w:widowControl w:val="0"/>
      <w:tabs>
        <w:tab w:val="left" w:pos="1152"/>
        <w:tab w:val="right" w:leader="dot" w:pos="8640"/>
      </w:tabs>
      <w:overflowPunct w:val="0"/>
      <w:autoSpaceDE w:val="0"/>
      <w:autoSpaceDN w:val="0"/>
      <w:adjustRightInd w:val="0"/>
      <w:spacing w:line="260" w:lineRule="atLeast"/>
      <w:ind w:left="220"/>
      <w:textAlignment w:val="baseline"/>
    </w:pPr>
    <w:rPr>
      <w:sz w:val="22"/>
      <w:szCs w:val="22"/>
    </w:rPr>
  </w:style>
  <w:style w:type="paragraph" w:styleId="TOC3">
    <w:name w:val="toc 3"/>
    <w:basedOn w:val="Normal"/>
    <w:next w:val="Normal"/>
    <w:uiPriority w:val="39"/>
    <w:rsid w:val="00B6385C"/>
    <w:pPr>
      <w:widowControl w:val="0"/>
      <w:tabs>
        <w:tab w:val="left" w:pos="2160"/>
        <w:tab w:val="right" w:leader="dot" w:pos="8640"/>
      </w:tabs>
      <w:overflowPunct w:val="0"/>
      <w:autoSpaceDE w:val="0"/>
      <w:autoSpaceDN w:val="0"/>
      <w:adjustRightInd w:val="0"/>
      <w:spacing w:line="260" w:lineRule="atLeast"/>
      <w:ind w:left="1152"/>
      <w:textAlignment w:val="baseline"/>
    </w:pPr>
    <w:rPr>
      <w:noProof/>
      <w:sz w:val="22"/>
      <w:szCs w:val="22"/>
    </w:rPr>
  </w:style>
  <w:style w:type="paragraph" w:styleId="TOC4">
    <w:name w:val="toc 4"/>
    <w:basedOn w:val="Normal"/>
    <w:next w:val="Normal"/>
    <w:autoRedefine/>
    <w:uiPriority w:val="39"/>
    <w:rsid w:val="00B6385C"/>
    <w:pPr>
      <w:widowControl w:val="0"/>
      <w:tabs>
        <w:tab w:val="left" w:pos="2340"/>
      </w:tabs>
      <w:overflowPunct w:val="0"/>
      <w:autoSpaceDE w:val="0"/>
      <w:autoSpaceDN w:val="0"/>
      <w:adjustRightInd w:val="0"/>
      <w:spacing w:line="260" w:lineRule="atLeast"/>
      <w:ind w:left="2340" w:hanging="630"/>
      <w:textAlignment w:val="baseline"/>
    </w:pPr>
    <w:rPr>
      <w:rFonts w:ascii="Palatino" w:hAnsi="Palatino"/>
      <w:noProof/>
      <w:sz w:val="22"/>
    </w:rPr>
  </w:style>
  <w:style w:type="paragraph" w:styleId="TOC5">
    <w:name w:val="toc 5"/>
    <w:basedOn w:val="Normal"/>
    <w:next w:val="Normal"/>
    <w:autoRedefine/>
    <w:rsid w:val="00B6385C"/>
    <w:pPr>
      <w:widowControl w:val="0"/>
      <w:overflowPunct w:val="0"/>
      <w:autoSpaceDE w:val="0"/>
      <w:autoSpaceDN w:val="0"/>
      <w:adjustRightInd w:val="0"/>
      <w:spacing w:line="260" w:lineRule="atLeast"/>
      <w:ind w:left="880"/>
      <w:textAlignment w:val="baseline"/>
    </w:pPr>
    <w:rPr>
      <w:rFonts w:ascii="Palatino" w:hAnsi="Palatino"/>
      <w:sz w:val="22"/>
    </w:rPr>
  </w:style>
  <w:style w:type="paragraph" w:styleId="TOC6">
    <w:name w:val="toc 6"/>
    <w:basedOn w:val="Normal"/>
    <w:next w:val="Normal"/>
    <w:autoRedefine/>
    <w:rsid w:val="00B6385C"/>
    <w:pPr>
      <w:tabs>
        <w:tab w:val="right" w:pos="8640"/>
      </w:tabs>
      <w:ind w:left="1200"/>
    </w:pPr>
    <w:rPr>
      <w:sz w:val="20"/>
    </w:rPr>
  </w:style>
  <w:style w:type="paragraph" w:styleId="TOC7">
    <w:name w:val="toc 7"/>
    <w:basedOn w:val="Normal"/>
    <w:next w:val="Normal"/>
    <w:autoRedefine/>
    <w:rsid w:val="00B6385C"/>
    <w:pPr>
      <w:ind w:left="1440"/>
    </w:pPr>
  </w:style>
  <w:style w:type="paragraph" w:styleId="TOC8">
    <w:name w:val="toc 8"/>
    <w:basedOn w:val="Normal"/>
    <w:next w:val="Normal"/>
    <w:autoRedefine/>
    <w:rsid w:val="00B6385C"/>
    <w:pPr>
      <w:ind w:left="1680"/>
    </w:pPr>
  </w:style>
  <w:style w:type="paragraph" w:styleId="TOC9">
    <w:name w:val="toc 9"/>
    <w:basedOn w:val="Normal"/>
    <w:next w:val="Normal"/>
    <w:autoRedefine/>
    <w:rsid w:val="00B6385C"/>
    <w:pPr>
      <w:ind w:left="1920"/>
    </w:pPr>
  </w:style>
  <w:style w:type="character" w:customStyle="1" w:styleId="TopicHeading">
    <w:name w:val="Topic Heading"/>
    <w:rsid w:val="00B6385C"/>
    <w:rPr>
      <w:b/>
      <w:caps/>
    </w:rPr>
  </w:style>
  <w:style w:type="paragraph" w:customStyle="1" w:styleId="topic1">
    <w:name w:val="topic1"/>
    <w:basedOn w:val="Normal"/>
    <w:rsid w:val="00B6385C"/>
    <w:pPr>
      <w:spacing w:line="360" w:lineRule="auto"/>
    </w:pPr>
    <w:rPr>
      <w:rFonts w:ascii="Arial" w:hAnsi="Arial"/>
      <w:b/>
      <w:color w:val="0000FF"/>
      <w:sz w:val="36"/>
    </w:rPr>
  </w:style>
  <w:style w:type="paragraph" w:customStyle="1" w:styleId="topic2">
    <w:name w:val="topic2"/>
    <w:basedOn w:val="Normal"/>
    <w:rsid w:val="00B6385C"/>
    <w:pPr>
      <w:spacing w:line="360" w:lineRule="auto"/>
    </w:pPr>
    <w:rPr>
      <w:rFonts w:ascii="Arial" w:hAnsi="Arial"/>
      <w:b/>
      <w:color w:val="0000FF"/>
      <w:sz w:val="32"/>
    </w:rPr>
  </w:style>
  <w:style w:type="paragraph" w:customStyle="1" w:styleId="Aspenchapter">
    <w:name w:val="Aspenchapter"/>
    <w:basedOn w:val="Normal"/>
    <w:rsid w:val="00B6385C"/>
    <w:pPr>
      <w:pBdr>
        <w:bottom w:val="single" w:sz="6" w:space="1" w:color="auto"/>
      </w:pBdr>
      <w:overflowPunct w:val="0"/>
      <w:autoSpaceDE w:val="0"/>
      <w:autoSpaceDN w:val="0"/>
      <w:adjustRightInd w:val="0"/>
      <w:textAlignment w:val="baseline"/>
    </w:pPr>
    <w:rPr>
      <w:b/>
      <w:spacing w:val="-3"/>
      <w:sz w:val="96"/>
      <w:u w:val="single"/>
    </w:rPr>
  </w:style>
  <w:style w:type="paragraph" w:customStyle="1" w:styleId="Aspenhead1">
    <w:name w:val="Aspenhead1"/>
    <w:basedOn w:val="Normal"/>
    <w:rsid w:val="00B6385C"/>
    <w:pPr>
      <w:tabs>
        <w:tab w:val="left" w:pos="810"/>
      </w:tabs>
      <w:overflowPunct w:val="0"/>
      <w:autoSpaceDE w:val="0"/>
      <w:autoSpaceDN w:val="0"/>
      <w:adjustRightInd w:val="0"/>
      <w:spacing w:before="480"/>
      <w:textAlignment w:val="baseline"/>
    </w:pPr>
    <w:rPr>
      <w:b/>
      <w:spacing w:val="-3"/>
    </w:rPr>
  </w:style>
  <w:style w:type="paragraph" w:customStyle="1" w:styleId="Aspenhead2">
    <w:name w:val="Aspenhead2"/>
    <w:basedOn w:val="Normal"/>
    <w:rsid w:val="00B6385C"/>
    <w:pPr>
      <w:tabs>
        <w:tab w:val="left" w:pos="540"/>
      </w:tabs>
      <w:overflowPunct w:val="0"/>
      <w:autoSpaceDE w:val="0"/>
      <w:autoSpaceDN w:val="0"/>
      <w:adjustRightInd w:val="0"/>
      <w:spacing w:before="360"/>
      <w:textAlignment w:val="baseline"/>
    </w:pPr>
    <w:rPr>
      <w:b/>
    </w:rPr>
  </w:style>
  <w:style w:type="paragraph" w:customStyle="1" w:styleId="aspenhead3">
    <w:name w:val="aspenhead3"/>
    <w:basedOn w:val="Normal"/>
    <w:rsid w:val="00B6385C"/>
    <w:pPr>
      <w:overflowPunct w:val="0"/>
      <w:autoSpaceDE w:val="0"/>
      <w:autoSpaceDN w:val="0"/>
      <w:adjustRightInd w:val="0"/>
      <w:spacing w:before="240"/>
      <w:ind w:firstLine="274"/>
      <w:textAlignment w:val="baseline"/>
    </w:pPr>
    <w:rPr>
      <w:b/>
    </w:rPr>
  </w:style>
  <w:style w:type="paragraph" w:customStyle="1" w:styleId="Aspenhead4">
    <w:name w:val="Aspenhead4"/>
    <w:basedOn w:val="Normal"/>
    <w:rsid w:val="00B6385C"/>
    <w:pPr>
      <w:overflowPunct w:val="0"/>
      <w:autoSpaceDE w:val="0"/>
      <w:autoSpaceDN w:val="0"/>
      <w:adjustRightInd w:val="0"/>
      <w:spacing w:before="240"/>
      <w:ind w:firstLine="270"/>
      <w:textAlignment w:val="baseline"/>
    </w:pPr>
    <w:rPr>
      <w:i/>
      <w:sz w:val="22"/>
    </w:rPr>
  </w:style>
  <w:style w:type="paragraph" w:customStyle="1" w:styleId="EX">
    <w:name w:val="EX"/>
    <w:rsid w:val="00B6385C"/>
    <w:pPr>
      <w:widowControl w:val="0"/>
      <w:pBdr>
        <w:left w:val="single" w:sz="6" w:space="4" w:color="auto"/>
        <w:right w:val="single" w:sz="6" w:space="4" w:color="auto"/>
      </w:pBd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before="240" w:after="60" w:line="240" w:lineRule="atLeast"/>
      <w:ind w:left="475" w:right="475" w:hanging="360"/>
      <w:jc w:val="both"/>
      <w:textAlignment w:val="baseline"/>
    </w:pPr>
    <w:rPr>
      <w:rFonts w:ascii="Palatino" w:hAnsi="Palatino"/>
    </w:rPr>
  </w:style>
  <w:style w:type="paragraph" w:customStyle="1" w:styleId="EXcont">
    <w:name w:val="EX con't"/>
    <w:basedOn w:val="EX"/>
    <w:rsid w:val="00B6385C"/>
    <w:pPr>
      <w:spacing w:before="0"/>
    </w:pPr>
  </w:style>
  <w:style w:type="paragraph" w:customStyle="1" w:styleId="EXPI">
    <w:name w:val="EX PI"/>
    <w:basedOn w:val="EX"/>
    <w:rsid w:val="00B6385C"/>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ind w:firstLine="240"/>
    </w:pPr>
  </w:style>
  <w:style w:type="paragraph" w:customStyle="1" w:styleId="exdot">
    <w:name w:val="exdot"/>
    <w:basedOn w:val="EX"/>
    <w:rsid w:val="00B6385C"/>
    <w:pPr>
      <w:tabs>
        <w:tab w:val="left" w:pos="1195"/>
      </w:tabs>
      <w:spacing w:before="200"/>
      <w:ind w:left="1195" w:hanging="720"/>
    </w:pPr>
  </w:style>
  <w:style w:type="paragraph" w:customStyle="1" w:styleId="extop">
    <w:name w:val="extop"/>
    <w:basedOn w:val="EX"/>
    <w:rsid w:val="00B6385C"/>
    <w:pPr>
      <w:keepNext/>
      <w:spacing w:before="120"/>
      <w:jc w:val="center"/>
    </w:pPr>
    <w:rPr>
      <w:b/>
      <w:caps/>
    </w:rPr>
  </w:style>
  <w:style w:type="paragraph" w:customStyle="1" w:styleId="sumdot">
    <w:name w:val="sumdot"/>
    <w:basedOn w:val="exdot"/>
    <w:rsid w:val="00B6385C"/>
    <w:pPr>
      <w:ind w:left="720"/>
    </w:pPr>
  </w:style>
  <w:style w:type="paragraph" w:customStyle="1" w:styleId="sumtop">
    <w:name w:val="sumtop"/>
    <w:basedOn w:val="extop"/>
    <w:rsid w:val="00B6385C"/>
    <w:pPr>
      <w:pBdr>
        <w:top w:val="single" w:sz="6" w:space="1" w:color="auto"/>
      </w:pBdr>
      <w:spacing w:before="60"/>
    </w:pPr>
    <w:rPr>
      <w:caps w:val="0"/>
    </w:rPr>
  </w:style>
  <w:style w:type="paragraph" w:customStyle="1" w:styleId="Bullet1">
    <w:name w:val="Bullet1"/>
    <w:basedOn w:val="Normal"/>
    <w:link w:val="Bullet1CharChar"/>
    <w:rsid w:val="00B6385C"/>
    <w:pPr>
      <w:numPr>
        <w:numId w:val="11"/>
      </w:numPr>
      <w:spacing w:line="240" w:lineRule="atLeast"/>
    </w:pPr>
    <w:rPr>
      <w:lang w:val="x-none" w:eastAsia="x-none"/>
    </w:rPr>
  </w:style>
  <w:style w:type="character" w:customStyle="1" w:styleId="Bullet1CharChar">
    <w:name w:val="Bullet1 Char Char"/>
    <w:link w:val="Bullet1"/>
    <w:rsid w:val="00B6385C"/>
    <w:rPr>
      <w:sz w:val="24"/>
      <w:szCs w:val="24"/>
      <w:lang w:val="x-none" w:eastAsia="x-none"/>
    </w:rPr>
  </w:style>
  <w:style w:type="paragraph" w:customStyle="1" w:styleId="Bullet2">
    <w:name w:val="Bullet2"/>
    <w:basedOn w:val="Bullet1"/>
    <w:rsid w:val="00B6385C"/>
    <w:pPr>
      <w:numPr>
        <w:numId w:val="10"/>
      </w:numPr>
      <w:tabs>
        <w:tab w:val="clear" w:pos="360"/>
        <w:tab w:val="num" w:pos="720"/>
      </w:tabs>
      <w:ind w:left="720"/>
    </w:pPr>
  </w:style>
  <w:style w:type="paragraph" w:customStyle="1" w:styleId="bullet3">
    <w:name w:val="bullet3"/>
    <w:basedOn w:val="Normal"/>
    <w:rsid w:val="00B6385C"/>
    <w:pPr>
      <w:numPr>
        <w:numId w:val="9"/>
      </w:numPr>
      <w:tabs>
        <w:tab w:val="clear" w:pos="2160"/>
        <w:tab w:val="num" w:pos="1440"/>
      </w:tabs>
      <w:overflowPunct w:val="0"/>
      <w:autoSpaceDE w:val="0"/>
      <w:autoSpaceDN w:val="0"/>
      <w:adjustRightInd w:val="0"/>
      <w:spacing w:line="240" w:lineRule="atLeast"/>
      <w:ind w:left="1440" w:hanging="720"/>
      <w:jc w:val="both"/>
      <w:textAlignment w:val="baseline"/>
    </w:pPr>
    <w:rPr>
      <w:szCs w:val="20"/>
    </w:rPr>
  </w:style>
  <w:style w:type="character" w:customStyle="1" w:styleId="codepar">
    <w:name w:val="codepar"/>
    <w:rsid w:val="00B6385C"/>
    <w:rPr>
      <w:b/>
    </w:rPr>
  </w:style>
  <w:style w:type="character" w:customStyle="1" w:styleId="codesubpar">
    <w:name w:val="codesubpar"/>
    <w:rsid w:val="00B6385C"/>
    <w:rPr>
      <w:rFonts w:ascii="Times New Roman" w:hAnsi="Times New Roman"/>
      <w:b/>
      <w:color w:val="000000"/>
    </w:rPr>
  </w:style>
  <w:style w:type="character" w:customStyle="1" w:styleId="codeclause">
    <w:name w:val="codeclause"/>
    <w:basedOn w:val="codesubpar"/>
    <w:rsid w:val="00B6385C"/>
    <w:rPr>
      <w:rFonts w:ascii="Times New Roman" w:hAnsi="Times New Roman"/>
      <w:b/>
      <w:color w:val="000000"/>
    </w:rPr>
  </w:style>
  <w:style w:type="character" w:customStyle="1" w:styleId="codesec">
    <w:name w:val="codesec"/>
    <w:rsid w:val="00B6385C"/>
    <w:rPr>
      <w:b/>
    </w:rPr>
  </w:style>
  <w:style w:type="character" w:customStyle="1" w:styleId="codesubclause">
    <w:name w:val="codesubclause"/>
    <w:rsid w:val="00B6385C"/>
    <w:rPr>
      <w:color w:val="666699"/>
      <w:lang w:val="en-US" w:eastAsia="en-US" w:bidi="ar-SA"/>
    </w:rPr>
  </w:style>
  <w:style w:type="character" w:customStyle="1" w:styleId="codesubsec">
    <w:name w:val="codesubsec"/>
    <w:rsid w:val="00B6385C"/>
    <w:rPr>
      <w:b/>
    </w:rPr>
  </w:style>
  <w:style w:type="character" w:customStyle="1" w:styleId="codesubsubclause">
    <w:name w:val="codesubsubclause"/>
    <w:basedOn w:val="codesubclause"/>
    <w:rsid w:val="00B6385C"/>
    <w:rPr>
      <w:color w:val="666699"/>
      <w:lang w:val="en-US" w:eastAsia="en-US" w:bidi="ar-SA"/>
    </w:rPr>
  </w:style>
  <w:style w:type="paragraph" w:customStyle="1" w:styleId="TBH1">
    <w:name w:val="*TB H1"/>
    <w:basedOn w:val="Normal"/>
    <w:next w:val="Normal"/>
    <w:rsid w:val="00B6385C"/>
    <w:pPr>
      <w:shd w:val="clear" w:color="auto" w:fill="B3B3B3"/>
      <w:spacing w:before="240" w:after="120"/>
    </w:pPr>
    <w:rPr>
      <w:rFonts w:ascii="Arial Black" w:hAnsi="Arial Black"/>
      <w:caps/>
    </w:rPr>
  </w:style>
  <w:style w:type="paragraph" w:customStyle="1" w:styleId="H1Summary0">
    <w:name w:val="H1 Summary"/>
    <w:basedOn w:val="TOCSummary"/>
    <w:next w:val="Bodynoindent"/>
    <w:qFormat/>
    <w:rsid w:val="00B6385C"/>
    <w:pPr>
      <w:ind w:firstLine="0"/>
    </w:pPr>
    <w:rPr>
      <w:sz w:val="28"/>
    </w:rPr>
  </w:style>
  <w:style w:type="paragraph" w:customStyle="1" w:styleId="BLcont0">
    <w:name w:val="BL cont"/>
    <w:basedOn w:val="BL"/>
    <w:rsid w:val="00B6385C"/>
    <w:pPr>
      <w:numPr>
        <w:numId w:val="0"/>
      </w:numPr>
      <w:tabs>
        <w:tab w:val="num" w:pos="360"/>
      </w:tabs>
      <w:spacing w:before="0" w:after="0"/>
      <w:ind w:left="360" w:hanging="360"/>
      <w:jc w:val="left"/>
    </w:pPr>
    <w:rPr>
      <w:lang w:val="x-none" w:eastAsia="x-none"/>
    </w:rPr>
  </w:style>
  <w:style w:type="character" w:customStyle="1" w:styleId="BLChar">
    <w:name w:val="BL Char"/>
    <w:link w:val="BL"/>
    <w:rsid w:val="00B6385C"/>
    <w:rPr>
      <w:sz w:val="22"/>
      <w:szCs w:val="24"/>
    </w:rPr>
  </w:style>
  <w:style w:type="character" w:customStyle="1" w:styleId="H3noruninChar">
    <w:name w:val="H3_norunin Char"/>
    <w:link w:val="H3norunin"/>
    <w:rsid w:val="00B6385C"/>
    <w:rPr>
      <w:rFonts w:ascii="Arial Narrow" w:hAnsi="Arial Narrow"/>
      <w:b/>
      <w:sz w:val="22"/>
      <w:szCs w:val="24"/>
    </w:rPr>
  </w:style>
  <w:style w:type="paragraph" w:customStyle="1" w:styleId="NLcont">
    <w:name w:val="NL cont"/>
    <w:basedOn w:val="NL"/>
    <w:rsid w:val="00B6385C"/>
    <w:pPr>
      <w:numPr>
        <w:numId w:val="0"/>
      </w:numPr>
      <w:tabs>
        <w:tab w:val="left" w:pos="540"/>
      </w:tabs>
      <w:spacing w:before="0" w:after="0"/>
      <w:ind w:left="3780"/>
      <w:jc w:val="left"/>
    </w:pPr>
  </w:style>
  <w:style w:type="paragraph" w:customStyle="1" w:styleId="IN">
    <w:name w:val="IN"/>
    <w:rsid w:val="00B6385C"/>
    <w:pPr>
      <w:spacing w:before="60" w:after="60"/>
      <w:ind w:left="504" w:hanging="360"/>
      <w:jc w:val="center"/>
    </w:pPr>
    <w:rPr>
      <w:rFonts w:ascii="Times" w:hAnsi="Times"/>
      <w:sz w:val="24"/>
    </w:rPr>
  </w:style>
  <w:style w:type="character" w:customStyle="1" w:styleId="bold">
    <w:name w:val="bold"/>
    <w:basedOn w:val="DefaultParagraphFont"/>
    <w:rsid w:val="00B6385C"/>
  </w:style>
  <w:style w:type="paragraph" w:styleId="EndnoteText">
    <w:name w:val="endnote text"/>
    <w:basedOn w:val="Normal"/>
    <w:link w:val="EndnoteTextChar"/>
    <w:rsid w:val="007D0625"/>
  </w:style>
  <w:style w:type="character" w:customStyle="1" w:styleId="EndnoteTextChar">
    <w:name w:val="Endnote Text Char"/>
    <w:basedOn w:val="DefaultParagraphFont"/>
    <w:link w:val="EndnoteText"/>
    <w:rsid w:val="007D0625"/>
    <w:rPr>
      <w:sz w:val="24"/>
      <w:szCs w:val="24"/>
    </w:rPr>
  </w:style>
  <w:style w:type="character" w:styleId="EndnoteReference">
    <w:name w:val="endnote reference"/>
    <w:basedOn w:val="DefaultParagraphFont"/>
    <w:rsid w:val="007D0625"/>
    <w:rPr>
      <w:vertAlign w:val="superscript"/>
    </w:rPr>
  </w:style>
  <w:style w:type="paragraph" w:styleId="Index1">
    <w:name w:val="index 1"/>
    <w:basedOn w:val="Normal"/>
    <w:next w:val="Normal"/>
    <w:rsid w:val="007D0625"/>
    <w:pPr>
      <w:tabs>
        <w:tab w:val="right" w:leader="dot" w:pos="9360"/>
      </w:tabs>
      <w:suppressAutoHyphens/>
      <w:ind w:left="1440" w:right="720" w:hanging="1440"/>
    </w:pPr>
  </w:style>
  <w:style w:type="paragraph" w:styleId="Index2">
    <w:name w:val="index 2"/>
    <w:basedOn w:val="Normal"/>
    <w:next w:val="Normal"/>
    <w:rsid w:val="007D0625"/>
    <w:pPr>
      <w:tabs>
        <w:tab w:val="right" w:leader="dot" w:pos="9360"/>
      </w:tabs>
      <w:suppressAutoHyphens/>
      <w:ind w:left="1440" w:right="720" w:hanging="720"/>
    </w:pPr>
  </w:style>
  <w:style w:type="character" w:customStyle="1" w:styleId="EquationCaption">
    <w:name w:val="_Equation Caption"/>
    <w:rsid w:val="007D0625"/>
  </w:style>
  <w:style w:type="numbering" w:customStyle="1" w:styleId="1ai6">
    <w:name w:val="1 / a / i6"/>
    <w:basedOn w:val="NoList"/>
    <w:next w:val="1ai"/>
    <w:rsid w:val="00716144"/>
    <w:pPr>
      <w:numPr>
        <w:numId w:val="8"/>
      </w:numPr>
    </w:pPr>
  </w:style>
  <w:style w:type="numbering" w:customStyle="1" w:styleId="1ai42">
    <w:name w:val="1 / a / i42"/>
    <w:basedOn w:val="NoList"/>
    <w:next w:val="1ai"/>
    <w:rsid w:val="00716144"/>
  </w:style>
  <w:style w:type="numbering" w:customStyle="1" w:styleId="1ai52">
    <w:name w:val="1 / a / i52"/>
    <w:basedOn w:val="NoList"/>
    <w:next w:val="1ai"/>
    <w:rsid w:val="00716144"/>
  </w:style>
  <w:style w:type="numbering" w:customStyle="1" w:styleId="NoList4">
    <w:name w:val="No List4"/>
    <w:next w:val="NoList"/>
    <w:uiPriority w:val="99"/>
    <w:semiHidden/>
    <w:unhideWhenUsed/>
    <w:rsid w:val="00C1712D"/>
  </w:style>
  <w:style w:type="numbering" w:customStyle="1" w:styleId="1ai7">
    <w:name w:val="1 / a / i7"/>
    <w:basedOn w:val="NoList"/>
    <w:next w:val="1ai"/>
    <w:rsid w:val="00C1712D"/>
  </w:style>
  <w:style w:type="numbering" w:customStyle="1" w:styleId="1ai21">
    <w:name w:val="1 / a / i21"/>
    <w:basedOn w:val="NoList"/>
    <w:next w:val="1ai"/>
    <w:rsid w:val="00C1712D"/>
    <w:pPr>
      <w:numPr>
        <w:numId w:val="3"/>
      </w:numPr>
    </w:pPr>
  </w:style>
  <w:style w:type="table" w:customStyle="1" w:styleId="TableGrid31">
    <w:name w:val="Table Grid31"/>
    <w:basedOn w:val="TableNormal"/>
    <w:next w:val="TableGrid"/>
    <w:rsid w:val="00C1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712D"/>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1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
    <w:name w:val="1 / a / i211"/>
    <w:basedOn w:val="NoList"/>
    <w:next w:val="1ai"/>
    <w:rsid w:val="00C1712D"/>
    <w:pPr>
      <w:numPr>
        <w:numId w:val="12"/>
      </w:numPr>
    </w:pPr>
  </w:style>
  <w:style w:type="numbering" w:customStyle="1" w:styleId="1ai43">
    <w:name w:val="1 / a / i43"/>
    <w:basedOn w:val="NoList"/>
    <w:next w:val="1ai"/>
    <w:rsid w:val="004A4082"/>
  </w:style>
  <w:style w:type="numbering" w:customStyle="1" w:styleId="NoList5">
    <w:name w:val="No List5"/>
    <w:next w:val="NoList"/>
    <w:uiPriority w:val="99"/>
    <w:semiHidden/>
    <w:unhideWhenUsed/>
    <w:rsid w:val="00F25B62"/>
  </w:style>
  <w:style w:type="table" w:customStyle="1" w:styleId="TableGrid5">
    <w:name w:val="Table Grid5"/>
    <w:basedOn w:val="TableNormal"/>
    <w:next w:val="TableGrid"/>
    <w:uiPriority w:val="59"/>
    <w:rsid w:val="00F25B6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25B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D6036"/>
  </w:style>
  <w:style w:type="table" w:customStyle="1" w:styleId="TableGrid6">
    <w:name w:val="Table Grid6"/>
    <w:basedOn w:val="TableNormal"/>
    <w:next w:val="TableGrid"/>
    <w:uiPriority w:val="59"/>
    <w:rsid w:val="000D603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D60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4">
    <w:name w:val="1 / a / i44"/>
    <w:basedOn w:val="NoList"/>
    <w:next w:val="1ai"/>
    <w:rsid w:val="00B8200F"/>
  </w:style>
  <w:style w:type="numbering" w:customStyle="1" w:styleId="1ai45">
    <w:name w:val="1 / a / i45"/>
    <w:basedOn w:val="NoList"/>
    <w:next w:val="1ai"/>
    <w:rsid w:val="00B8200F"/>
    <w:pPr>
      <w:numPr>
        <w:numId w:val="4"/>
      </w:numPr>
    </w:pPr>
  </w:style>
  <w:style w:type="numbering" w:customStyle="1" w:styleId="1ai53">
    <w:name w:val="1 / a / i53"/>
    <w:basedOn w:val="NoList"/>
    <w:next w:val="1ai"/>
    <w:rsid w:val="00B8200F"/>
    <w:pPr>
      <w:numPr>
        <w:numId w:val="2"/>
      </w:numPr>
    </w:pPr>
  </w:style>
  <w:style w:type="numbering" w:customStyle="1" w:styleId="NoList7">
    <w:name w:val="No List7"/>
    <w:next w:val="NoList"/>
    <w:uiPriority w:val="99"/>
    <w:semiHidden/>
    <w:unhideWhenUsed/>
    <w:rsid w:val="00C7646C"/>
  </w:style>
  <w:style w:type="table" w:customStyle="1" w:styleId="TableGrid7">
    <w:name w:val="Table Grid7"/>
    <w:basedOn w:val="TableNormal"/>
    <w:next w:val="TableGrid"/>
    <w:uiPriority w:val="59"/>
    <w:rsid w:val="00C7646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64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764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7646C"/>
    <w:rPr>
      <w:rFonts w:asciiTheme="minorHAnsi" w:eastAsiaTheme="minorEastAsia" w:hAnsiTheme="minorHAnsi" w:cstheme="minorBidi"/>
      <w:color w:val="5A5A5A" w:themeColor="text1" w:themeTint="A5"/>
      <w:spacing w:val="15"/>
      <w:sz w:val="22"/>
      <w:szCs w:val="22"/>
    </w:rPr>
  </w:style>
  <w:style w:type="table" w:customStyle="1" w:styleId="TableGrid8">
    <w:name w:val="Table Grid8"/>
    <w:basedOn w:val="TableNormal"/>
    <w:next w:val="TableGrid"/>
    <w:uiPriority w:val="59"/>
    <w:rsid w:val="00C7646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04D1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B94095"/>
  </w:style>
  <w:style w:type="paragraph" w:customStyle="1" w:styleId="tsllc">
    <w:name w:val="tsllc"/>
    <w:rsid w:val="00B94095"/>
    <w:pPr>
      <w:jc w:val="both"/>
    </w:pPr>
    <w:rPr>
      <w:sz w:val="24"/>
    </w:rPr>
  </w:style>
  <w:style w:type="paragraph" w:styleId="PlainText">
    <w:name w:val="Plain Text"/>
    <w:basedOn w:val="Normal"/>
    <w:link w:val="PlainTextChar"/>
    <w:rsid w:val="00B94095"/>
    <w:rPr>
      <w:rFonts w:eastAsia="SimSun" w:cs="Courier New"/>
      <w:szCs w:val="20"/>
      <w:lang w:eastAsia="zh-CN"/>
    </w:rPr>
  </w:style>
  <w:style w:type="character" w:customStyle="1" w:styleId="PlainTextChar">
    <w:name w:val="Plain Text Char"/>
    <w:basedOn w:val="DefaultParagraphFont"/>
    <w:link w:val="PlainText"/>
    <w:rsid w:val="00B94095"/>
    <w:rPr>
      <w:rFonts w:eastAsia="SimSun" w:cs="Courier New"/>
      <w:sz w:val="24"/>
      <w:lang w:eastAsia="zh-CN"/>
    </w:rPr>
  </w:style>
  <w:style w:type="paragraph" w:customStyle="1" w:styleId="2ndleveloutline">
    <w:name w:val="2nd level outline"/>
    <w:basedOn w:val="Normal"/>
    <w:rsid w:val="00B94095"/>
    <w:pPr>
      <w:tabs>
        <w:tab w:val="left" w:pos="144"/>
      </w:tabs>
      <w:spacing w:line="240" w:lineRule="exact"/>
      <w:ind w:left="1440" w:hanging="720"/>
      <w:jc w:val="both"/>
    </w:pPr>
    <w:rPr>
      <w:rFonts w:eastAsia="Calibri"/>
      <w:szCs w:val="20"/>
    </w:rPr>
  </w:style>
  <w:style w:type="paragraph" w:customStyle="1" w:styleId="1stleveloutline">
    <w:name w:val="1st level outline"/>
    <w:basedOn w:val="Normal"/>
    <w:rsid w:val="00B94095"/>
    <w:pPr>
      <w:tabs>
        <w:tab w:val="left" w:pos="720"/>
      </w:tabs>
      <w:spacing w:line="240" w:lineRule="exact"/>
      <w:ind w:left="720" w:hanging="720"/>
      <w:jc w:val="both"/>
    </w:pPr>
    <w:rPr>
      <w:rFonts w:eastAsia="Calibri"/>
      <w:szCs w:val="20"/>
    </w:rPr>
  </w:style>
  <w:style w:type="paragraph" w:customStyle="1" w:styleId="2ndlevelcode">
    <w:name w:val="2nd level code"/>
    <w:basedOn w:val="Normal"/>
    <w:rsid w:val="00B94095"/>
    <w:pPr>
      <w:tabs>
        <w:tab w:val="left" w:pos="720"/>
      </w:tabs>
      <w:spacing w:line="200" w:lineRule="exact"/>
      <w:ind w:left="1440" w:hanging="720"/>
      <w:jc w:val="both"/>
    </w:pPr>
    <w:rPr>
      <w:rFonts w:eastAsia="Calibri"/>
      <w:b/>
      <w:i/>
      <w:sz w:val="20"/>
      <w:szCs w:val="20"/>
    </w:rPr>
  </w:style>
  <w:style w:type="paragraph" w:customStyle="1" w:styleId="1stlevelcode">
    <w:name w:val="1st level code"/>
    <w:basedOn w:val="1stleveloutline"/>
    <w:rsid w:val="00B94095"/>
    <w:pPr>
      <w:spacing w:line="200" w:lineRule="exact"/>
    </w:pPr>
    <w:rPr>
      <w:b/>
      <w:i/>
      <w:sz w:val="20"/>
    </w:rPr>
  </w:style>
  <w:style w:type="paragraph" w:customStyle="1" w:styleId="3rdlevelcode">
    <w:name w:val="3rd level code"/>
    <w:basedOn w:val="2ndlevelcode"/>
    <w:rsid w:val="00B94095"/>
    <w:pPr>
      <w:ind w:left="2160"/>
    </w:pPr>
  </w:style>
  <w:style w:type="paragraph" w:customStyle="1" w:styleId="4thlevelcode">
    <w:name w:val="4th level code"/>
    <w:basedOn w:val="3rdlevelcode"/>
    <w:rsid w:val="00B94095"/>
    <w:pPr>
      <w:ind w:left="2880"/>
    </w:pPr>
  </w:style>
  <w:style w:type="paragraph" w:customStyle="1" w:styleId="Example4colrtindent5">
    <w:name w:val="Example 4col rt indent 5"/>
    <w:rsid w:val="00B94095"/>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rFonts w:ascii="Times" w:hAnsi="Times"/>
      <w:sz w:val="24"/>
    </w:rPr>
  </w:style>
  <w:style w:type="character" w:customStyle="1" w:styleId="docinfo-sourcetitle">
    <w:name w:val="docinfo-sourcetitle"/>
    <w:basedOn w:val="DefaultParagraphFont"/>
    <w:rsid w:val="00B94095"/>
  </w:style>
  <w:style w:type="paragraph" w:customStyle="1" w:styleId="b1">
    <w:name w:val="b1"/>
    <w:basedOn w:val="1stleveloutline"/>
    <w:rsid w:val="00B94095"/>
    <w:pPr>
      <w:tabs>
        <w:tab w:val="num" w:pos="720"/>
      </w:tabs>
      <w:spacing w:line="240" w:lineRule="atLeast"/>
    </w:pPr>
  </w:style>
  <w:style w:type="character" w:customStyle="1" w:styleId="NoteHeadChar">
    <w:name w:val="Note_Head Char"/>
    <w:basedOn w:val="NoteChar"/>
    <w:link w:val="NoteHead"/>
    <w:rsid w:val="00B94095"/>
    <w:rPr>
      <w:rFonts w:ascii="Arial Narrow" w:hAnsi="Arial Narrow"/>
      <w:b/>
      <w:szCs w:val="24"/>
      <w:lang w:val="en-US" w:eastAsia="en-US" w:bidi="ar-SA"/>
    </w:rPr>
  </w:style>
  <w:style w:type="paragraph" w:styleId="Bibliography">
    <w:name w:val="Bibliography"/>
    <w:basedOn w:val="Normal"/>
    <w:next w:val="Normal"/>
    <w:uiPriority w:val="37"/>
    <w:semiHidden/>
    <w:unhideWhenUsed/>
    <w:rsid w:val="00A206AF"/>
  </w:style>
  <w:style w:type="paragraph" w:styleId="Closing">
    <w:name w:val="Closing"/>
    <w:basedOn w:val="Normal"/>
    <w:link w:val="ClosingChar"/>
    <w:semiHidden/>
    <w:unhideWhenUsed/>
    <w:rsid w:val="00A206AF"/>
    <w:pPr>
      <w:ind w:left="4320"/>
    </w:pPr>
  </w:style>
  <w:style w:type="character" w:customStyle="1" w:styleId="ClosingChar">
    <w:name w:val="Closing Char"/>
    <w:basedOn w:val="DefaultParagraphFont"/>
    <w:link w:val="Closing"/>
    <w:semiHidden/>
    <w:rsid w:val="00A206AF"/>
    <w:rPr>
      <w:sz w:val="24"/>
      <w:szCs w:val="24"/>
    </w:rPr>
  </w:style>
  <w:style w:type="paragraph" w:styleId="Date">
    <w:name w:val="Date"/>
    <w:basedOn w:val="Normal"/>
    <w:next w:val="Normal"/>
    <w:link w:val="DateChar"/>
    <w:rsid w:val="00A206AF"/>
  </w:style>
  <w:style w:type="character" w:customStyle="1" w:styleId="DateChar">
    <w:name w:val="Date Char"/>
    <w:basedOn w:val="DefaultParagraphFont"/>
    <w:link w:val="Date"/>
    <w:rsid w:val="00A206AF"/>
    <w:rPr>
      <w:sz w:val="24"/>
      <w:szCs w:val="24"/>
    </w:rPr>
  </w:style>
  <w:style w:type="paragraph" w:styleId="E-mailSignature">
    <w:name w:val="E-mail Signature"/>
    <w:basedOn w:val="Normal"/>
    <w:link w:val="E-mailSignatureChar"/>
    <w:semiHidden/>
    <w:unhideWhenUsed/>
    <w:rsid w:val="00A206AF"/>
  </w:style>
  <w:style w:type="character" w:customStyle="1" w:styleId="E-mailSignatureChar">
    <w:name w:val="E-mail Signature Char"/>
    <w:basedOn w:val="DefaultParagraphFont"/>
    <w:link w:val="E-mailSignature"/>
    <w:semiHidden/>
    <w:rsid w:val="00A206AF"/>
    <w:rPr>
      <w:sz w:val="24"/>
      <w:szCs w:val="24"/>
    </w:rPr>
  </w:style>
  <w:style w:type="paragraph" w:styleId="EnvelopeAddress">
    <w:name w:val="envelope address"/>
    <w:basedOn w:val="Normal"/>
    <w:semiHidden/>
    <w:unhideWhenUsed/>
    <w:rsid w:val="00A206A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206AF"/>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A206AF"/>
    <w:rPr>
      <w:i/>
      <w:iCs/>
    </w:rPr>
  </w:style>
  <w:style w:type="character" w:customStyle="1" w:styleId="HTMLAddressChar">
    <w:name w:val="HTML Address Char"/>
    <w:basedOn w:val="DefaultParagraphFont"/>
    <w:link w:val="HTMLAddress"/>
    <w:semiHidden/>
    <w:rsid w:val="00A206AF"/>
    <w:rPr>
      <w:i/>
      <w:iCs/>
      <w:sz w:val="24"/>
      <w:szCs w:val="24"/>
    </w:rPr>
  </w:style>
  <w:style w:type="paragraph" w:styleId="Index3">
    <w:name w:val="index 3"/>
    <w:basedOn w:val="Normal"/>
    <w:next w:val="Normal"/>
    <w:autoRedefine/>
    <w:semiHidden/>
    <w:unhideWhenUsed/>
    <w:rsid w:val="00A206AF"/>
    <w:pPr>
      <w:ind w:left="720" w:hanging="240"/>
    </w:pPr>
  </w:style>
  <w:style w:type="paragraph" w:styleId="Index4">
    <w:name w:val="index 4"/>
    <w:basedOn w:val="Normal"/>
    <w:next w:val="Normal"/>
    <w:autoRedefine/>
    <w:semiHidden/>
    <w:unhideWhenUsed/>
    <w:rsid w:val="00A206AF"/>
    <w:pPr>
      <w:ind w:left="960" w:hanging="240"/>
    </w:pPr>
  </w:style>
  <w:style w:type="paragraph" w:styleId="Index5">
    <w:name w:val="index 5"/>
    <w:basedOn w:val="Normal"/>
    <w:next w:val="Normal"/>
    <w:autoRedefine/>
    <w:semiHidden/>
    <w:unhideWhenUsed/>
    <w:rsid w:val="00A206AF"/>
    <w:pPr>
      <w:ind w:left="1200" w:hanging="240"/>
    </w:pPr>
  </w:style>
  <w:style w:type="paragraph" w:styleId="Index6">
    <w:name w:val="index 6"/>
    <w:basedOn w:val="Normal"/>
    <w:next w:val="Normal"/>
    <w:autoRedefine/>
    <w:semiHidden/>
    <w:unhideWhenUsed/>
    <w:rsid w:val="00A206AF"/>
    <w:pPr>
      <w:ind w:left="1440" w:hanging="240"/>
    </w:pPr>
  </w:style>
  <w:style w:type="paragraph" w:styleId="Index7">
    <w:name w:val="index 7"/>
    <w:basedOn w:val="Normal"/>
    <w:next w:val="Normal"/>
    <w:autoRedefine/>
    <w:semiHidden/>
    <w:unhideWhenUsed/>
    <w:rsid w:val="00A206AF"/>
    <w:pPr>
      <w:ind w:left="1680" w:hanging="240"/>
    </w:pPr>
  </w:style>
  <w:style w:type="paragraph" w:styleId="Index8">
    <w:name w:val="index 8"/>
    <w:basedOn w:val="Normal"/>
    <w:next w:val="Normal"/>
    <w:autoRedefine/>
    <w:semiHidden/>
    <w:unhideWhenUsed/>
    <w:rsid w:val="00A206AF"/>
    <w:pPr>
      <w:ind w:left="1920" w:hanging="240"/>
    </w:pPr>
  </w:style>
  <w:style w:type="paragraph" w:styleId="Index9">
    <w:name w:val="index 9"/>
    <w:basedOn w:val="Normal"/>
    <w:next w:val="Normal"/>
    <w:autoRedefine/>
    <w:semiHidden/>
    <w:unhideWhenUsed/>
    <w:rsid w:val="00A206AF"/>
    <w:pPr>
      <w:ind w:left="2160" w:hanging="240"/>
    </w:pPr>
  </w:style>
  <w:style w:type="paragraph" w:styleId="IndexHeading">
    <w:name w:val="index heading"/>
    <w:basedOn w:val="Normal"/>
    <w:next w:val="Index1"/>
    <w:semiHidden/>
    <w:unhideWhenUsed/>
    <w:rsid w:val="00A206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06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206AF"/>
    <w:rPr>
      <w:i/>
      <w:iCs/>
      <w:color w:val="4F81BD" w:themeColor="accent1"/>
      <w:sz w:val="24"/>
      <w:szCs w:val="24"/>
    </w:rPr>
  </w:style>
  <w:style w:type="paragraph" w:styleId="List2">
    <w:name w:val="List 2"/>
    <w:basedOn w:val="Normal"/>
    <w:semiHidden/>
    <w:unhideWhenUsed/>
    <w:rsid w:val="00A206AF"/>
    <w:pPr>
      <w:ind w:left="720" w:hanging="360"/>
      <w:contextualSpacing/>
    </w:pPr>
  </w:style>
  <w:style w:type="paragraph" w:styleId="List3">
    <w:name w:val="List 3"/>
    <w:basedOn w:val="Normal"/>
    <w:semiHidden/>
    <w:unhideWhenUsed/>
    <w:rsid w:val="00A206AF"/>
    <w:pPr>
      <w:ind w:left="1080" w:hanging="360"/>
      <w:contextualSpacing/>
    </w:pPr>
  </w:style>
  <w:style w:type="paragraph" w:styleId="List4">
    <w:name w:val="List 4"/>
    <w:basedOn w:val="Normal"/>
    <w:rsid w:val="00A206AF"/>
    <w:pPr>
      <w:ind w:left="1440" w:hanging="360"/>
      <w:contextualSpacing/>
    </w:pPr>
  </w:style>
  <w:style w:type="paragraph" w:styleId="List5">
    <w:name w:val="List 5"/>
    <w:basedOn w:val="Normal"/>
    <w:rsid w:val="00A206AF"/>
    <w:pPr>
      <w:ind w:left="1800" w:hanging="360"/>
      <w:contextualSpacing/>
    </w:pPr>
  </w:style>
  <w:style w:type="paragraph" w:styleId="ListBullet">
    <w:name w:val="List Bullet"/>
    <w:basedOn w:val="Normal"/>
    <w:semiHidden/>
    <w:unhideWhenUsed/>
    <w:rsid w:val="00A206AF"/>
    <w:pPr>
      <w:numPr>
        <w:numId w:val="15"/>
      </w:numPr>
      <w:contextualSpacing/>
    </w:pPr>
  </w:style>
  <w:style w:type="paragraph" w:styleId="ListBullet2">
    <w:name w:val="List Bullet 2"/>
    <w:basedOn w:val="Normal"/>
    <w:semiHidden/>
    <w:unhideWhenUsed/>
    <w:rsid w:val="00A206AF"/>
    <w:pPr>
      <w:numPr>
        <w:numId w:val="16"/>
      </w:numPr>
      <w:contextualSpacing/>
    </w:pPr>
  </w:style>
  <w:style w:type="paragraph" w:styleId="ListBullet3">
    <w:name w:val="List Bullet 3"/>
    <w:basedOn w:val="Normal"/>
    <w:semiHidden/>
    <w:unhideWhenUsed/>
    <w:rsid w:val="00A206AF"/>
    <w:pPr>
      <w:numPr>
        <w:numId w:val="17"/>
      </w:numPr>
      <w:contextualSpacing/>
    </w:pPr>
  </w:style>
  <w:style w:type="paragraph" w:styleId="ListBullet4">
    <w:name w:val="List Bullet 4"/>
    <w:basedOn w:val="Normal"/>
    <w:semiHidden/>
    <w:unhideWhenUsed/>
    <w:rsid w:val="00A206AF"/>
    <w:pPr>
      <w:numPr>
        <w:numId w:val="18"/>
      </w:numPr>
      <w:contextualSpacing/>
    </w:pPr>
  </w:style>
  <w:style w:type="paragraph" w:styleId="ListBullet5">
    <w:name w:val="List Bullet 5"/>
    <w:basedOn w:val="Normal"/>
    <w:semiHidden/>
    <w:unhideWhenUsed/>
    <w:rsid w:val="00A206AF"/>
    <w:pPr>
      <w:numPr>
        <w:numId w:val="19"/>
      </w:numPr>
      <w:contextualSpacing/>
    </w:pPr>
  </w:style>
  <w:style w:type="paragraph" w:styleId="ListContinue0">
    <w:name w:val="List Continue"/>
    <w:basedOn w:val="Normal"/>
    <w:semiHidden/>
    <w:unhideWhenUsed/>
    <w:rsid w:val="00A206AF"/>
    <w:pPr>
      <w:spacing w:after="120"/>
      <w:ind w:left="360"/>
      <w:contextualSpacing/>
    </w:pPr>
  </w:style>
  <w:style w:type="paragraph" w:styleId="ListContinue2">
    <w:name w:val="List Continue 2"/>
    <w:basedOn w:val="Normal"/>
    <w:semiHidden/>
    <w:unhideWhenUsed/>
    <w:rsid w:val="00A206AF"/>
    <w:pPr>
      <w:spacing w:after="120"/>
      <w:ind w:left="720"/>
      <w:contextualSpacing/>
    </w:pPr>
  </w:style>
  <w:style w:type="paragraph" w:styleId="ListContinue3">
    <w:name w:val="List Continue 3"/>
    <w:basedOn w:val="Normal"/>
    <w:semiHidden/>
    <w:unhideWhenUsed/>
    <w:rsid w:val="00A206AF"/>
    <w:pPr>
      <w:spacing w:after="120"/>
      <w:ind w:left="1080"/>
      <w:contextualSpacing/>
    </w:pPr>
  </w:style>
  <w:style w:type="paragraph" w:styleId="ListContinue4">
    <w:name w:val="List Continue 4"/>
    <w:basedOn w:val="Normal"/>
    <w:semiHidden/>
    <w:unhideWhenUsed/>
    <w:rsid w:val="00A206AF"/>
    <w:pPr>
      <w:spacing w:after="120"/>
      <w:ind w:left="1440"/>
      <w:contextualSpacing/>
    </w:pPr>
  </w:style>
  <w:style w:type="paragraph" w:styleId="ListContinue5">
    <w:name w:val="List Continue 5"/>
    <w:basedOn w:val="Normal"/>
    <w:semiHidden/>
    <w:unhideWhenUsed/>
    <w:rsid w:val="00A206AF"/>
    <w:pPr>
      <w:spacing w:after="120"/>
      <w:ind w:left="1800"/>
      <w:contextualSpacing/>
    </w:pPr>
  </w:style>
  <w:style w:type="paragraph" w:styleId="ListNumber">
    <w:name w:val="List Number"/>
    <w:basedOn w:val="Normal"/>
    <w:rsid w:val="00A206AF"/>
    <w:pPr>
      <w:numPr>
        <w:numId w:val="20"/>
      </w:numPr>
      <w:contextualSpacing/>
    </w:pPr>
  </w:style>
  <w:style w:type="paragraph" w:styleId="ListNumber2">
    <w:name w:val="List Number 2"/>
    <w:basedOn w:val="Normal"/>
    <w:semiHidden/>
    <w:unhideWhenUsed/>
    <w:rsid w:val="00A206AF"/>
    <w:pPr>
      <w:numPr>
        <w:numId w:val="21"/>
      </w:numPr>
      <w:contextualSpacing/>
    </w:pPr>
  </w:style>
  <w:style w:type="paragraph" w:styleId="ListNumber3">
    <w:name w:val="List Number 3"/>
    <w:basedOn w:val="Normal"/>
    <w:semiHidden/>
    <w:unhideWhenUsed/>
    <w:rsid w:val="00A206AF"/>
    <w:pPr>
      <w:numPr>
        <w:numId w:val="22"/>
      </w:numPr>
      <w:contextualSpacing/>
    </w:pPr>
  </w:style>
  <w:style w:type="paragraph" w:styleId="ListNumber4">
    <w:name w:val="List Number 4"/>
    <w:basedOn w:val="Normal"/>
    <w:semiHidden/>
    <w:unhideWhenUsed/>
    <w:rsid w:val="00A206AF"/>
    <w:pPr>
      <w:numPr>
        <w:numId w:val="23"/>
      </w:numPr>
      <w:contextualSpacing/>
    </w:pPr>
  </w:style>
  <w:style w:type="paragraph" w:styleId="ListNumber5">
    <w:name w:val="List Number 5"/>
    <w:basedOn w:val="Normal"/>
    <w:semiHidden/>
    <w:unhideWhenUsed/>
    <w:rsid w:val="00A206AF"/>
    <w:pPr>
      <w:numPr>
        <w:numId w:val="24"/>
      </w:numPr>
      <w:contextualSpacing/>
    </w:pPr>
  </w:style>
  <w:style w:type="paragraph" w:styleId="MacroText">
    <w:name w:val="macro"/>
    <w:link w:val="MacroTextChar"/>
    <w:semiHidden/>
    <w:unhideWhenUsed/>
    <w:rsid w:val="00A206A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206AF"/>
    <w:rPr>
      <w:rFonts w:ascii="Consolas" w:hAnsi="Consolas"/>
    </w:rPr>
  </w:style>
  <w:style w:type="paragraph" w:styleId="MessageHeader">
    <w:name w:val="Message Header"/>
    <w:basedOn w:val="Normal"/>
    <w:link w:val="MessageHeaderChar"/>
    <w:semiHidden/>
    <w:unhideWhenUsed/>
    <w:rsid w:val="00A206A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206AF"/>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semiHidden/>
    <w:unhideWhenUsed/>
    <w:rsid w:val="00A206AF"/>
  </w:style>
  <w:style w:type="character" w:customStyle="1" w:styleId="NoteHeadingChar">
    <w:name w:val="Note Heading Char"/>
    <w:basedOn w:val="DefaultParagraphFont"/>
    <w:link w:val="NoteHeading"/>
    <w:semiHidden/>
    <w:rsid w:val="00A206AF"/>
    <w:rPr>
      <w:sz w:val="24"/>
      <w:szCs w:val="24"/>
    </w:rPr>
  </w:style>
  <w:style w:type="paragraph" w:styleId="Quote">
    <w:name w:val="Quote"/>
    <w:basedOn w:val="Normal"/>
    <w:next w:val="Normal"/>
    <w:link w:val="QuoteChar"/>
    <w:uiPriority w:val="29"/>
    <w:qFormat/>
    <w:rsid w:val="00A206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06AF"/>
    <w:rPr>
      <w:i/>
      <w:iCs/>
      <w:color w:val="404040" w:themeColor="text1" w:themeTint="BF"/>
      <w:sz w:val="24"/>
      <w:szCs w:val="24"/>
    </w:rPr>
  </w:style>
  <w:style w:type="paragraph" w:styleId="Salutation">
    <w:name w:val="Salutation"/>
    <w:basedOn w:val="Normal"/>
    <w:next w:val="Normal"/>
    <w:link w:val="SalutationChar"/>
    <w:rsid w:val="00A206AF"/>
  </w:style>
  <w:style w:type="character" w:customStyle="1" w:styleId="SalutationChar">
    <w:name w:val="Salutation Char"/>
    <w:basedOn w:val="DefaultParagraphFont"/>
    <w:link w:val="Salutation"/>
    <w:rsid w:val="00A206AF"/>
    <w:rPr>
      <w:sz w:val="24"/>
      <w:szCs w:val="24"/>
    </w:rPr>
  </w:style>
  <w:style w:type="paragraph" w:styleId="Signature">
    <w:name w:val="Signature"/>
    <w:basedOn w:val="Normal"/>
    <w:link w:val="SignatureChar"/>
    <w:semiHidden/>
    <w:unhideWhenUsed/>
    <w:rsid w:val="00A206AF"/>
    <w:pPr>
      <w:ind w:left="4320"/>
    </w:pPr>
  </w:style>
  <w:style w:type="character" w:customStyle="1" w:styleId="SignatureChar">
    <w:name w:val="Signature Char"/>
    <w:basedOn w:val="DefaultParagraphFont"/>
    <w:link w:val="Signature"/>
    <w:semiHidden/>
    <w:rsid w:val="00A206AF"/>
    <w:rPr>
      <w:sz w:val="24"/>
      <w:szCs w:val="24"/>
    </w:rPr>
  </w:style>
  <w:style w:type="paragraph" w:styleId="TableofFigures">
    <w:name w:val="table of figures"/>
    <w:basedOn w:val="Normal"/>
    <w:next w:val="Normal"/>
    <w:semiHidden/>
    <w:unhideWhenUsed/>
    <w:rsid w:val="00A206AF"/>
  </w:style>
  <w:style w:type="paragraph" w:styleId="Title">
    <w:name w:val="Title"/>
    <w:basedOn w:val="Normal"/>
    <w:next w:val="Normal"/>
    <w:link w:val="TitleChar"/>
    <w:qFormat/>
    <w:rsid w:val="00A206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206A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A206AF"/>
    <w:pPr>
      <w:keepLines/>
      <w:numPr>
        <w:ilvl w:val="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 w:val="clear" w:pos="14400"/>
      </w:tabs>
      <w:spacing w:before="240"/>
      <w:outlineLvl w:val="9"/>
    </w:pPr>
    <w:rPr>
      <w:rFonts w:asciiTheme="majorHAnsi" w:eastAsiaTheme="majorEastAsia" w:hAnsiTheme="majorHAnsi" w:cstheme="majorBidi"/>
      <w:color w:val="365F91" w:themeColor="accent1" w:themeShade="BF"/>
      <w:sz w:val="32"/>
      <w:szCs w:val="32"/>
    </w:rPr>
  </w:style>
  <w:style w:type="paragraph" w:customStyle="1" w:styleId="hdg1">
    <w:name w:val="hdg1"/>
    <w:basedOn w:val="Normal"/>
    <w:rsid w:val="00562EBB"/>
    <w:pPr>
      <w:spacing w:before="240"/>
      <w:jc w:val="center"/>
    </w:pPr>
    <w:rPr>
      <w:rFonts w:ascii="Times" w:hAnsi="Times" w:cs="Tms Rm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555">
      <w:bodyDiv w:val="1"/>
      <w:marLeft w:val="0"/>
      <w:marRight w:val="0"/>
      <w:marTop w:val="0"/>
      <w:marBottom w:val="0"/>
      <w:divBdr>
        <w:top w:val="none" w:sz="0" w:space="0" w:color="auto"/>
        <w:left w:val="none" w:sz="0" w:space="0" w:color="auto"/>
        <w:bottom w:val="none" w:sz="0" w:space="0" w:color="auto"/>
        <w:right w:val="none" w:sz="0" w:space="0" w:color="auto"/>
      </w:divBdr>
    </w:div>
    <w:div w:id="174997125">
      <w:bodyDiv w:val="1"/>
      <w:marLeft w:val="0"/>
      <w:marRight w:val="0"/>
      <w:marTop w:val="0"/>
      <w:marBottom w:val="0"/>
      <w:divBdr>
        <w:top w:val="none" w:sz="0" w:space="0" w:color="auto"/>
        <w:left w:val="none" w:sz="0" w:space="0" w:color="auto"/>
        <w:bottom w:val="none" w:sz="0" w:space="0" w:color="auto"/>
        <w:right w:val="none" w:sz="0" w:space="0" w:color="auto"/>
      </w:divBdr>
    </w:div>
    <w:div w:id="1402606810">
      <w:bodyDiv w:val="1"/>
      <w:marLeft w:val="0"/>
      <w:marRight w:val="0"/>
      <w:marTop w:val="0"/>
      <w:marBottom w:val="0"/>
      <w:divBdr>
        <w:top w:val="none" w:sz="0" w:space="0" w:color="auto"/>
        <w:left w:val="none" w:sz="0" w:space="0" w:color="auto"/>
        <w:bottom w:val="none" w:sz="0" w:space="0" w:color="auto"/>
        <w:right w:val="none" w:sz="0" w:space="0" w:color="auto"/>
      </w:divBdr>
      <w:divsChild>
        <w:div w:id="1771048396">
          <w:marLeft w:val="0"/>
          <w:marRight w:val="0"/>
          <w:marTop w:val="0"/>
          <w:marBottom w:val="0"/>
          <w:divBdr>
            <w:top w:val="none" w:sz="0" w:space="0" w:color="auto"/>
            <w:left w:val="none" w:sz="0" w:space="0" w:color="auto"/>
            <w:bottom w:val="none" w:sz="0" w:space="0" w:color="auto"/>
            <w:right w:val="none" w:sz="0" w:space="0" w:color="auto"/>
          </w:divBdr>
          <w:divsChild>
            <w:div w:id="237785576">
              <w:marLeft w:val="0"/>
              <w:marRight w:val="0"/>
              <w:marTop w:val="0"/>
              <w:marBottom w:val="0"/>
              <w:divBdr>
                <w:top w:val="none" w:sz="0" w:space="0" w:color="auto"/>
                <w:left w:val="none" w:sz="0" w:space="0" w:color="auto"/>
                <w:bottom w:val="none" w:sz="0" w:space="0" w:color="auto"/>
                <w:right w:val="none" w:sz="0" w:space="0" w:color="auto"/>
              </w:divBdr>
            </w:div>
            <w:div w:id="139797661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992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arris\Documents\Tax%20Book\2014\Editing\Template\NITW%20template%2020120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0C24-1300-419E-B3EF-1FF9A9FD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NITW template 20120919.dot</Template>
  <TotalTime>3</TotalTime>
  <Pages>23</Pages>
  <Words>10432</Words>
  <Characters>53815</Characters>
  <Application>Microsoft Office Word</Application>
  <DocSecurity>0</DocSecurity>
  <Lines>448</Lines>
  <Paragraphs>128</Paragraphs>
  <ScaleCrop>false</ScaleCrop>
  <HeadingPairs>
    <vt:vector size="2" baseType="variant">
      <vt:variant>
        <vt:lpstr>Title</vt:lpstr>
      </vt:variant>
      <vt:variant>
        <vt:i4>1</vt:i4>
      </vt:variant>
    </vt:vector>
  </HeadingPairs>
  <TitlesOfParts>
    <vt:vector size="1" baseType="lpstr">
      <vt:lpstr>Ch00</vt:lpstr>
    </vt:vector>
  </TitlesOfParts>
  <Company>Land Grant University Tax Education Foundation</Company>
  <LinksUpToDate>false</LinksUpToDate>
  <CharactersWithSpaces>64119</CharactersWithSpaces>
  <SharedDoc>false</SharedDoc>
  <HLinks>
    <vt:vector size="6" baseType="variant">
      <vt:variant>
        <vt:i4>5898243</vt:i4>
      </vt:variant>
      <vt:variant>
        <vt:i4>6</vt:i4>
      </vt:variant>
      <vt:variant>
        <vt:i4>0</vt:i4>
      </vt:variant>
      <vt:variant>
        <vt:i4>5</vt:i4>
      </vt:variant>
      <vt:variant>
        <vt:lpwstr>http://www.irs.gov/businesses/small/article/0,,id=208400,00.html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Ch00</dc:title>
  <dc:subject/>
  <dc:creator>Author</dc:creator>
  <cp:keywords/>
  <dc:description/>
  <cp:lastModifiedBy>Casey, Kareta</cp:lastModifiedBy>
  <cp:revision>5</cp:revision>
  <cp:lastPrinted>2016-09-15T04:46:00Z</cp:lastPrinted>
  <dcterms:created xsi:type="dcterms:W3CDTF">2016-09-29T20:10:00Z</dcterms:created>
  <dcterms:modified xsi:type="dcterms:W3CDTF">2016-10-04T16:01:00Z</dcterms:modified>
</cp:coreProperties>
</file>