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D6" w:rsidRPr="00746445" w:rsidRDefault="00AA61D6" w:rsidP="00ED544E">
      <w:pPr>
        <w:jc w:val="both"/>
        <w:rPr>
          <w:rFonts w:cs="Times New Roman"/>
          <w:szCs w:val="24"/>
        </w:rPr>
      </w:pPr>
      <w:bookmarkStart w:id="0" w:name="_GoBack"/>
      <w:bookmarkEnd w:id="0"/>
    </w:p>
    <w:p w:rsidR="00AA61D6" w:rsidRPr="00746445" w:rsidRDefault="00AA61D6" w:rsidP="00ED544E">
      <w:pPr>
        <w:jc w:val="center"/>
        <w:rPr>
          <w:rFonts w:cs="Times New Roman"/>
          <w:b/>
          <w:szCs w:val="24"/>
        </w:rPr>
      </w:pPr>
    </w:p>
    <w:p w:rsidR="00AA61D6" w:rsidRPr="00746445" w:rsidRDefault="00AA61D6" w:rsidP="00ED544E">
      <w:pPr>
        <w:jc w:val="center"/>
        <w:rPr>
          <w:rFonts w:cs="Times New Roman"/>
          <w:b/>
          <w:szCs w:val="24"/>
        </w:rPr>
      </w:pPr>
    </w:p>
    <w:p w:rsidR="00AA61D6" w:rsidRPr="00746445" w:rsidRDefault="00AA61D6" w:rsidP="00ED544E">
      <w:pPr>
        <w:jc w:val="center"/>
        <w:rPr>
          <w:rFonts w:cs="Times New Roman"/>
          <w:b/>
          <w:szCs w:val="24"/>
        </w:rPr>
      </w:pPr>
    </w:p>
    <w:p w:rsidR="00AA61D6" w:rsidRPr="00746445" w:rsidRDefault="00AA61D6" w:rsidP="00ED544E">
      <w:pPr>
        <w:jc w:val="center"/>
        <w:rPr>
          <w:rFonts w:cs="Times New Roman"/>
          <w:b/>
          <w:szCs w:val="24"/>
        </w:rPr>
      </w:pPr>
    </w:p>
    <w:p w:rsidR="00AA61D6" w:rsidRPr="00746445" w:rsidRDefault="00AA61D6" w:rsidP="00ED544E">
      <w:pPr>
        <w:jc w:val="center"/>
        <w:rPr>
          <w:rFonts w:cs="Times New Roman"/>
          <w:b/>
          <w:szCs w:val="24"/>
        </w:rPr>
      </w:pPr>
    </w:p>
    <w:p w:rsidR="00AA61D6" w:rsidRPr="00746445" w:rsidRDefault="00AA61D6" w:rsidP="00ED544E">
      <w:pPr>
        <w:jc w:val="center"/>
        <w:rPr>
          <w:rFonts w:cs="Times New Roman"/>
          <w:b/>
          <w:szCs w:val="24"/>
        </w:rPr>
      </w:pPr>
    </w:p>
    <w:p w:rsidR="00AA61D6" w:rsidRPr="00746445" w:rsidRDefault="00AA61D6" w:rsidP="00ED544E">
      <w:pPr>
        <w:jc w:val="center"/>
        <w:rPr>
          <w:rFonts w:cs="Times New Roman"/>
          <w:b/>
          <w:szCs w:val="24"/>
        </w:rPr>
      </w:pPr>
    </w:p>
    <w:p w:rsidR="00AA61D6" w:rsidRPr="00017026" w:rsidRDefault="00AA61D6" w:rsidP="00ED544E">
      <w:pPr>
        <w:jc w:val="center"/>
        <w:rPr>
          <w:rFonts w:cs="Times New Roman"/>
          <w:b/>
          <w:szCs w:val="24"/>
        </w:rPr>
      </w:pPr>
      <w:r w:rsidRPr="00017026">
        <w:rPr>
          <w:rFonts w:cs="Times New Roman"/>
          <w:b/>
          <w:szCs w:val="24"/>
        </w:rPr>
        <w:t>AGRICULTURAL FINANCE</w:t>
      </w:r>
    </w:p>
    <w:p w:rsidR="00AA61D6" w:rsidRPr="00017026" w:rsidRDefault="00AA61D6" w:rsidP="00ED544E">
      <w:pPr>
        <w:jc w:val="center"/>
        <w:rPr>
          <w:rFonts w:cs="Times New Roman"/>
          <w:b/>
          <w:szCs w:val="24"/>
        </w:rPr>
      </w:pPr>
      <w:r w:rsidRPr="00017026">
        <w:rPr>
          <w:rFonts w:cs="Times New Roman"/>
          <w:b/>
          <w:szCs w:val="24"/>
        </w:rPr>
        <w:t>201</w:t>
      </w:r>
      <w:r w:rsidR="00B66E07">
        <w:rPr>
          <w:rFonts w:cs="Times New Roman"/>
          <w:b/>
          <w:szCs w:val="24"/>
        </w:rPr>
        <w:t>6</w:t>
      </w:r>
      <w:r w:rsidRPr="00017026">
        <w:rPr>
          <w:rFonts w:cs="Times New Roman"/>
          <w:b/>
          <w:szCs w:val="24"/>
        </w:rPr>
        <w:t xml:space="preserve"> Case Law Update</w:t>
      </w: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p>
    <w:p w:rsidR="00AA61D6" w:rsidRPr="00017026" w:rsidRDefault="00AA61D6" w:rsidP="00ED544E">
      <w:pPr>
        <w:jc w:val="center"/>
        <w:rPr>
          <w:rFonts w:cs="Times New Roman"/>
          <w:b/>
          <w:szCs w:val="24"/>
        </w:rPr>
      </w:pPr>
      <w:r w:rsidRPr="00017026">
        <w:rPr>
          <w:rFonts w:cs="Times New Roman"/>
          <w:b/>
          <w:szCs w:val="24"/>
        </w:rPr>
        <w:t>Jeffrey A. Peterson</w:t>
      </w:r>
    </w:p>
    <w:p w:rsidR="00AA61D6" w:rsidRPr="00017026" w:rsidRDefault="00AA61D6" w:rsidP="00ED544E">
      <w:pPr>
        <w:jc w:val="center"/>
        <w:rPr>
          <w:rFonts w:cs="Times New Roman"/>
          <w:b/>
          <w:szCs w:val="24"/>
        </w:rPr>
      </w:pPr>
      <w:r w:rsidRPr="00017026">
        <w:rPr>
          <w:rFonts w:cs="Times New Roman"/>
          <w:b/>
          <w:szCs w:val="24"/>
        </w:rPr>
        <w:t>GRAY PLANT MOOTY</w:t>
      </w:r>
    </w:p>
    <w:p w:rsidR="00AA61D6" w:rsidRPr="00017026" w:rsidRDefault="00AA61D6" w:rsidP="00ED544E">
      <w:pPr>
        <w:jc w:val="center"/>
        <w:rPr>
          <w:rFonts w:cs="Times New Roman"/>
          <w:b/>
          <w:szCs w:val="24"/>
        </w:rPr>
      </w:pPr>
      <w:r w:rsidRPr="00017026">
        <w:rPr>
          <w:rFonts w:cs="Times New Roman"/>
          <w:b/>
          <w:szCs w:val="24"/>
        </w:rPr>
        <w:t>www.gpmlaw.com</w:t>
      </w:r>
    </w:p>
    <w:p w:rsidR="00AA61D6" w:rsidRPr="00017026" w:rsidRDefault="00AA61D6" w:rsidP="00ED544E">
      <w:pPr>
        <w:jc w:val="both"/>
        <w:rPr>
          <w:rFonts w:cs="Times New Roman"/>
          <w:b/>
          <w:szCs w:val="24"/>
        </w:rPr>
      </w:pPr>
    </w:p>
    <w:p w:rsidR="00AA61D6" w:rsidRPr="00017026" w:rsidRDefault="00AA61D6" w:rsidP="00ED544E">
      <w:pPr>
        <w:rPr>
          <w:rFonts w:cs="Times New Roman"/>
          <w:b/>
          <w:szCs w:val="24"/>
        </w:rPr>
      </w:pPr>
      <w:r w:rsidRPr="00017026">
        <w:rPr>
          <w:rFonts w:cs="Times New Roman"/>
          <w:b/>
          <w:szCs w:val="24"/>
        </w:rPr>
        <w:br w:type="page"/>
      </w:r>
    </w:p>
    <w:p w:rsidR="00C10426" w:rsidRPr="00017026" w:rsidRDefault="00C10426" w:rsidP="00ED544E">
      <w:pPr>
        <w:jc w:val="both"/>
        <w:rPr>
          <w:rFonts w:cs="Times New Roman"/>
          <w:i/>
          <w:szCs w:val="24"/>
        </w:rPr>
        <w:sectPr w:rsidR="00C10426" w:rsidRPr="00017026" w:rsidSect="00577CCF">
          <w:footerReference w:type="default" r:id="rId8"/>
          <w:headerReference w:type="first" r:id="rId9"/>
          <w:footerReference w:type="first" r:id="rId10"/>
          <w:pgSz w:w="12240" w:h="15840"/>
          <w:pgMar w:top="1440" w:right="1440" w:bottom="1440" w:left="1440" w:header="360" w:footer="720" w:gutter="0"/>
          <w:cols w:space="720"/>
          <w:titlePg/>
          <w:docGrid w:linePitch="360"/>
        </w:sectPr>
      </w:pPr>
    </w:p>
    <w:p w:rsidR="00C10426" w:rsidRPr="00017026" w:rsidRDefault="00C10426" w:rsidP="00ED544E">
      <w:pPr>
        <w:jc w:val="center"/>
        <w:rPr>
          <w:rFonts w:cs="Times New Roman"/>
          <w:b/>
          <w:szCs w:val="24"/>
        </w:rPr>
      </w:pPr>
      <w:r w:rsidRPr="00017026">
        <w:rPr>
          <w:rFonts w:cs="Times New Roman"/>
          <w:b/>
          <w:szCs w:val="24"/>
        </w:rPr>
        <w:lastRenderedPageBreak/>
        <w:t>Table of Contents</w:t>
      </w:r>
    </w:p>
    <w:p w:rsidR="00C10426" w:rsidRPr="00017026" w:rsidRDefault="00C10426" w:rsidP="00ED544E">
      <w:pPr>
        <w:jc w:val="center"/>
        <w:rPr>
          <w:rFonts w:cs="Times New Roman"/>
          <w:b/>
          <w:szCs w:val="24"/>
        </w:rPr>
      </w:pPr>
    </w:p>
    <w:p w:rsidR="00C10426" w:rsidRPr="00017026" w:rsidRDefault="00C10426" w:rsidP="00ED544E">
      <w:pPr>
        <w:jc w:val="center"/>
        <w:rPr>
          <w:rFonts w:cs="Times New Roman"/>
          <w:b/>
          <w:szCs w:val="24"/>
        </w:rPr>
      </w:pPr>
    </w:p>
    <w:p w:rsidR="00C10426" w:rsidRPr="00017026" w:rsidRDefault="00C10426" w:rsidP="00ED544E">
      <w:pPr>
        <w:rPr>
          <w:rFonts w:cs="Times New Roman"/>
          <w:b/>
          <w:szCs w:val="24"/>
        </w:rPr>
      </w:pPr>
      <w:r w:rsidRPr="00017026">
        <w:rPr>
          <w:rFonts w:cs="Times New Roman"/>
          <w:b/>
          <w:szCs w:val="24"/>
        </w:rPr>
        <w:tab/>
        <w:t>I.</w:t>
      </w:r>
      <w:r w:rsidRPr="00017026">
        <w:rPr>
          <w:rFonts w:cs="Times New Roman"/>
          <w:b/>
          <w:szCs w:val="24"/>
        </w:rPr>
        <w:tab/>
      </w:r>
      <w:r w:rsidR="009F247D">
        <w:rPr>
          <w:rFonts w:cs="Times New Roman"/>
          <w:b/>
          <w:szCs w:val="24"/>
        </w:rPr>
        <w:t xml:space="preserve">UCC </w:t>
      </w:r>
      <w:r w:rsidRPr="00017026">
        <w:rPr>
          <w:rFonts w:cs="Times New Roman"/>
          <w:b/>
          <w:szCs w:val="24"/>
        </w:rPr>
        <w:t>Revised Article 9 [Secured Transactions] ……………….…….</w:t>
      </w:r>
      <w:r w:rsidRPr="00017026">
        <w:rPr>
          <w:rFonts w:cs="Times New Roman"/>
          <w:b/>
          <w:szCs w:val="24"/>
        </w:rPr>
        <w:tab/>
        <w:t>A-</w:t>
      </w:r>
      <w:r w:rsidR="00B43B96">
        <w:rPr>
          <w:rFonts w:cs="Times New Roman"/>
          <w:b/>
          <w:szCs w:val="24"/>
        </w:rPr>
        <w:t>3</w:t>
      </w:r>
    </w:p>
    <w:p w:rsidR="00C10426" w:rsidRPr="00017026" w:rsidRDefault="00C10426" w:rsidP="00ED544E">
      <w:pPr>
        <w:rPr>
          <w:rFonts w:cs="Times New Roman"/>
          <w:szCs w:val="24"/>
        </w:rPr>
      </w:pPr>
      <w:r w:rsidRPr="00017026">
        <w:rPr>
          <w:rFonts w:cs="Times New Roman"/>
          <w:b/>
          <w:szCs w:val="24"/>
        </w:rPr>
        <w:tab/>
      </w:r>
      <w:r w:rsidRPr="00017026">
        <w:rPr>
          <w:rFonts w:cs="Times New Roman"/>
          <w:b/>
          <w:szCs w:val="24"/>
        </w:rPr>
        <w:tab/>
      </w:r>
      <w:r w:rsidRPr="00017026">
        <w:rPr>
          <w:rFonts w:cs="Times New Roman"/>
          <w:szCs w:val="24"/>
        </w:rPr>
        <w:t>A.</w:t>
      </w:r>
      <w:r w:rsidRPr="00017026">
        <w:rPr>
          <w:rFonts w:cs="Times New Roman"/>
          <w:szCs w:val="24"/>
        </w:rPr>
        <w:tab/>
        <w:t>Attachment</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B.</w:t>
      </w:r>
      <w:r w:rsidRPr="00017026">
        <w:rPr>
          <w:rFonts w:cs="Times New Roman"/>
          <w:szCs w:val="24"/>
        </w:rPr>
        <w:tab/>
        <w:t>Perfection</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C.</w:t>
      </w:r>
      <w:r w:rsidRPr="00017026">
        <w:rPr>
          <w:rFonts w:cs="Times New Roman"/>
          <w:szCs w:val="24"/>
        </w:rPr>
        <w:tab/>
        <w:t>Priority</w:t>
      </w:r>
    </w:p>
    <w:p w:rsidR="00E3601B" w:rsidRDefault="00C10426" w:rsidP="00ED544E">
      <w:pPr>
        <w:rPr>
          <w:rFonts w:cs="Times New Roman"/>
          <w:szCs w:val="24"/>
        </w:rPr>
      </w:pPr>
      <w:r w:rsidRPr="00017026">
        <w:rPr>
          <w:rFonts w:cs="Times New Roman"/>
          <w:szCs w:val="24"/>
        </w:rPr>
        <w:tab/>
      </w:r>
      <w:r w:rsidRPr="00017026">
        <w:rPr>
          <w:rFonts w:cs="Times New Roman"/>
          <w:szCs w:val="24"/>
        </w:rPr>
        <w:tab/>
        <w:t>D.</w:t>
      </w:r>
      <w:r w:rsidRPr="00017026">
        <w:rPr>
          <w:rFonts w:cs="Times New Roman"/>
          <w:szCs w:val="24"/>
        </w:rPr>
        <w:tab/>
        <w:t>Enforcement</w:t>
      </w:r>
    </w:p>
    <w:p w:rsidR="00C10426" w:rsidRPr="00017026" w:rsidRDefault="00E3601B" w:rsidP="00ED544E">
      <w:pPr>
        <w:rPr>
          <w:rFonts w:cs="Times New Roman"/>
          <w:szCs w:val="24"/>
        </w:rPr>
      </w:pPr>
      <w:r>
        <w:rPr>
          <w:rFonts w:cs="Times New Roman"/>
          <w:szCs w:val="24"/>
        </w:rPr>
        <w:tab/>
      </w:r>
      <w:r>
        <w:rPr>
          <w:rFonts w:cs="Times New Roman"/>
          <w:szCs w:val="24"/>
        </w:rPr>
        <w:tab/>
        <w:t>E.</w:t>
      </w:r>
      <w:r>
        <w:rPr>
          <w:rFonts w:cs="Times New Roman"/>
          <w:szCs w:val="24"/>
        </w:rPr>
        <w:tab/>
        <w:t>Liabilities</w:t>
      </w:r>
      <w:r w:rsidR="00C10426" w:rsidRPr="00017026">
        <w:rPr>
          <w:rFonts w:cs="Times New Roman"/>
          <w:szCs w:val="24"/>
        </w:rPr>
        <w:tab/>
      </w:r>
    </w:p>
    <w:p w:rsidR="00C10426" w:rsidRPr="00017026" w:rsidRDefault="00C10426" w:rsidP="00ED544E">
      <w:pPr>
        <w:rPr>
          <w:rFonts w:cs="Times New Roman"/>
          <w:szCs w:val="24"/>
        </w:rPr>
      </w:pPr>
    </w:p>
    <w:p w:rsidR="00C10426" w:rsidRPr="00017026" w:rsidRDefault="00C10426" w:rsidP="00ED544E">
      <w:pPr>
        <w:rPr>
          <w:rFonts w:cs="Times New Roman"/>
          <w:b/>
          <w:szCs w:val="24"/>
        </w:rPr>
      </w:pPr>
      <w:r w:rsidRPr="00017026">
        <w:rPr>
          <w:rFonts w:cs="Times New Roman"/>
          <w:b/>
          <w:szCs w:val="24"/>
        </w:rPr>
        <w:tab/>
        <w:t>II.</w:t>
      </w:r>
      <w:r w:rsidRPr="00017026">
        <w:rPr>
          <w:rFonts w:cs="Times New Roman"/>
          <w:b/>
          <w:szCs w:val="24"/>
        </w:rPr>
        <w:tab/>
      </w:r>
      <w:r w:rsidR="009F247D">
        <w:rPr>
          <w:rFonts w:cs="Times New Roman"/>
          <w:b/>
          <w:szCs w:val="24"/>
        </w:rPr>
        <w:t xml:space="preserve">UCC </w:t>
      </w:r>
      <w:r w:rsidRPr="00017026">
        <w:rPr>
          <w:rFonts w:cs="Times New Roman"/>
          <w:b/>
          <w:szCs w:val="24"/>
        </w:rPr>
        <w:t xml:space="preserve">Article 2 [Sales] ……………………………………….………...  </w:t>
      </w:r>
      <w:r w:rsidRPr="00017026">
        <w:rPr>
          <w:rFonts w:cs="Times New Roman"/>
          <w:b/>
          <w:szCs w:val="24"/>
        </w:rPr>
        <w:tab/>
        <w:t>A-</w:t>
      </w:r>
      <w:r w:rsidR="00B43B96">
        <w:rPr>
          <w:rFonts w:cs="Times New Roman"/>
          <w:b/>
          <w:szCs w:val="24"/>
        </w:rPr>
        <w:t>11</w:t>
      </w:r>
    </w:p>
    <w:p w:rsidR="00C10426" w:rsidRPr="00017026" w:rsidRDefault="00C10426" w:rsidP="00ED544E">
      <w:pPr>
        <w:ind w:left="1440"/>
        <w:rPr>
          <w:rFonts w:cs="Times New Roman"/>
          <w:szCs w:val="24"/>
        </w:rPr>
      </w:pPr>
      <w:r w:rsidRPr="00017026">
        <w:rPr>
          <w:rFonts w:cs="Times New Roman"/>
          <w:szCs w:val="24"/>
        </w:rPr>
        <w:t>A.</w:t>
      </w:r>
      <w:r w:rsidRPr="00017026">
        <w:rPr>
          <w:rFonts w:cs="Times New Roman"/>
          <w:szCs w:val="24"/>
        </w:rPr>
        <w:tab/>
        <w:t>General</w:t>
      </w:r>
    </w:p>
    <w:p w:rsidR="00C10426" w:rsidRPr="00017026" w:rsidRDefault="00C10426" w:rsidP="00ED544E">
      <w:pPr>
        <w:ind w:left="1440"/>
        <w:rPr>
          <w:rFonts w:cs="Times New Roman"/>
          <w:szCs w:val="24"/>
        </w:rPr>
      </w:pPr>
      <w:r w:rsidRPr="00017026">
        <w:rPr>
          <w:rFonts w:cs="Times New Roman"/>
          <w:szCs w:val="24"/>
        </w:rPr>
        <w:t>B.</w:t>
      </w:r>
      <w:r w:rsidRPr="00017026">
        <w:rPr>
          <w:rFonts w:cs="Times New Roman"/>
          <w:szCs w:val="24"/>
        </w:rPr>
        <w:tab/>
        <w:t>Formation</w:t>
      </w:r>
    </w:p>
    <w:p w:rsidR="00C10426" w:rsidRPr="00017026" w:rsidRDefault="00C10426" w:rsidP="00ED544E">
      <w:pPr>
        <w:ind w:left="1440"/>
        <w:rPr>
          <w:rFonts w:cs="Times New Roman"/>
          <w:szCs w:val="24"/>
        </w:rPr>
      </w:pPr>
      <w:r w:rsidRPr="00017026">
        <w:rPr>
          <w:rFonts w:cs="Times New Roman"/>
          <w:szCs w:val="24"/>
        </w:rPr>
        <w:t>C.</w:t>
      </w:r>
      <w:r w:rsidRPr="00017026">
        <w:rPr>
          <w:rFonts w:cs="Times New Roman"/>
          <w:szCs w:val="24"/>
        </w:rPr>
        <w:tab/>
        <w:t>Construction</w:t>
      </w:r>
    </w:p>
    <w:p w:rsidR="00C10426" w:rsidRPr="00017026" w:rsidRDefault="00C10426" w:rsidP="00ED544E">
      <w:pPr>
        <w:ind w:left="1440"/>
        <w:rPr>
          <w:rFonts w:cs="Times New Roman"/>
          <w:szCs w:val="24"/>
        </w:rPr>
      </w:pPr>
      <w:r w:rsidRPr="00017026">
        <w:rPr>
          <w:rFonts w:cs="Times New Roman"/>
          <w:szCs w:val="24"/>
        </w:rPr>
        <w:t>D.</w:t>
      </w:r>
      <w:r w:rsidRPr="00017026">
        <w:rPr>
          <w:rFonts w:cs="Times New Roman"/>
          <w:szCs w:val="24"/>
        </w:rPr>
        <w:tab/>
        <w:t>Title</w:t>
      </w:r>
    </w:p>
    <w:p w:rsidR="00C10426" w:rsidRPr="00017026" w:rsidRDefault="00C10426" w:rsidP="00ED544E">
      <w:pPr>
        <w:ind w:left="720"/>
        <w:jc w:val="both"/>
        <w:rPr>
          <w:rFonts w:cs="Times New Roman"/>
          <w:szCs w:val="24"/>
        </w:rPr>
      </w:pPr>
      <w:r w:rsidRPr="00017026">
        <w:rPr>
          <w:rFonts w:cs="Times New Roman"/>
          <w:szCs w:val="24"/>
        </w:rPr>
        <w:tab/>
        <w:t>E.</w:t>
      </w:r>
      <w:r w:rsidRPr="00017026">
        <w:rPr>
          <w:rFonts w:cs="Times New Roman"/>
          <w:szCs w:val="24"/>
        </w:rPr>
        <w:tab/>
        <w:t>Performance</w:t>
      </w:r>
    </w:p>
    <w:p w:rsidR="00C10426" w:rsidRPr="00017026" w:rsidRDefault="00C10426" w:rsidP="00ED544E">
      <w:pPr>
        <w:ind w:left="720"/>
        <w:jc w:val="both"/>
        <w:rPr>
          <w:rFonts w:cs="Times New Roman"/>
          <w:szCs w:val="24"/>
        </w:rPr>
      </w:pPr>
      <w:r w:rsidRPr="00017026">
        <w:rPr>
          <w:rFonts w:cs="Times New Roman"/>
          <w:szCs w:val="24"/>
        </w:rPr>
        <w:tab/>
        <w:t>F.</w:t>
      </w:r>
      <w:r w:rsidRPr="00017026">
        <w:rPr>
          <w:rFonts w:cs="Times New Roman"/>
          <w:szCs w:val="24"/>
        </w:rPr>
        <w:tab/>
        <w:t>Breach</w:t>
      </w:r>
    </w:p>
    <w:p w:rsidR="00C10426" w:rsidRPr="00017026" w:rsidRDefault="00C10426" w:rsidP="00ED544E">
      <w:pPr>
        <w:ind w:left="720"/>
        <w:jc w:val="both"/>
        <w:rPr>
          <w:rFonts w:cs="Times New Roman"/>
          <w:szCs w:val="24"/>
        </w:rPr>
      </w:pPr>
      <w:r w:rsidRPr="00017026">
        <w:rPr>
          <w:rFonts w:cs="Times New Roman"/>
          <w:szCs w:val="24"/>
        </w:rPr>
        <w:tab/>
        <w:t>G.</w:t>
      </w:r>
      <w:r w:rsidRPr="00017026">
        <w:rPr>
          <w:rFonts w:cs="Times New Roman"/>
          <w:szCs w:val="24"/>
        </w:rPr>
        <w:tab/>
        <w:t>Remedies</w:t>
      </w:r>
    </w:p>
    <w:p w:rsidR="00C10426" w:rsidRPr="00017026" w:rsidRDefault="00C10426" w:rsidP="00ED544E">
      <w:pPr>
        <w:ind w:left="720"/>
        <w:jc w:val="both"/>
        <w:rPr>
          <w:rFonts w:cs="Times New Roman"/>
          <w:szCs w:val="24"/>
        </w:rPr>
      </w:pPr>
      <w:r w:rsidRPr="00017026">
        <w:rPr>
          <w:rFonts w:cs="Times New Roman"/>
          <w:szCs w:val="24"/>
        </w:rPr>
        <w:tab/>
        <w:t>H.</w:t>
      </w:r>
      <w:r w:rsidRPr="00017026">
        <w:rPr>
          <w:rFonts w:cs="Times New Roman"/>
          <w:szCs w:val="24"/>
        </w:rPr>
        <w:tab/>
        <w:t>Miscellaneous</w:t>
      </w:r>
    </w:p>
    <w:p w:rsidR="00C10426" w:rsidRPr="00017026" w:rsidRDefault="00C10426" w:rsidP="00ED544E">
      <w:pPr>
        <w:ind w:left="1440"/>
        <w:rPr>
          <w:rFonts w:cs="Times New Roman"/>
          <w:szCs w:val="24"/>
        </w:rPr>
      </w:pPr>
    </w:p>
    <w:p w:rsidR="00C10426" w:rsidRPr="00017026" w:rsidRDefault="00C10426" w:rsidP="00ED544E">
      <w:pPr>
        <w:rPr>
          <w:rFonts w:cs="Times New Roman"/>
          <w:b/>
          <w:szCs w:val="24"/>
        </w:rPr>
      </w:pPr>
      <w:r w:rsidRPr="00017026">
        <w:rPr>
          <w:rFonts w:cs="Times New Roman"/>
          <w:b/>
          <w:szCs w:val="24"/>
        </w:rPr>
        <w:tab/>
        <w:t>III.</w:t>
      </w:r>
      <w:r w:rsidRPr="00017026">
        <w:rPr>
          <w:rFonts w:cs="Times New Roman"/>
          <w:b/>
          <w:szCs w:val="24"/>
        </w:rPr>
        <w:tab/>
      </w:r>
      <w:r w:rsidR="009F247D">
        <w:rPr>
          <w:rFonts w:cs="Times New Roman"/>
          <w:b/>
          <w:szCs w:val="24"/>
        </w:rPr>
        <w:t xml:space="preserve">UCC </w:t>
      </w:r>
      <w:r w:rsidRPr="00017026">
        <w:rPr>
          <w:rFonts w:cs="Times New Roman"/>
          <w:b/>
          <w:szCs w:val="24"/>
        </w:rPr>
        <w:t>Article 1 [General Provisions] ……………………………….</w:t>
      </w:r>
      <w:r w:rsidRPr="00017026">
        <w:rPr>
          <w:rFonts w:cs="Times New Roman"/>
          <w:b/>
          <w:szCs w:val="24"/>
        </w:rPr>
        <w:tab/>
        <w:t>A-</w:t>
      </w:r>
      <w:r w:rsidR="00B43B96">
        <w:rPr>
          <w:rFonts w:cs="Times New Roman"/>
          <w:b/>
          <w:szCs w:val="24"/>
        </w:rPr>
        <w:t>14</w:t>
      </w:r>
    </w:p>
    <w:p w:rsidR="00C10426" w:rsidRPr="00017026" w:rsidRDefault="00C10426" w:rsidP="00ED544E">
      <w:pPr>
        <w:rPr>
          <w:rFonts w:cs="Times New Roman"/>
          <w:b/>
          <w:szCs w:val="24"/>
        </w:rPr>
      </w:pPr>
    </w:p>
    <w:p w:rsidR="00C10426" w:rsidRPr="00017026" w:rsidRDefault="00C10426" w:rsidP="00ED544E">
      <w:pPr>
        <w:rPr>
          <w:rFonts w:cs="Times New Roman"/>
          <w:b/>
          <w:szCs w:val="24"/>
        </w:rPr>
      </w:pPr>
      <w:r w:rsidRPr="00017026">
        <w:rPr>
          <w:rFonts w:cs="Times New Roman"/>
          <w:b/>
          <w:szCs w:val="24"/>
        </w:rPr>
        <w:tab/>
        <w:t>IV.</w:t>
      </w:r>
      <w:r w:rsidRPr="00017026">
        <w:rPr>
          <w:rFonts w:cs="Times New Roman"/>
          <w:b/>
          <w:szCs w:val="24"/>
        </w:rPr>
        <w:tab/>
        <w:t>Other State Law ……………………………….……..……</w:t>
      </w:r>
      <w:r w:rsidR="00B43B96">
        <w:rPr>
          <w:rFonts w:cs="Times New Roman"/>
          <w:b/>
          <w:szCs w:val="24"/>
        </w:rPr>
        <w:t>……..</w:t>
      </w:r>
      <w:r w:rsidRPr="00017026">
        <w:rPr>
          <w:rFonts w:cs="Times New Roman"/>
          <w:b/>
          <w:szCs w:val="24"/>
        </w:rPr>
        <w:t xml:space="preserve">….  </w:t>
      </w:r>
      <w:r w:rsidRPr="00017026">
        <w:rPr>
          <w:rFonts w:cs="Times New Roman"/>
          <w:b/>
          <w:szCs w:val="24"/>
        </w:rPr>
        <w:tab/>
        <w:t>A-</w:t>
      </w:r>
      <w:r w:rsidR="00B43B96">
        <w:rPr>
          <w:rFonts w:cs="Times New Roman"/>
          <w:b/>
          <w:szCs w:val="24"/>
        </w:rPr>
        <w:t>15</w:t>
      </w:r>
    </w:p>
    <w:p w:rsidR="00C10426" w:rsidRPr="00017026" w:rsidRDefault="00C10426" w:rsidP="00ED544E">
      <w:pPr>
        <w:rPr>
          <w:rFonts w:cs="Times New Roman"/>
          <w:szCs w:val="24"/>
        </w:rPr>
      </w:pPr>
      <w:r w:rsidRPr="00017026">
        <w:rPr>
          <w:rFonts w:cs="Times New Roman"/>
          <w:b/>
          <w:szCs w:val="24"/>
        </w:rPr>
        <w:tab/>
      </w:r>
      <w:r w:rsidRPr="00017026">
        <w:rPr>
          <w:rFonts w:cs="Times New Roman"/>
          <w:szCs w:val="24"/>
        </w:rPr>
        <w:tab/>
        <w:t>A.</w:t>
      </w:r>
      <w:r w:rsidRPr="00017026">
        <w:rPr>
          <w:rFonts w:cs="Times New Roman"/>
          <w:szCs w:val="24"/>
        </w:rPr>
        <w:tab/>
        <w:t>Fraudulent Transfers</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B.</w:t>
      </w:r>
      <w:r w:rsidRPr="00017026">
        <w:rPr>
          <w:rFonts w:cs="Times New Roman"/>
          <w:szCs w:val="24"/>
        </w:rPr>
        <w:tab/>
        <w:t>Exemptions</w:t>
      </w:r>
    </w:p>
    <w:p w:rsidR="00C10426" w:rsidRPr="00017026" w:rsidRDefault="00C10426" w:rsidP="00ED544E">
      <w:pPr>
        <w:ind w:left="720"/>
        <w:jc w:val="both"/>
        <w:rPr>
          <w:rFonts w:cs="Times New Roman"/>
          <w:szCs w:val="24"/>
        </w:rPr>
      </w:pPr>
      <w:r w:rsidRPr="00017026">
        <w:rPr>
          <w:rFonts w:cs="Times New Roman"/>
          <w:szCs w:val="24"/>
        </w:rPr>
        <w:tab/>
        <w:t>C.</w:t>
      </w:r>
      <w:r w:rsidRPr="00017026">
        <w:rPr>
          <w:rFonts w:cs="Times New Roman"/>
          <w:szCs w:val="24"/>
        </w:rPr>
        <w:tab/>
        <w:t>Miscellaneous</w:t>
      </w:r>
    </w:p>
    <w:p w:rsidR="00C10426" w:rsidRPr="00017026" w:rsidRDefault="00C10426" w:rsidP="00ED544E">
      <w:pPr>
        <w:rPr>
          <w:rFonts w:cs="Times New Roman"/>
          <w:b/>
          <w:szCs w:val="24"/>
        </w:rPr>
      </w:pPr>
      <w:r w:rsidRPr="00017026">
        <w:rPr>
          <w:rFonts w:cs="Times New Roman"/>
          <w:b/>
          <w:szCs w:val="24"/>
        </w:rPr>
        <w:tab/>
      </w:r>
    </w:p>
    <w:p w:rsidR="00C10426" w:rsidRPr="00017026" w:rsidRDefault="00C10426" w:rsidP="00ED544E">
      <w:pPr>
        <w:rPr>
          <w:rFonts w:cs="Times New Roman"/>
          <w:b/>
          <w:szCs w:val="24"/>
        </w:rPr>
      </w:pPr>
      <w:r w:rsidRPr="00017026">
        <w:rPr>
          <w:rFonts w:cs="Times New Roman"/>
          <w:b/>
          <w:szCs w:val="24"/>
        </w:rPr>
        <w:tab/>
        <w:t>V.</w:t>
      </w:r>
      <w:r w:rsidRPr="00017026">
        <w:rPr>
          <w:rFonts w:cs="Times New Roman"/>
          <w:b/>
          <w:szCs w:val="24"/>
        </w:rPr>
        <w:tab/>
        <w:t>Bankruptcy ……………………………………………</w:t>
      </w:r>
      <w:r w:rsidR="00B43B96">
        <w:rPr>
          <w:rFonts w:cs="Times New Roman"/>
          <w:b/>
          <w:szCs w:val="24"/>
        </w:rPr>
        <w:t>……..</w:t>
      </w:r>
      <w:r w:rsidRPr="00017026">
        <w:rPr>
          <w:rFonts w:cs="Times New Roman"/>
          <w:b/>
          <w:szCs w:val="24"/>
        </w:rPr>
        <w:t xml:space="preserve">……….  </w:t>
      </w:r>
      <w:r w:rsidRPr="00017026">
        <w:rPr>
          <w:rFonts w:cs="Times New Roman"/>
          <w:b/>
          <w:szCs w:val="24"/>
        </w:rPr>
        <w:tab/>
        <w:t>A-</w:t>
      </w:r>
      <w:r w:rsidR="00B43B96">
        <w:rPr>
          <w:rFonts w:cs="Times New Roman"/>
          <w:b/>
          <w:szCs w:val="24"/>
        </w:rPr>
        <w:t>20</w:t>
      </w:r>
    </w:p>
    <w:p w:rsidR="00C10426" w:rsidRPr="00017026" w:rsidRDefault="00C10426" w:rsidP="00ED544E">
      <w:pPr>
        <w:rPr>
          <w:rFonts w:cs="Times New Roman"/>
          <w:szCs w:val="24"/>
        </w:rPr>
      </w:pPr>
      <w:r w:rsidRPr="00017026">
        <w:rPr>
          <w:rFonts w:cs="Times New Roman"/>
          <w:b/>
          <w:szCs w:val="24"/>
        </w:rPr>
        <w:tab/>
      </w:r>
      <w:r w:rsidRPr="00017026">
        <w:rPr>
          <w:rFonts w:cs="Times New Roman"/>
          <w:b/>
          <w:szCs w:val="24"/>
        </w:rPr>
        <w:tab/>
      </w:r>
      <w:r w:rsidRPr="00017026">
        <w:rPr>
          <w:rFonts w:cs="Times New Roman"/>
          <w:szCs w:val="24"/>
        </w:rPr>
        <w:t>A.</w:t>
      </w:r>
      <w:r w:rsidRPr="00017026">
        <w:rPr>
          <w:rFonts w:cs="Times New Roman"/>
          <w:szCs w:val="24"/>
        </w:rPr>
        <w:tab/>
        <w:t>General</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B.</w:t>
      </w:r>
      <w:r w:rsidRPr="00017026">
        <w:rPr>
          <w:rFonts w:cs="Times New Roman"/>
          <w:szCs w:val="24"/>
        </w:rPr>
        <w:tab/>
        <w:t>Case Administration</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C.</w:t>
      </w:r>
      <w:r w:rsidRPr="00017026">
        <w:rPr>
          <w:rFonts w:cs="Times New Roman"/>
          <w:szCs w:val="24"/>
        </w:rPr>
        <w:tab/>
        <w:t>Bankruptcy Estate</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D.</w:t>
      </w:r>
      <w:r w:rsidRPr="00017026">
        <w:rPr>
          <w:rFonts w:cs="Times New Roman"/>
          <w:szCs w:val="24"/>
        </w:rPr>
        <w:tab/>
        <w:t>Chapter 7</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E.</w:t>
      </w:r>
      <w:r w:rsidRPr="00017026">
        <w:rPr>
          <w:rFonts w:cs="Times New Roman"/>
          <w:szCs w:val="24"/>
        </w:rPr>
        <w:tab/>
        <w:t>Chapter 11</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F.</w:t>
      </w:r>
      <w:r w:rsidRPr="00017026">
        <w:rPr>
          <w:rFonts w:cs="Times New Roman"/>
          <w:szCs w:val="24"/>
        </w:rPr>
        <w:tab/>
        <w:t>Chapter 12</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G.</w:t>
      </w:r>
      <w:r w:rsidRPr="00017026">
        <w:rPr>
          <w:rFonts w:cs="Times New Roman"/>
          <w:szCs w:val="24"/>
        </w:rPr>
        <w:tab/>
        <w:t>Chapter 13</w:t>
      </w:r>
    </w:p>
    <w:p w:rsidR="00C10426" w:rsidRPr="00017026" w:rsidRDefault="00C10426" w:rsidP="00ED544E">
      <w:pPr>
        <w:rPr>
          <w:rFonts w:cs="Times New Roman"/>
          <w:szCs w:val="24"/>
        </w:rPr>
      </w:pPr>
      <w:r w:rsidRPr="00017026">
        <w:rPr>
          <w:rFonts w:cs="Times New Roman"/>
          <w:szCs w:val="24"/>
        </w:rPr>
        <w:tab/>
      </w:r>
      <w:r w:rsidRPr="00017026">
        <w:rPr>
          <w:rFonts w:cs="Times New Roman"/>
          <w:szCs w:val="24"/>
        </w:rPr>
        <w:tab/>
        <w:t>H.</w:t>
      </w:r>
      <w:r w:rsidRPr="00017026">
        <w:rPr>
          <w:rFonts w:cs="Times New Roman"/>
          <w:szCs w:val="24"/>
        </w:rPr>
        <w:tab/>
        <w:t>Avoidance Actions</w:t>
      </w:r>
    </w:p>
    <w:p w:rsidR="001C25F0" w:rsidRPr="00017026" w:rsidRDefault="001C25F0" w:rsidP="00ED544E">
      <w:pPr>
        <w:rPr>
          <w:rFonts w:cs="Times New Roman"/>
          <w:szCs w:val="24"/>
        </w:rPr>
      </w:pPr>
    </w:p>
    <w:p w:rsidR="001C25F0" w:rsidRPr="00017026" w:rsidRDefault="001C25F0" w:rsidP="00ED544E">
      <w:pPr>
        <w:spacing w:after="200"/>
        <w:rPr>
          <w:rFonts w:cs="Times New Roman"/>
          <w:szCs w:val="24"/>
        </w:rPr>
      </w:pPr>
      <w:r w:rsidRPr="00017026">
        <w:rPr>
          <w:rFonts w:cs="Times New Roman"/>
          <w:szCs w:val="24"/>
        </w:rPr>
        <w:br w:type="page"/>
      </w:r>
    </w:p>
    <w:p w:rsidR="001C25F0" w:rsidRDefault="00017026" w:rsidP="00ED544E">
      <w:pPr>
        <w:jc w:val="both"/>
        <w:rPr>
          <w:rFonts w:cs="Times New Roman"/>
          <w:b/>
          <w:szCs w:val="24"/>
        </w:rPr>
      </w:pPr>
      <w:r w:rsidRPr="00017026">
        <w:rPr>
          <w:rFonts w:cs="Times New Roman"/>
          <w:b/>
          <w:szCs w:val="24"/>
        </w:rPr>
        <w:lastRenderedPageBreak/>
        <w:t xml:space="preserve">I.   </w:t>
      </w:r>
      <w:r w:rsidR="00994965">
        <w:rPr>
          <w:rFonts w:cs="Times New Roman"/>
          <w:b/>
          <w:szCs w:val="24"/>
        </w:rPr>
        <w:t xml:space="preserve">UCC </w:t>
      </w:r>
      <w:r w:rsidR="001C25F0" w:rsidRPr="00017026">
        <w:rPr>
          <w:rFonts w:cs="Times New Roman"/>
          <w:b/>
          <w:szCs w:val="24"/>
        </w:rPr>
        <w:t>REVISED ARTICLE 9.</w:t>
      </w:r>
    </w:p>
    <w:p w:rsidR="00B85801" w:rsidRPr="00017026" w:rsidRDefault="00B85801" w:rsidP="00ED544E">
      <w:pPr>
        <w:jc w:val="both"/>
        <w:rPr>
          <w:rFonts w:cs="Times New Roman"/>
          <w:b/>
          <w:szCs w:val="24"/>
        </w:rPr>
      </w:pPr>
    </w:p>
    <w:p w:rsidR="001C25F0" w:rsidRDefault="001C25F0" w:rsidP="00ED544E">
      <w:pPr>
        <w:pStyle w:val="ListParagraph"/>
        <w:numPr>
          <w:ilvl w:val="0"/>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Attachment.</w:t>
      </w:r>
    </w:p>
    <w:p w:rsidR="00B85801" w:rsidRPr="00017026" w:rsidRDefault="00B85801" w:rsidP="00ED544E">
      <w:pPr>
        <w:pStyle w:val="ListParagraph"/>
        <w:spacing w:line="240" w:lineRule="auto"/>
        <w:jc w:val="both"/>
        <w:rPr>
          <w:rFonts w:ascii="Times New Roman" w:hAnsi="Times New Roman" w:cs="Times New Roman"/>
          <w:b/>
          <w:sz w:val="24"/>
          <w:szCs w:val="24"/>
        </w:rPr>
      </w:pPr>
    </w:p>
    <w:p w:rsidR="001C25F0" w:rsidRDefault="001C25F0" w:rsidP="00ED544E">
      <w:pPr>
        <w:pStyle w:val="ListParagraph"/>
        <w:numPr>
          <w:ilvl w:val="1"/>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Value Given to Debtor.</w:t>
      </w:r>
    </w:p>
    <w:p w:rsidR="005B1D97" w:rsidRPr="005B1D97" w:rsidRDefault="005B1D97" w:rsidP="005B1D97">
      <w:pPr>
        <w:ind w:left="720"/>
        <w:jc w:val="both"/>
        <w:rPr>
          <w:rFonts w:cs="Times New Roman"/>
          <w:b/>
          <w:szCs w:val="24"/>
        </w:rPr>
      </w:pPr>
      <w:r w:rsidRPr="005B1D97">
        <w:rPr>
          <w:rFonts w:cs="Times New Roman"/>
          <w:b/>
          <w:szCs w:val="24"/>
        </w:rPr>
        <w:tab/>
      </w:r>
      <w:r w:rsidRPr="005B1D97">
        <w:rPr>
          <w:rFonts w:cs="Times New Roman"/>
          <w:szCs w:val="24"/>
        </w:rPr>
        <w:t xml:space="preserve">No </w:t>
      </w:r>
      <w:r w:rsidR="0050500D">
        <w:rPr>
          <w:rFonts w:cs="Times New Roman"/>
          <w:szCs w:val="24"/>
        </w:rPr>
        <w:t>updates</w:t>
      </w:r>
      <w:r w:rsidRPr="005B1D97">
        <w:rPr>
          <w:rFonts w:cs="Times New Roman"/>
          <w:szCs w:val="24"/>
        </w:rPr>
        <w:t>.</w:t>
      </w:r>
    </w:p>
    <w:p w:rsidR="00B85801" w:rsidRDefault="00B85801" w:rsidP="00ED544E">
      <w:pPr>
        <w:pStyle w:val="ListParagraph"/>
        <w:spacing w:line="240" w:lineRule="auto"/>
        <w:ind w:left="1440"/>
        <w:jc w:val="both"/>
        <w:rPr>
          <w:rFonts w:ascii="Times New Roman" w:hAnsi="Times New Roman" w:cs="Times New Roman"/>
          <w:b/>
          <w:sz w:val="24"/>
          <w:szCs w:val="24"/>
        </w:rPr>
      </w:pPr>
    </w:p>
    <w:p w:rsidR="001C25F0" w:rsidRDefault="001C25F0" w:rsidP="00ED544E">
      <w:pPr>
        <w:pStyle w:val="ListParagraph"/>
        <w:numPr>
          <w:ilvl w:val="1"/>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Debtor has Suff</w:t>
      </w:r>
      <w:r w:rsidR="00B85801">
        <w:rPr>
          <w:rFonts w:ascii="Times New Roman" w:hAnsi="Times New Roman" w:cs="Times New Roman"/>
          <w:b/>
          <w:sz w:val="24"/>
          <w:szCs w:val="24"/>
        </w:rPr>
        <w:t>icient Rights in the Collateral.</w:t>
      </w:r>
    </w:p>
    <w:p w:rsidR="00B85801" w:rsidRDefault="00B85801" w:rsidP="00ED544E">
      <w:pPr>
        <w:pStyle w:val="ListParagraph"/>
        <w:spacing w:line="240" w:lineRule="auto"/>
        <w:ind w:left="1440"/>
        <w:jc w:val="both"/>
        <w:rPr>
          <w:rFonts w:ascii="Times New Roman" w:hAnsi="Times New Roman" w:cs="Times New Roman"/>
          <w:b/>
          <w:sz w:val="24"/>
          <w:szCs w:val="24"/>
        </w:rPr>
      </w:pPr>
    </w:p>
    <w:p w:rsidR="00FD2462" w:rsidRPr="00235E69" w:rsidRDefault="00235E69" w:rsidP="00ED544E">
      <w:pPr>
        <w:pStyle w:val="ListParagraph"/>
        <w:spacing w:line="240" w:lineRule="auto"/>
        <w:ind w:left="1440"/>
        <w:jc w:val="both"/>
        <w:rPr>
          <w:rFonts w:ascii="Times New Roman" w:hAnsi="Times New Roman" w:cs="Times New Roman"/>
          <w:sz w:val="24"/>
          <w:szCs w:val="24"/>
        </w:rPr>
      </w:pPr>
      <w:r w:rsidRPr="00235E69">
        <w:rPr>
          <w:rFonts w:ascii="Times New Roman" w:hAnsi="Times New Roman" w:cs="Times New Roman"/>
          <w:sz w:val="24"/>
          <w:szCs w:val="24"/>
        </w:rPr>
        <w:t xml:space="preserve">No </w:t>
      </w:r>
      <w:r w:rsidR="0050500D">
        <w:rPr>
          <w:rFonts w:ascii="Times New Roman" w:hAnsi="Times New Roman" w:cs="Times New Roman"/>
          <w:sz w:val="24"/>
          <w:szCs w:val="24"/>
        </w:rPr>
        <w:t>updates</w:t>
      </w:r>
      <w:r w:rsidRPr="00235E69">
        <w:rPr>
          <w:rFonts w:ascii="Times New Roman" w:hAnsi="Times New Roman" w:cs="Times New Roman"/>
          <w:sz w:val="24"/>
          <w:szCs w:val="24"/>
        </w:rPr>
        <w:t>.</w:t>
      </w:r>
    </w:p>
    <w:p w:rsidR="00235E69" w:rsidRPr="00017026" w:rsidRDefault="00235E69" w:rsidP="00ED544E">
      <w:pPr>
        <w:pStyle w:val="ListParagraph"/>
        <w:spacing w:line="240" w:lineRule="auto"/>
        <w:ind w:left="1440"/>
        <w:jc w:val="both"/>
        <w:rPr>
          <w:rFonts w:ascii="Times New Roman" w:hAnsi="Times New Roman" w:cs="Times New Roman"/>
          <w:b/>
          <w:sz w:val="24"/>
          <w:szCs w:val="24"/>
        </w:rPr>
      </w:pPr>
    </w:p>
    <w:p w:rsidR="00847DD2" w:rsidRPr="00235E69" w:rsidRDefault="00847DD2" w:rsidP="00ED544E">
      <w:pPr>
        <w:pStyle w:val="ListParagraph"/>
        <w:numPr>
          <w:ilvl w:val="1"/>
          <w:numId w:val="11"/>
        </w:numPr>
        <w:spacing w:line="240" w:lineRule="auto"/>
        <w:jc w:val="both"/>
        <w:rPr>
          <w:rFonts w:ascii="Times New Roman" w:hAnsi="Times New Roman" w:cs="Times New Roman"/>
          <w:b/>
          <w:sz w:val="24"/>
          <w:szCs w:val="24"/>
        </w:rPr>
      </w:pPr>
      <w:r w:rsidRPr="00235E69">
        <w:rPr>
          <w:rFonts w:ascii="Times New Roman" w:hAnsi="Times New Roman" w:cs="Times New Roman"/>
          <w:b/>
          <w:sz w:val="24"/>
          <w:szCs w:val="24"/>
        </w:rPr>
        <w:t xml:space="preserve">Authenticated Security Agreement; </w:t>
      </w:r>
      <w:r w:rsidR="001C25F0" w:rsidRPr="00235E69">
        <w:rPr>
          <w:rFonts w:ascii="Times New Roman" w:hAnsi="Times New Roman" w:cs="Times New Roman"/>
          <w:b/>
          <w:sz w:val="24"/>
          <w:szCs w:val="24"/>
        </w:rPr>
        <w:t xml:space="preserve">Sufficient Description of </w:t>
      </w:r>
      <w:r w:rsidR="000000F7" w:rsidRPr="00235E69">
        <w:rPr>
          <w:rFonts w:ascii="Times New Roman" w:hAnsi="Times New Roman" w:cs="Times New Roman"/>
          <w:b/>
          <w:sz w:val="24"/>
          <w:szCs w:val="24"/>
        </w:rPr>
        <w:t>Collateral.</w:t>
      </w:r>
      <w:r w:rsidRPr="00235E69">
        <w:rPr>
          <w:rFonts w:cs="Times New Roman"/>
          <w:b/>
          <w:szCs w:val="24"/>
        </w:rPr>
        <w:tab/>
      </w:r>
    </w:p>
    <w:p w:rsidR="00C17E19" w:rsidRPr="00C17E19" w:rsidRDefault="00C17E19" w:rsidP="00235E69">
      <w:pPr>
        <w:ind w:left="1440"/>
        <w:jc w:val="both"/>
        <w:rPr>
          <w:rFonts w:cs="Times New Roman"/>
          <w:b/>
          <w:szCs w:val="24"/>
        </w:rPr>
      </w:pPr>
      <w:r w:rsidRPr="00C17E19">
        <w:rPr>
          <w:rFonts w:cs="Times New Roman"/>
          <w:b/>
          <w:szCs w:val="24"/>
        </w:rPr>
        <w:t>Supplemental Revenue Assistance Payments Program (“SURE”)</w:t>
      </w:r>
      <w:r>
        <w:rPr>
          <w:rFonts w:cs="Times New Roman"/>
          <w:b/>
          <w:szCs w:val="24"/>
        </w:rPr>
        <w:t xml:space="preserve"> payments constitute government payments and not crop proceeds.</w:t>
      </w:r>
      <w:r w:rsidR="00235E69">
        <w:rPr>
          <w:rFonts w:cs="Times New Roman"/>
          <w:b/>
          <w:szCs w:val="24"/>
        </w:rPr>
        <w:t xml:space="preserve">  </w:t>
      </w:r>
      <w:r w:rsidRPr="00235E69">
        <w:rPr>
          <w:rFonts w:cs="Times New Roman"/>
          <w:szCs w:val="24"/>
        </w:rPr>
        <w:t>G &amp; K Farm</w:t>
      </w:r>
      <w:r w:rsidR="009F247D">
        <w:rPr>
          <w:rFonts w:cs="Times New Roman"/>
          <w:szCs w:val="24"/>
        </w:rPr>
        <w:t xml:space="preserve"> was a North Dakota </w:t>
      </w:r>
      <w:r w:rsidRPr="00235E69">
        <w:rPr>
          <w:rFonts w:cs="Times New Roman"/>
          <w:szCs w:val="24"/>
        </w:rPr>
        <w:t>general partnership (the “</w:t>
      </w:r>
      <w:r w:rsidR="00235E69">
        <w:rPr>
          <w:rFonts w:cs="Times New Roman"/>
          <w:szCs w:val="24"/>
        </w:rPr>
        <w:t>Debtor</w:t>
      </w:r>
      <w:r w:rsidRPr="00235E69">
        <w:rPr>
          <w:rFonts w:cs="Times New Roman"/>
          <w:szCs w:val="24"/>
        </w:rPr>
        <w:t xml:space="preserve">”) </w:t>
      </w:r>
      <w:r w:rsidR="009F247D">
        <w:rPr>
          <w:rFonts w:cs="Times New Roman"/>
          <w:szCs w:val="24"/>
        </w:rPr>
        <w:t>that farmed in Texas</w:t>
      </w:r>
      <w:r w:rsidRPr="00235E69">
        <w:rPr>
          <w:rFonts w:cs="Times New Roman"/>
          <w:szCs w:val="24"/>
        </w:rPr>
        <w:t xml:space="preserve">.  The </w:t>
      </w:r>
      <w:r w:rsidR="00235E69">
        <w:rPr>
          <w:rFonts w:cs="Times New Roman"/>
          <w:szCs w:val="24"/>
        </w:rPr>
        <w:t>Debtor</w:t>
      </w:r>
      <w:r w:rsidRPr="00235E69">
        <w:rPr>
          <w:rFonts w:cs="Times New Roman"/>
          <w:szCs w:val="24"/>
        </w:rPr>
        <w:t xml:space="preserve"> was indebted to Choice Financial Group (the “Secured Creditor Choice”).  The debt was secured by a security interest in the </w:t>
      </w:r>
      <w:r w:rsidR="00235E69">
        <w:rPr>
          <w:rFonts w:cs="Times New Roman"/>
          <w:szCs w:val="24"/>
        </w:rPr>
        <w:t>Debtor</w:t>
      </w:r>
      <w:r w:rsidRPr="00235E69">
        <w:rPr>
          <w:rFonts w:cs="Times New Roman"/>
          <w:szCs w:val="24"/>
        </w:rPr>
        <w:t xml:space="preserve">’s personal property including its government payments.  The Secured Creditor Choice filed a UCC-1 in Texas; the state the crops were located.  The </w:t>
      </w:r>
      <w:r w:rsidR="00235E69">
        <w:rPr>
          <w:rFonts w:cs="Times New Roman"/>
          <w:szCs w:val="24"/>
        </w:rPr>
        <w:t>Debtor</w:t>
      </w:r>
      <w:r w:rsidRPr="00235E69">
        <w:rPr>
          <w:rFonts w:cs="Times New Roman"/>
          <w:szCs w:val="24"/>
        </w:rPr>
        <w:t xml:space="preserve"> was also indebted to PHI Financial Services, Inc. (the “Secured Creditor PHI”).  The debt was secured by a security interest in the </w:t>
      </w:r>
      <w:r w:rsidR="00235E69">
        <w:rPr>
          <w:rFonts w:cs="Times New Roman"/>
          <w:szCs w:val="24"/>
        </w:rPr>
        <w:t>Debtor</w:t>
      </w:r>
      <w:r w:rsidRPr="00235E69">
        <w:rPr>
          <w:rFonts w:cs="Times New Roman"/>
          <w:szCs w:val="24"/>
        </w:rPr>
        <w:t xml:space="preserve">’s personal property including its general intangibles which referenced the certain government program payments.  The Secured Creditor PHI filed a UCC-1 in North Dakota; the state the </w:t>
      </w:r>
      <w:r w:rsidR="00235E69">
        <w:rPr>
          <w:rFonts w:cs="Times New Roman"/>
          <w:szCs w:val="24"/>
        </w:rPr>
        <w:t>Debtor</w:t>
      </w:r>
      <w:r w:rsidRPr="00235E69">
        <w:rPr>
          <w:rFonts w:cs="Times New Roman"/>
          <w:szCs w:val="24"/>
        </w:rPr>
        <w:t xml:space="preserve"> was located.  The Secured Creditor Choice later filed a UCC-1 in North Dakota.  The </w:t>
      </w:r>
      <w:r w:rsidR="00235E69">
        <w:rPr>
          <w:rFonts w:cs="Times New Roman"/>
          <w:szCs w:val="24"/>
        </w:rPr>
        <w:t>Debtor</w:t>
      </w:r>
      <w:r w:rsidRPr="00235E69">
        <w:rPr>
          <w:rFonts w:cs="Times New Roman"/>
          <w:szCs w:val="24"/>
        </w:rPr>
        <w:t xml:space="preserve"> was insured under the Supplemental Revenue Assistance Payments Program (“SURE”) administered by FSA.  The </w:t>
      </w:r>
      <w:r w:rsidR="00235E69">
        <w:rPr>
          <w:rFonts w:cs="Times New Roman"/>
          <w:szCs w:val="24"/>
        </w:rPr>
        <w:t>Debtor</w:t>
      </w:r>
      <w:r w:rsidRPr="00235E69">
        <w:rPr>
          <w:rFonts w:cs="Times New Roman"/>
          <w:szCs w:val="24"/>
        </w:rPr>
        <w:t xml:space="preserve"> defaulted on its obligations to the Secured Creditor PHI and the Secured Creditor PHI obtained a $7.5 million judgment.  The Secured Creditor PHI attempted to collect its judgment against $328,168 in crop insurance loss proceeds under SU</w:t>
      </w:r>
      <w:r w:rsidR="009F247D">
        <w:rPr>
          <w:rFonts w:cs="Times New Roman"/>
          <w:szCs w:val="24"/>
        </w:rPr>
        <w:t xml:space="preserve">RE and </w:t>
      </w:r>
      <w:r w:rsidRPr="00235E69">
        <w:rPr>
          <w:rFonts w:cs="Times New Roman"/>
          <w:szCs w:val="24"/>
        </w:rPr>
        <w:t xml:space="preserve">commenced a legal action against the Secured Creditor Choice.  The trial court entered judgment in favor of the Secured Creditor PHI. The </w:t>
      </w:r>
      <w:r w:rsidR="009F247D" w:rsidRPr="009F247D">
        <w:rPr>
          <w:rFonts w:cs="Times New Roman"/>
          <w:szCs w:val="24"/>
        </w:rPr>
        <w:t>Secured Creditor Choice</w:t>
      </w:r>
      <w:r w:rsidRPr="00235E69">
        <w:rPr>
          <w:rFonts w:cs="Times New Roman"/>
          <w:szCs w:val="24"/>
        </w:rPr>
        <w:t xml:space="preserve"> appealed and argued that </w:t>
      </w:r>
      <w:r w:rsidR="009F247D">
        <w:rPr>
          <w:rFonts w:cs="Times New Roman"/>
          <w:szCs w:val="24"/>
        </w:rPr>
        <w:t xml:space="preserve">the SURE payments constituted the proceeds of crops and, therefore, the proper state to file a UCC-1 was Texas; the state the crop was located.  </w:t>
      </w:r>
      <w:r w:rsidRPr="00235E69">
        <w:rPr>
          <w:rFonts w:cs="Times New Roman"/>
          <w:szCs w:val="24"/>
        </w:rPr>
        <w:t xml:space="preserve">The North Dakota Supreme Court disagreed and held that the SURE funds </w:t>
      </w:r>
      <w:r w:rsidR="009F247D">
        <w:rPr>
          <w:rFonts w:cs="Times New Roman"/>
          <w:szCs w:val="24"/>
        </w:rPr>
        <w:t xml:space="preserve">are similar to federal diversion and deficiency payments which, under the 8th Circuit decision in </w:t>
      </w:r>
      <w:r w:rsidR="009F247D">
        <w:rPr>
          <w:rFonts w:cs="Times New Roman"/>
          <w:i/>
          <w:szCs w:val="24"/>
        </w:rPr>
        <w:t>In re Kingsley</w:t>
      </w:r>
      <w:r w:rsidR="009F247D">
        <w:rPr>
          <w:rFonts w:cs="Times New Roman"/>
          <w:szCs w:val="24"/>
        </w:rPr>
        <w:t xml:space="preserve">, 865 F.2d 975 (8th Cir. 1989) applying North Dakota law, constitute </w:t>
      </w:r>
      <w:r w:rsidR="000A6DD9" w:rsidRPr="000A6DD9">
        <w:rPr>
          <w:rFonts w:cs="Times New Roman"/>
          <w:szCs w:val="24"/>
        </w:rPr>
        <w:t>general intangibles</w:t>
      </w:r>
      <w:r w:rsidRPr="00235E69">
        <w:rPr>
          <w:rFonts w:cs="Times New Roman"/>
          <w:szCs w:val="24"/>
        </w:rPr>
        <w:t xml:space="preserve"> and not crop proceeds.</w:t>
      </w:r>
      <w:r w:rsidR="009F247D">
        <w:rPr>
          <w:rFonts w:cs="Times New Roman"/>
          <w:szCs w:val="24"/>
        </w:rPr>
        <w:t xml:space="preserve">  </w:t>
      </w:r>
      <w:r w:rsidRPr="00235E69">
        <w:rPr>
          <w:rFonts w:cs="Times New Roman"/>
          <w:szCs w:val="24"/>
        </w:rPr>
        <w:t xml:space="preserve"> </w:t>
      </w:r>
      <w:r w:rsidRPr="00235E69">
        <w:rPr>
          <w:rFonts w:eastAsia="Times New Roman" w:cs="Times New Roman"/>
          <w:i/>
          <w:szCs w:val="24"/>
        </w:rPr>
        <w:t>PHI Fin. Services, Inc. v. Johnston Law Office, P.C.</w:t>
      </w:r>
      <w:r w:rsidRPr="00235E69">
        <w:rPr>
          <w:rFonts w:eastAsia="Times New Roman" w:cs="Times New Roman"/>
          <w:szCs w:val="24"/>
        </w:rPr>
        <w:t>, 874 N.W.2d 910 (N.D. 2016).</w:t>
      </w:r>
    </w:p>
    <w:p w:rsidR="00C17E19" w:rsidRDefault="00C17E19" w:rsidP="00ED544E">
      <w:pPr>
        <w:pStyle w:val="ListParagraph"/>
        <w:spacing w:line="240" w:lineRule="auto"/>
        <w:ind w:left="1440"/>
        <w:jc w:val="both"/>
        <w:rPr>
          <w:rFonts w:ascii="Times New Roman" w:hAnsi="Times New Roman" w:cs="Times New Roman"/>
          <w:b/>
          <w:sz w:val="24"/>
          <w:szCs w:val="24"/>
        </w:rPr>
      </w:pPr>
    </w:p>
    <w:p w:rsidR="009F247D" w:rsidRDefault="009F247D" w:rsidP="00ED544E">
      <w:pPr>
        <w:pStyle w:val="ListParagraph"/>
        <w:spacing w:line="240" w:lineRule="auto"/>
        <w:ind w:left="1440"/>
        <w:jc w:val="both"/>
        <w:rPr>
          <w:rFonts w:ascii="Times New Roman" w:hAnsi="Times New Roman" w:cs="Times New Roman"/>
          <w:b/>
          <w:sz w:val="24"/>
          <w:szCs w:val="24"/>
        </w:rPr>
      </w:pPr>
      <w:r w:rsidRPr="000A6DD9">
        <w:rPr>
          <w:rFonts w:ascii="Times New Roman" w:hAnsi="Times New Roman" w:cs="Times New Roman"/>
          <w:i/>
          <w:sz w:val="24"/>
          <w:szCs w:val="24"/>
        </w:rPr>
        <w:t>Comment.</w:t>
      </w:r>
      <w:r w:rsidRPr="000A6DD9">
        <w:rPr>
          <w:rFonts w:ascii="Times New Roman" w:hAnsi="Times New Roman" w:cs="Times New Roman"/>
          <w:sz w:val="24"/>
          <w:szCs w:val="24"/>
        </w:rPr>
        <w:t xml:space="preserve">  The</w:t>
      </w:r>
      <w:r w:rsidR="000A6DD9" w:rsidRPr="000A6DD9">
        <w:rPr>
          <w:rFonts w:ascii="Times New Roman" w:hAnsi="Times New Roman" w:cs="Times New Roman"/>
          <w:sz w:val="24"/>
          <w:szCs w:val="24"/>
        </w:rPr>
        <w:t>re is a long history of cases that have examined the</w:t>
      </w:r>
      <w:r w:rsidRPr="000A6DD9">
        <w:rPr>
          <w:rFonts w:ascii="Times New Roman" w:hAnsi="Times New Roman" w:cs="Times New Roman"/>
          <w:sz w:val="24"/>
          <w:szCs w:val="24"/>
        </w:rPr>
        <w:t xml:space="preserve"> issue of whether </w:t>
      </w:r>
      <w:r w:rsidR="006A445E">
        <w:rPr>
          <w:rFonts w:ascii="Times New Roman" w:hAnsi="Times New Roman" w:cs="Times New Roman"/>
          <w:sz w:val="24"/>
          <w:szCs w:val="24"/>
        </w:rPr>
        <w:t xml:space="preserve">the various </w:t>
      </w:r>
      <w:r w:rsidR="000A6DD9" w:rsidRPr="000A6DD9">
        <w:rPr>
          <w:rFonts w:ascii="Times New Roman" w:hAnsi="Times New Roman" w:cs="Times New Roman"/>
          <w:sz w:val="24"/>
          <w:szCs w:val="24"/>
        </w:rPr>
        <w:t>federal program payments constitute</w:t>
      </w:r>
      <w:r w:rsidR="006A445E">
        <w:rPr>
          <w:rFonts w:ascii="Times New Roman" w:hAnsi="Times New Roman" w:cs="Times New Roman"/>
          <w:sz w:val="24"/>
          <w:szCs w:val="24"/>
        </w:rPr>
        <w:t>d</w:t>
      </w:r>
      <w:r w:rsidR="000A6DD9" w:rsidRPr="000A6DD9">
        <w:rPr>
          <w:rFonts w:ascii="Times New Roman" w:hAnsi="Times New Roman" w:cs="Times New Roman"/>
          <w:sz w:val="24"/>
          <w:szCs w:val="24"/>
        </w:rPr>
        <w:t xml:space="preserve"> crop proceeds, contract rights, accounts or general intangibles</w:t>
      </w:r>
      <w:r w:rsidR="006A445E">
        <w:rPr>
          <w:rFonts w:ascii="Times New Roman" w:hAnsi="Times New Roman" w:cs="Times New Roman"/>
          <w:sz w:val="24"/>
          <w:szCs w:val="24"/>
        </w:rPr>
        <w:t xml:space="preserve"> - </w:t>
      </w:r>
      <w:r w:rsidR="006A445E" w:rsidRPr="006A445E">
        <w:rPr>
          <w:rFonts w:ascii="Times New Roman" w:hAnsi="Times New Roman" w:cs="Times New Roman"/>
          <w:sz w:val="24"/>
          <w:szCs w:val="24"/>
        </w:rPr>
        <w:t xml:space="preserve">of which </w:t>
      </w:r>
      <w:r w:rsidR="006A445E">
        <w:rPr>
          <w:rFonts w:ascii="Times New Roman" w:hAnsi="Times New Roman" w:cs="Times New Roman"/>
          <w:sz w:val="24"/>
          <w:szCs w:val="24"/>
        </w:rPr>
        <w:t xml:space="preserve">many of the federal programs </w:t>
      </w:r>
      <w:r w:rsidR="006A445E" w:rsidRPr="006A445E">
        <w:rPr>
          <w:rFonts w:ascii="Times New Roman" w:hAnsi="Times New Roman" w:cs="Times New Roman"/>
          <w:sz w:val="24"/>
          <w:szCs w:val="24"/>
        </w:rPr>
        <w:t>are now discontinued</w:t>
      </w:r>
      <w:r w:rsidR="000A6DD9" w:rsidRPr="000A6DD9">
        <w:rPr>
          <w:rFonts w:ascii="Times New Roman" w:hAnsi="Times New Roman" w:cs="Times New Roman"/>
          <w:sz w:val="24"/>
          <w:szCs w:val="24"/>
        </w:rPr>
        <w:t xml:space="preserve">. </w:t>
      </w:r>
      <w:r w:rsidR="000A6DD9" w:rsidRPr="000A6DD9">
        <w:rPr>
          <w:rFonts w:ascii="Times New Roman" w:hAnsi="Times New Roman" w:cs="Times New Roman"/>
          <w:i/>
          <w:sz w:val="24"/>
          <w:szCs w:val="24"/>
        </w:rPr>
        <w:t>See generally</w:t>
      </w:r>
      <w:r w:rsidR="000A6DD9" w:rsidRPr="000A6DD9">
        <w:rPr>
          <w:rFonts w:ascii="Times New Roman" w:hAnsi="Times New Roman" w:cs="Times New Roman"/>
          <w:sz w:val="24"/>
          <w:szCs w:val="24"/>
        </w:rPr>
        <w:t xml:space="preserve"> B. Peterson, </w:t>
      </w:r>
      <w:r w:rsidR="000A6DD9" w:rsidRPr="000A6DD9">
        <w:rPr>
          <w:rFonts w:ascii="Times New Roman" w:hAnsi="Times New Roman" w:cs="Times New Roman"/>
          <w:i/>
          <w:sz w:val="24"/>
          <w:szCs w:val="24"/>
        </w:rPr>
        <w:t xml:space="preserve">Secured Transactions: Government agricultural program payments as “proceeds” of agricultural products under UCC </w:t>
      </w:r>
      <w:r w:rsidR="000A6DD9" w:rsidRPr="000A6DD9">
        <w:rPr>
          <w:rFonts w:ascii="Times New Roman" w:hAnsi="Times New Roman" w:cs="Times New Roman"/>
          <w:i/>
          <w:sz w:val="24"/>
          <w:szCs w:val="24"/>
        </w:rPr>
        <w:lastRenderedPageBreak/>
        <w:t>9-306</w:t>
      </w:r>
      <w:r w:rsidR="000A6DD9" w:rsidRPr="000A6DD9">
        <w:rPr>
          <w:rFonts w:ascii="Times New Roman" w:hAnsi="Times New Roman" w:cs="Times New Roman"/>
          <w:sz w:val="24"/>
          <w:szCs w:val="24"/>
        </w:rPr>
        <w:t>, 79 A.L.R.4th 903 (1990).</w:t>
      </w:r>
      <w:r w:rsidR="000A6DD9">
        <w:rPr>
          <w:rFonts w:ascii="Times New Roman" w:hAnsi="Times New Roman" w:cs="Times New Roman"/>
          <w:sz w:val="24"/>
          <w:szCs w:val="24"/>
        </w:rPr>
        <w:t xml:space="preserve">  These cases have </w:t>
      </w:r>
      <w:r w:rsidR="006A445E">
        <w:rPr>
          <w:rFonts w:ascii="Times New Roman" w:hAnsi="Times New Roman" w:cs="Times New Roman"/>
          <w:sz w:val="24"/>
          <w:szCs w:val="24"/>
        </w:rPr>
        <w:t xml:space="preserve">generally </w:t>
      </w:r>
      <w:r w:rsidR="000A6DD9">
        <w:rPr>
          <w:rFonts w:ascii="Times New Roman" w:hAnsi="Times New Roman" w:cs="Times New Roman"/>
          <w:sz w:val="24"/>
          <w:szCs w:val="24"/>
        </w:rPr>
        <w:t xml:space="preserve">examined the structure of the respective federal programs </w:t>
      </w:r>
      <w:r w:rsidR="006A445E">
        <w:rPr>
          <w:rFonts w:ascii="Times New Roman" w:hAnsi="Times New Roman" w:cs="Times New Roman"/>
          <w:sz w:val="24"/>
          <w:szCs w:val="24"/>
        </w:rPr>
        <w:t>in relation to whether the program is designed to supplement revenue based on historical production or based on specific crop loss in</w:t>
      </w:r>
      <w:r w:rsidR="000A6DD9">
        <w:rPr>
          <w:rFonts w:ascii="Times New Roman" w:hAnsi="Times New Roman" w:cs="Times New Roman"/>
          <w:sz w:val="24"/>
          <w:szCs w:val="24"/>
        </w:rPr>
        <w:t xml:space="preserve"> determining the proper collateral description.  Although the </w:t>
      </w:r>
      <w:r w:rsidR="000A6DD9" w:rsidRPr="000A6DD9">
        <w:rPr>
          <w:rFonts w:ascii="Times New Roman" w:hAnsi="Times New Roman" w:cs="Times New Roman"/>
          <w:sz w:val="24"/>
          <w:szCs w:val="24"/>
        </w:rPr>
        <w:t>North Dakota Supreme Court held that the SURE funds are similar to federal di</w:t>
      </w:r>
      <w:r w:rsidR="000A6DD9">
        <w:rPr>
          <w:rFonts w:ascii="Times New Roman" w:hAnsi="Times New Roman" w:cs="Times New Roman"/>
          <w:sz w:val="24"/>
          <w:szCs w:val="24"/>
        </w:rPr>
        <w:t>version and deficiency payments; the court did not analyze the structure of the SURE program in its decision.  SURE provided</w:t>
      </w:r>
      <w:r w:rsidR="000A6DD9" w:rsidRPr="000A6DD9">
        <w:rPr>
          <w:rFonts w:ascii="Times New Roman" w:hAnsi="Times New Roman" w:cs="Times New Roman"/>
          <w:sz w:val="24"/>
          <w:szCs w:val="24"/>
        </w:rPr>
        <w:t xml:space="preserve"> benefits for farm revenue losses due to natural disasters.</w:t>
      </w:r>
      <w:r w:rsidR="006A445E">
        <w:rPr>
          <w:rFonts w:ascii="Times New Roman" w:hAnsi="Times New Roman" w:cs="Times New Roman"/>
          <w:sz w:val="24"/>
          <w:szCs w:val="24"/>
        </w:rPr>
        <w:t xml:space="preserve">  It would appear the court came to the proper decision in holding that the SURE payments do not constitute crop proceeds.</w:t>
      </w:r>
    </w:p>
    <w:p w:rsidR="009F247D" w:rsidRPr="00B85801" w:rsidRDefault="009F247D" w:rsidP="00ED544E">
      <w:pPr>
        <w:pStyle w:val="ListParagraph"/>
        <w:spacing w:line="240" w:lineRule="auto"/>
        <w:ind w:left="1440"/>
        <w:jc w:val="both"/>
        <w:rPr>
          <w:rFonts w:ascii="Times New Roman" w:hAnsi="Times New Roman" w:cs="Times New Roman"/>
          <w:b/>
          <w:sz w:val="24"/>
          <w:szCs w:val="24"/>
        </w:rPr>
      </w:pPr>
    </w:p>
    <w:p w:rsidR="001C25F0" w:rsidRDefault="001C25F0" w:rsidP="00ED544E">
      <w:pPr>
        <w:pStyle w:val="ListParagraph"/>
        <w:numPr>
          <w:ilvl w:val="0"/>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Perfection.</w:t>
      </w:r>
    </w:p>
    <w:p w:rsidR="00C17E19" w:rsidRPr="004B316A" w:rsidRDefault="004B316A" w:rsidP="00ED544E">
      <w:pPr>
        <w:jc w:val="both"/>
        <w:rPr>
          <w:rFonts w:cs="Times New Roman"/>
          <w:szCs w:val="24"/>
        </w:rPr>
      </w:pPr>
      <w:r>
        <w:rPr>
          <w:rFonts w:cs="Times New Roman"/>
          <w:b/>
          <w:szCs w:val="24"/>
        </w:rPr>
        <w:tab/>
      </w:r>
      <w:r w:rsidRPr="004B316A">
        <w:rPr>
          <w:rFonts w:cs="Times New Roman"/>
          <w:szCs w:val="24"/>
        </w:rPr>
        <w:t>No updates.</w:t>
      </w:r>
    </w:p>
    <w:p w:rsidR="004B316A" w:rsidRPr="00B85801" w:rsidRDefault="004B316A" w:rsidP="00ED544E">
      <w:pPr>
        <w:jc w:val="both"/>
        <w:rPr>
          <w:rFonts w:cs="Times New Roman"/>
          <w:b/>
          <w:szCs w:val="24"/>
        </w:rPr>
      </w:pPr>
    </w:p>
    <w:p w:rsidR="001C25F0" w:rsidRDefault="001C25F0" w:rsidP="00ED544E">
      <w:pPr>
        <w:pStyle w:val="ListParagraph"/>
        <w:numPr>
          <w:ilvl w:val="0"/>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Priority.</w:t>
      </w:r>
    </w:p>
    <w:p w:rsidR="00B85801" w:rsidRPr="00017026" w:rsidRDefault="00B85801" w:rsidP="00ED544E">
      <w:pPr>
        <w:pStyle w:val="ListParagraph"/>
        <w:spacing w:line="240" w:lineRule="auto"/>
        <w:jc w:val="both"/>
        <w:rPr>
          <w:rFonts w:ascii="Times New Roman" w:hAnsi="Times New Roman" w:cs="Times New Roman"/>
          <w:b/>
          <w:sz w:val="24"/>
          <w:szCs w:val="24"/>
        </w:rPr>
      </w:pPr>
    </w:p>
    <w:p w:rsidR="000A5F71" w:rsidRPr="0050500D" w:rsidRDefault="001C25F0" w:rsidP="0050500D">
      <w:pPr>
        <w:pStyle w:val="ListParagraph"/>
        <w:numPr>
          <w:ilvl w:val="1"/>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Competing Article 9 secured creditors.</w:t>
      </w:r>
    </w:p>
    <w:p w:rsidR="005B1D97" w:rsidRDefault="004B316A" w:rsidP="005B1D97">
      <w:pPr>
        <w:ind w:left="720"/>
        <w:jc w:val="both"/>
        <w:rPr>
          <w:rFonts w:cs="Times New Roman"/>
          <w:szCs w:val="24"/>
        </w:rPr>
      </w:pPr>
      <w:r>
        <w:rPr>
          <w:rFonts w:cs="Times New Roman"/>
          <w:szCs w:val="24"/>
        </w:rPr>
        <w:tab/>
      </w:r>
      <w:r w:rsidRPr="004B316A">
        <w:rPr>
          <w:rFonts w:cs="Times New Roman"/>
          <w:szCs w:val="24"/>
        </w:rPr>
        <w:t>No updates.</w:t>
      </w:r>
    </w:p>
    <w:p w:rsidR="004B316A" w:rsidRDefault="004B316A" w:rsidP="005B1D97">
      <w:pPr>
        <w:ind w:left="720"/>
        <w:jc w:val="both"/>
        <w:rPr>
          <w:rFonts w:cs="Times New Roman"/>
          <w:b/>
          <w:szCs w:val="24"/>
        </w:rPr>
      </w:pPr>
    </w:p>
    <w:p w:rsidR="001C25F0" w:rsidRDefault="001C25F0" w:rsidP="00ED544E">
      <w:pPr>
        <w:pStyle w:val="ListParagraph"/>
        <w:numPr>
          <w:ilvl w:val="1"/>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Purchase Money Security Interests (PMSI).</w:t>
      </w:r>
    </w:p>
    <w:p w:rsidR="00701F18" w:rsidRPr="0050500D" w:rsidRDefault="0050500D" w:rsidP="009B3BC5">
      <w:pPr>
        <w:tabs>
          <w:tab w:val="left" w:pos="720"/>
          <w:tab w:val="left" w:pos="1440"/>
          <w:tab w:val="left" w:pos="2160"/>
          <w:tab w:val="left" w:pos="2880"/>
          <w:tab w:val="left" w:pos="3600"/>
        </w:tabs>
        <w:ind w:left="720"/>
        <w:jc w:val="both"/>
        <w:rPr>
          <w:rFonts w:cs="Times New Roman"/>
          <w:szCs w:val="24"/>
        </w:rPr>
      </w:pPr>
      <w:r>
        <w:rPr>
          <w:rFonts w:cs="Times New Roman"/>
          <w:szCs w:val="24"/>
        </w:rPr>
        <w:tab/>
      </w:r>
      <w:r w:rsidRPr="0050500D">
        <w:rPr>
          <w:rFonts w:cs="Times New Roman"/>
          <w:szCs w:val="24"/>
        </w:rPr>
        <w:t>No updates.</w:t>
      </w:r>
    </w:p>
    <w:p w:rsidR="00B85801" w:rsidRPr="00017026" w:rsidRDefault="00B85801" w:rsidP="00ED544E">
      <w:pPr>
        <w:pStyle w:val="ListParagraph"/>
        <w:spacing w:line="240" w:lineRule="auto"/>
        <w:ind w:left="1440"/>
        <w:jc w:val="both"/>
        <w:rPr>
          <w:rFonts w:ascii="Times New Roman" w:hAnsi="Times New Roman" w:cs="Times New Roman"/>
          <w:b/>
          <w:sz w:val="24"/>
          <w:szCs w:val="24"/>
        </w:rPr>
      </w:pPr>
    </w:p>
    <w:p w:rsidR="001C25F0" w:rsidRDefault="001C25F0" w:rsidP="00ED544E">
      <w:pPr>
        <w:pStyle w:val="ListParagraph"/>
        <w:numPr>
          <w:ilvl w:val="1"/>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Statutory Liens.</w:t>
      </w:r>
    </w:p>
    <w:p w:rsidR="00B85801" w:rsidRPr="00017026" w:rsidRDefault="00B85801" w:rsidP="00ED544E">
      <w:pPr>
        <w:pStyle w:val="ListParagraph"/>
        <w:spacing w:line="240" w:lineRule="auto"/>
        <w:ind w:left="1440"/>
        <w:jc w:val="both"/>
        <w:rPr>
          <w:rFonts w:ascii="Times New Roman" w:hAnsi="Times New Roman" w:cs="Times New Roman"/>
          <w:b/>
          <w:sz w:val="24"/>
          <w:szCs w:val="24"/>
        </w:rPr>
      </w:pPr>
    </w:p>
    <w:p w:rsidR="00075233" w:rsidRPr="008F6ECD" w:rsidRDefault="00017026" w:rsidP="009B3BC5">
      <w:pPr>
        <w:pStyle w:val="ListParagraph"/>
        <w:numPr>
          <w:ilvl w:val="2"/>
          <w:numId w:val="11"/>
        </w:numPr>
        <w:spacing w:line="240" w:lineRule="auto"/>
        <w:ind w:left="2520" w:hanging="540"/>
        <w:jc w:val="both"/>
        <w:rPr>
          <w:rFonts w:ascii="Times New Roman" w:hAnsi="Times New Roman" w:cs="Times New Roman"/>
          <w:b/>
          <w:sz w:val="24"/>
          <w:szCs w:val="24"/>
        </w:rPr>
      </w:pPr>
      <w:r w:rsidRPr="00017026">
        <w:rPr>
          <w:rFonts w:ascii="Times New Roman" w:hAnsi="Times New Roman" w:cs="Times New Roman"/>
          <w:b/>
          <w:sz w:val="24"/>
          <w:szCs w:val="24"/>
        </w:rPr>
        <w:t>Agricul</w:t>
      </w:r>
      <w:r w:rsidRPr="008F6ECD">
        <w:rPr>
          <w:rFonts w:ascii="Times New Roman" w:hAnsi="Times New Roman" w:cs="Times New Roman"/>
          <w:b/>
          <w:sz w:val="24"/>
          <w:szCs w:val="24"/>
        </w:rPr>
        <w:t>tural Supplier/Service Provider Liens.</w:t>
      </w:r>
    </w:p>
    <w:p w:rsidR="009B3BC5" w:rsidRPr="0050500D" w:rsidRDefault="00BE7809" w:rsidP="007C704F">
      <w:pPr>
        <w:ind w:left="2520"/>
        <w:jc w:val="both"/>
        <w:rPr>
          <w:rFonts w:cs="Times New Roman"/>
          <w:szCs w:val="24"/>
        </w:rPr>
      </w:pPr>
      <w:r w:rsidRPr="008F6ECD">
        <w:rPr>
          <w:rFonts w:eastAsia="Times New Roman" w:cs="Times New Roman"/>
          <w:b/>
          <w:szCs w:val="24"/>
        </w:rPr>
        <w:t xml:space="preserve">Feed supplier </w:t>
      </w:r>
      <w:r w:rsidR="007033E5" w:rsidRPr="008F6ECD">
        <w:rPr>
          <w:rFonts w:eastAsia="Times New Roman" w:cs="Times New Roman"/>
          <w:b/>
          <w:szCs w:val="24"/>
        </w:rPr>
        <w:t xml:space="preserve">is </w:t>
      </w:r>
      <w:r w:rsidRPr="008F6ECD">
        <w:rPr>
          <w:rFonts w:eastAsia="Times New Roman" w:cs="Times New Roman"/>
          <w:b/>
          <w:szCs w:val="24"/>
        </w:rPr>
        <w:t xml:space="preserve">required to file </w:t>
      </w:r>
      <w:r w:rsidR="00A30ABF" w:rsidRPr="008F6ECD">
        <w:rPr>
          <w:rFonts w:eastAsia="Times New Roman" w:cs="Times New Roman"/>
          <w:b/>
          <w:szCs w:val="24"/>
        </w:rPr>
        <w:t xml:space="preserve">a </w:t>
      </w:r>
      <w:r w:rsidRPr="008F6ECD">
        <w:rPr>
          <w:rFonts w:eastAsia="Times New Roman" w:cs="Times New Roman"/>
          <w:b/>
          <w:szCs w:val="24"/>
        </w:rPr>
        <w:t>UCC-1 ever</w:t>
      </w:r>
      <w:r w:rsidR="00A30ABF" w:rsidRPr="008F6ECD">
        <w:rPr>
          <w:rFonts w:eastAsia="Times New Roman" w:cs="Times New Roman"/>
          <w:b/>
          <w:szCs w:val="24"/>
        </w:rPr>
        <w:t>y</w:t>
      </w:r>
      <w:r w:rsidRPr="008F6ECD">
        <w:rPr>
          <w:rFonts w:eastAsia="Times New Roman" w:cs="Times New Roman"/>
          <w:b/>
          <w:szCs w:val="24"/>
        </w:rPr>
        <w:t xml:space="preserve"> 31 days to maintain super-priority </w:t>
      </w:r>
      <w:r w:rsidR="0050500D" w:rsidRPr="008F6ECD">
        <w:rPr>
          <w:rFonts w:eastAsia="Times New Roman" w:cs="Times New Roman"/>
          <w:b/>
          <w:szCs w:val="24"/>
        </w:rPr>
        <w:t xml:space="preserve">Iowa agricultural supply dealer </w:t>
      </w:r>
      <w:r w:rsidRPr="008F6ECD">
        <w:rPr>
          <w:rFonts w:eastAsia="Times New Roman" w:cs="Times New Roman"/>
          <w:b/>
          <w:szCs w:val="24"/>
        </w:rPr>
        <w:t xml:space="preserve">lien; for </w:t>
      </w:r>
      <w:r w:rsidR="00A30ABF" w:rsidRPr="008F6ECD">
        <w:rPr>
          <w:rFonts w:eastAsia="Times New Roman" w:cs="Times New Roman"/>
          <w:b/>
          <w:szCs w:val="24"/>
        </w:rPr>
        <w:t>livestock born at the producer’s facilities, the “acquisition price” for purposes of calculating the lien amount was zero.</w:t>
      </w:r>
      <w:r w:rsidR="0050500D" w:rsidRPr="008F6ECD">
        <w:rPr>
          <w:rFonts w:eastAsia="Times New Roman" w:cs="Times New Roman"/>
          <w:b/>
          <w:szCs w:val="24"/>
        </w:rPr>
        <w:t xml:space="preserve">  </w:t>
      </w:r>
      <w:r w:rsidR="00075233" w:rsidRPr="008F6ECD">
        <w:rPr>
          <w:rFonts w:eastAsia="Times New Roman" w:cs="Times New Roman"/>
          <w:szCs w:val="24"/>
        </w:rPr>
        <w:t xml:space="preserve">Crooked Creek Corporation (the “Debtor”) operated a farrow-to-finish hog farm.  The Debtor was indebted to Primebank (the “Secured Creditor”) and the debt was secured by </w:t>
      </w:r>
      <w:r w:rsidR="0050500D" w:rsidRPr="008F6ECD">
        <w:rPr>
          <w:rFonts w:eastAsia="Times New Roman" w:cs="Times New Roman"/>
          <w:szCs w:val="24"/>
        </w:rPr>
        <w:t xml:space="preserve">a security interest in the </w:t>
      </w:r>
      <w:r w:rsidR="00075233" w:rsidRPr="008F6ECD">
        <w:rPr>
          <w:rFonts w:eastAsia="Times New Roman" w:cs="Times New Roman"/>
          <w:szCs w:val="24"/>
        </w:rPr>
        <w:t xml:space="preserve">hogs of the Debtor.  The Debtor contracted with Oyens Feed Supply, Inc. (the “Feed Supplier”) </w:t>
      </w:r>
      <w:r w:rsidRPr="008F6ECD">
        <w:rPr>
          <w:rFonts w:eastAsia="Times New Roman" w:cs="Times New Roman"/>
          <w:szCs w:val="24"/>
        </w:rPr>
        <w:t xml:space="preserve">to </w:t>
      </w:r>
      <w:r w:rsidR="00E7329A" w:rsidRPr="008F6ECD">
        <w:rPr>
          <w:rFonts w:eastAsia="Times New Roman" w:cs="Times New Roman"/>
          <w:szCs w:val="24"/>
        </w:rPr>
        <w:t>supply</w:t>
      </w:r>
      <w:r w:rsidRPr="008F6ECD">
        <w:rPr>
          <w:rFonts w:eastAsia="Times New Roman" w:cs="Times New Roman"/>
          <w:szCs w:val="24"/>
        </w:rPr>
        <w:t xml:space="preserve"> feed.  The Debtor was indebted to the Feed Supplier and the Feed Supplier filed an agricultural supply dealer lien under Iowa Code 570A.  The Debtor filed a Chapter 12 bankruptcy.  The Secured Creditor and Feed Supplier asserted priority liens in the escrowed proceeds from the sale of the hogs.  In an earlier certified request to the Iowa Supreme Court, the Iowa Supreme Court held that the Feed Supplier was not required to give any notification to the Secured Creditor to have an enforceable super-priority agricultural supply dealer lien under Iowa Code 570A.</w:t>
      </w:r>
      <w:r w:rsidRPr="008F6ECD">
        <w:rPr>
          <w:rFonts w:cs="Times New Roman"/>
          <w:i/>
          <w:iCs/>
          <w:color w:val="000000"/>
        </w:rPr>
        <w:t xml:space="preserve"> Oyens Feed Supply, Inc. v. Primebank</w:t>
      </w:r>
      <w:r w:rsidRPr="008F6ECD">
        <w:rPr>
          <w:rFonts w:cs="Times New Roman"/>
          <w:color w:val="000000"/>
        </w:rPr>
        <w:t xml:space="preserve">, 808 N.W.2d 186 (Iowa 2011).  There remained unresolved legal issues as to whether: (a) </w:t>
      </w:r>
      <w:r w:rsidRPr="008F6ECD">
        <w:rPr>
          <w:rFonts w:cs="Times New Roman"/>
          <w:color w:val="000000"/>
        </w:rPr>
        <w:lastRenderedPageBreak/>
        <w:t xml:space="preserve">the </w:t>
      </w:r>
      <w:r w:rsidRPr="008F6ECD">
        <w:rPr>
          <w:rFonts w:eastAsia="Times New Roman" w:cs="Times New Roman"/>
          <w:szCs w:val="24"/>
        </w:rPr>
        <w:t xml:space="preserve">agricultural supply dealer was required to file a new UCC-1 financing statement every thirty-one (31) days in order to maintain perfection of its agricultural supply dealer's lien as to feed supplied within the preceding thirty-one (31) day period; and (b) the “acquisition price” for purposes of calculating the lien amount was zero </w:t>
      </w:r>
      <w:r w:rsidR="00E7329A" w:rsidRPr="008F6ECD">
        <w:rPr>
          <w:rFonts w:eastAsia="Times New Roman" w:cs="Times New Roman"/>
          <w:szCs w:val="24"/>
        </w:rPr>
        <w:t xml:space="preserve">for </w:t>
      </w:r>
      <w:r w:rsidRPr="008F6ECD">
        <w:rPr>
          <w:rFonts w:eastAsia="Times New Roman" w:cs="Times New Roman"/>
          <w:szCs w:val="24"/>
        </w:rPr>
        <w:t xml:space="preserve">livestock born in the producer's facility.  Another certified request was made to the Iowa Supreme Court and the Iowa Supreme Court held that: (a) </w:t>
      </w:r>
      <w:r w:rsidR="009B3BC5" w:rsidRPr="008F6ECD">
        <w:rPr>
          <w:rFonts w:eastAsia="Times New Roman" w:cs="Times New Roman"/>
          <w:szCs w:val="24"/>
        </w:rPr>
        <w:t>an agricultural supply dealer is required to file a new financing statement every 31 days in order to maintain perfection of its lien, and (</w:t>
      </w:r>
      <w:r w:rsidRPr="008F6ECD">
        <w:rPr>
          <w:rFonts w:eastAsia="Times New Roman" w:cs="Times New Roman"/>
          <w:szCs w:val="24"/>
        </w:rPr>
        <w:t>b</w:t>
      </w:r>
      <w:r w:rsidR="009B3BC5" w:rsidRPr="008F6ECD">
        <w:rPr>
          <w:rFonts w:eastAsia="Times New Roman" w:cs="Times New Roman"/>
          <w:szCs w:val="24"/>
        </w:rPr>
        <w:t xml:space="preserve">) </w:t>
      </w:r>
      <w:r w:rsidRPr="008F6ECD">
        <w:rPr>
          <w:rFonts w:eastAsia="Times New Roman" w:cs="Times New Roman"/>
          <w:szCs w:val="24"/>
        </w:rPr>
        <w:t xml:space="preserve">the “acquisition price” for purposes of calculating the lien amount was zero </w:t>
      </w:r>
      <w:r w:rsidR="00E7329A" w:rsidRPr="008F6ECD">
        <w:rPr>
          <w:rFonts w:eastAsia="Times New Roman" w:cs="Times New Roman"/>
          <w:szCs w:val="24"/>
        </w:rPr>
        <w:t xml:space="preserve">for </w:t>
      </w:r>
      <w:r w:rsidRPr="008F6ECD">
        <w:rPr>
          <w:rFonts w:eastAsia="Times New Roman" w:cs="Times New Roman"/>
          <w:szCs w:val="24"/>
        </w:rPr>
        <w:t>livestock was born in the producer's facility</w:t>
      </w:r>
      <w:r w:rsidR="00E7329A" w:rsidRPr="008F6ECD">
        <w:rPr>
          <w:rFonts w:eastAsia="Times New Roman" w:cs="Times New Roman"/>
          <w:szCs w:val="24"/>
        </w:rPr>
        <w:t>.  The producer’s overhead costs and costs of production should not be considered because the status provides for “acquisition price” not “acquisition costs”.  Th</w:t>
      </w:r>
      <w:r w:rsidRPr="008F6ECD">
        <w:rPr>
          <w:rFonts w:eastAsia="Times New Roman" w:cs="Times New Roman"/>
          <w:szCs w:val="24"/>
        </w:rPr>
        <w:t xml:space="preserve">e Feed Supplier </w:t>
      </w:r>
      <w:r w:rsidRPr="0050500D">
        <w:rPr>
          <w:rFonts w:eastAsia="Times New Roman" w:cs="Times New Roman"/>
          <w:szCs w:val="24"/>
        </w:rPr>
        <w:t xml:space="preserve">is entitled to a </w:t>
      </w:r>
      <w:r w:rsidR="009B3BC5" w:rsidRPr="0050500D">
        <w:rPr>
          <w:rFonts w:eastAsia="Times New Roman" w:cs="Times New Roman"/>
          <w:szCs w:val="24"/>
        </w:rPr>
        <w:t xml:space="preserve">super-priority </w:t>
      </w:r>
      <w:r w:rsidRPr="0050500D">
        <w:rPr>
          <w:rFonts w:eastAsia="Times New Roman" w:cs="Times New Roman"/>
          <w:szCs w:val="24"/>
        </w:rPr>
        <w:t xml:space="preserve">lien for the </w:t>
      </w:r>
      <w:r w:rsidR="009B3BC5" w:rsidRPr="0050500D">
        <w:rPr>
          <w:rFonts w:eastAsia="Times New Roman" w:cs="Times New Roman"/>
          <w:szCs w:val="24"/>
        </w:rPr>
        <w:t xml:space="preserve">full extent of the value of feed </w:t>
      </w:r>
      <w:r w:rsidRPr="0050500D">
        <w:rPr>
          <w:rFonts w:eastAsia="Times New Roman" w:cs="Times New Roman"/>
          <w:szCs w:val="24"/>
        </w:rPr>
        <w:t>consumed by the hogs</w:t>
      </w:r>
      <w:r w:rsidR="00E7329A">
        <w:rPr>
          <w:rFonts w:eastAsia="Times New Roman" w:cs="Times New Roman"/>
          <w:szCs w:val="24"/>
        </w:rPr>
        <w:t xml:space="preserve"> without any reduction for any “acquisition price” of the producer</w:t>
      </w:r>
      <w:r w:rsidR="009B3BC5" w:rsidRPr="0050500D">
        <w:rPr>
          <w:rFonts w:eastAsia="Times New Roman" w:cs="Times New Roman"/>
          <w:szCs w:val="24"/>
        </w:rPr>
        <w:t xml:space="preserve">.  </w:t>
      </w:r>
      <w:r w:rsidR="009B3BC5" w:rsidRPr="0050500D">
        <w:rPr>
          <w:rFonts w:cs="Times New Roman"/>
          <w:i/>
          <w:szCs w:val="24"/>
        </w:rPr>
        <w:t>Oyens Feed &amp; Supply, Inc. v. Primebank</w:t>
      </w:r>
      <w:r w:rsidR="009B3BC5" w:rsidRPr="0050500D">
        <w:rPr>
          <w:rFonts w:cs="Times New Roman"/>
          <w:szCs w:val="24"/>
        </w:rPr>
        <w:t>, 879 N.W.2d 853 (Iowa 2016)</w:t>
      </w:r>
      <w:r w:rsidRPr="0050500D">
        <w:rPr>
          <w:rFonts w:cs="Times New Roman"/>
          <w:szCs w:val="24"/>
        </w:rPr>
        <w:t>.</w:t>
      </w:r>
    </w:p>
    <w:p w:rsidR="009B3BC5" w:rsidRPr="0050500D" w:rsidRDefault="009B3BC5" w:rsidP="007C704F">
      <w:pPr>
        <w:ind w:left="5040"/>
        <w:jc w:val="both"/>
        <w:rPr>
          <w:rFonts w:cs="Times New Roman"/>
          <w:szCs w:val="24"/>
        </w:rPr>
      </w:pPr>
    </w:p>
    <w:p w:rsidR="009B3BC5" w:rsidRPr="0050500D" w:rsidRDefault="00BE7809" w:rsidP="007C704F">
      <w:pPr>
        <w:ind w:left="2520"/>
        <w:jc w:val="both"/>
        <w:rPr>
          <w:rFonts w:cs="Times New Roman"/>
          <w:szCs w:val="24"/>
        </w:rPr>
      </w:pPr>
      <w:r w:rsidRPr="0050500D">
        <w:rPr>
          <w:rFonts w:cs="Times New Roman"/>
          <w:i/>
          <w:szCs w:val="24"/>
        </w:rPr>
        <w:t xml:space="preserve">Comment.  </w:t>
      </w:r>
      <w:r w:rsidRPr="0050500D">
        <w:rPr>
          <w:rFonts w:cs="Times New Roman"/>
          <w:szCs w:val="24"/>
        </w:rPr>
        <w:t xml:space="preserve">This case should be read in conjunction with </w:t>
      </w:r>
      <w:r w:rsidRPr="0050500D">
        <w:rPr>
          <w:rFonts w:cs="Times New Roman"/>
          <w:i/>
          <w:szCs w:val="24"/>
        </w:rPr>
        <w:t>Farmers Coop. Co. v. Ernst &amp; Young Inc. (In re Big Sky Farms Inc.)</w:t>
      </w:r>
      <w:r w:rsidRPr="0050500D">
        <w:rPr>
          <w:rFonts w:cs="Times New Roman"/>
          <w:szCs w:val="24"/>
        </w:rPr>
        <w:t xml:space="preserve">, 512 B.R. 212 (Bankr. N.D. Iowa 2014) and </w:t>
      </w:r>
      <w:r w:rsidRPr="0050500D">
        <w:rPr>
          <w:rFonts w:cs="Times New Roman"/>
          <w:i/>
          <w:szCs w:val="24"/>
        </w:rPr>
        <w:t>In re Shulista</w:t>
      </w:r>
      <w:r w:rsidRPr="0050500D">
        <w:rPr>
          <w:rFonts w:cs="Times New Roman"/>
          <w:szCs w:val="24"/>
        </w:rPr>
        <w:t>, 808 N.W.2d 186 (Iowa 2011) and 451 B.R. 867 (Bankr. N.D. Iowa 2011).</w:t>
      </w:r>
    </w:p>
    <w:p w:rsidR="009B3BC5" w:rsidRDefault="009B3BC5" w:rsidP="00ED544E">
      <w:pPr>
        <w:ind w:left="2520"/>
        <w:jc w:val="both"/>
        <w:rPr>
          <w:rFonts w:cs="Times New Roman"/>
          <w:szCs w:val="24"/>
        </w:rPr>
      </w:pPr>
    </w:p>
    <w:p w:rsidR="00CF6EF8" w:rsidRDefault="00CF6EF8" w:rsidP="00CF6EF8">
      <w:pPr>
        <w:pStyle w:val="ListParagraph"/>
        <w:numPr>
          <w:ilvl w:val="2"/>
          <w:numId w:val="11"/>
        </w:numPr>
        <w:spacing w:line="240" w:lineRule="auto"/>
        <w:ind w:left="2520" w:hanging="540"/>
        <w:jc w:val="both"/>
        <w:rPr>
          <w:rFonts w:ascii="Times New Roman" w:hAnsi="Times New Roman" w:cs="Times New Roman"/>
          <w:b/>
          <w:sz w:val="24"/>
          <w:szCs w:val="24"/>
        </w:rPr>
      </w:pPr>
      <w:r>
        <w:rPr>
          <w:rFonts w:ascii="Times New Roman" w:hAnsi="Times New Roman" w:cs="Times New Roman"/>
          <w:b/>
          <w:sz w:val="24"/>
          <w:szCs w:val="24"/>
        </w:rPr>
        <w:t>Producer Liens.</w:t>
      </w:r>
    </w:p>
    <w:p w:rsidR="00CF6EF8" w:rsidRDefault="00CF6EF8" w:rsidP="00CF6EF8">
      <w:pPr>
        <w:pStyle w:val="ListParagraph"/>
        <w:spacing w:line="240" w:lineRule="auto"/>
        <w:ind w:left="2520"/>
        <w:jc w:val="both"/>
        <w:rPr>
          <w:rFonts w:ascii="Times New Roman" w:hAnsi="Times New Roman" w:cs="Times New Roman"/>
          <w:b/>
          <w:sz w:val="24"/>
          <w:szCs w:val="24"/>
        </w:rPr>
      </w:pPr>
    </w:p>
    <w:p w:rsidR="00CF6EF8" w:rsidRPr="002869F2" w:rsidRDefault="00CF6EF8" w:rsidP="00CF6EF8">
      <w:pPr>
        <w:pStyle w:val="ListParagraph"/>
        <w:spacing w:line="240" w:lineRule="auto"/>
        <w:ind w:left="2520"/>
        <w:jc w:val="both"/>
        <w:rPr>
          <w:rFonts w:ascii="Times New Roman" w:eastAsia="Times New Roman" w:hAnsi="Times New Roman" w:cs="Times New Roman"/>
          <w:sz w:val="24"/>
          <w:szCs w:val="24"/>
        </w:rPr>
      </w:pPr>
      <w:r w:rsidRPr="00701F18">
        <w:rPr>
          <w:rFonts w:ascii="Times New Roman" w:eastAsia="Times New Roman" w:hAnsi="Times New Roman" w:cs="Times New Roman"/>
          <w:b/>
          <w:sz w:val="24"/>
          <w:szCs w:val="24"/>
        </w:rPr>
        <w:t xml:space="preserve">Oregon producer lien does not require notice to creditors that properly filed a UCC-1 outside of Oregon. </w:t>
      </w:r>
      <w:r>
        <w:rPr>
          <w:rFonts w:ascii="Times New Roman" w:eastAsia="Times New Roman" w:hAnsi="Times New Roman" w:cs="Times New Roman"/>
          <w:b/>
          <w:sz w:val="24"/>
          <w:szCs w:val="24"/>
        </w:rPr>
        <w:t xml:space="preserve"> </w:t>
      </w:r>
      <w:r w:rsidRPr="002869F2">
        <w:rPr>
          <w:rFonts w:ascii="Times New Roman" w:eastAsia="Times New Roman" w:hAnsi="Times New Roman" w:cs="Times New Roman"/>
          <w:sz w:val="24"/>
          <w:szCs w:val="24"/>
        </w:rPr>
        <w:t>McKee Family Farms, Inc. (“Producer”) raised crops in Oregon and sold grain to a third party buyer (the “Buyer”).  It appears the Buyer was a Pennsylvania corporation.</w:t>
      </w:r>
      <w:r w:rsidRPr="002869F2">
        <w:rPr>
          <w:rStyle w:val="FootnoteReference"/>
          <w:rFonts w:ascii="Times New Roman" w:eastAsia="Times New Roman" w:hAnsi="Times New Roman" w:cs="Times New Roman"/>
          <w:sz w:val="24"/>
          <w:szCs w:val="24"/>
          <w:vertAlign w:val="superscript"/>
        </w:rPr>
        <w:footnoteReference w:id="1"/>
      </w:r>
      <w:r w:rsidRPr="002869F2">
        <w:rPr>
          <w:rFonts w:ascii="Times New Roman" w:eastAsia="Times New Roman" w:hAnsi="Times New Roman" w:cs="Times New Roman"/>
          <w:sz w:val="24"/>
          <w:szCs w:val="24"/>
        </w:rPr>
        <w:t xml:space="preserve">  The Buyer was indebted to Northwest Bank (the “Secured Creditor”) and the debt was secured by the personal property of the Buyer.  The Secured Creditor properly filed a UCC-1 in Pennsylvania; the state of incorporation of the Buyer.  The Buyer did not pay the Producer and the Producer filed an Oregon producer’s lien.  To perfect the super-priority producer lien Or. Rev. Stat. Ann. </w:t>
      </w:r>
      <w:r w:rsidR="00E7329A" w:rsidRPr="00E7329A">
        <w:rPr>
          <w:rFonts w:ascii="Times New Roman" w:eastAsia="Times New Roman" w:hAnsi="Times New Roman" w:cs="Times New Roman"/>
          <w:sz w:val="24"/>
          <w:szCs w:val="24"/>
        </w:rPr>
        <w:t>§</w:t>
      </w:r>
      <w:r w:rsidRPr="002869F2">
        <w:rPr>
          <w:rFonts w:ascii="Times New Roman" w:eastAsia="Times New Roman" w:hAnsi="Times New Roman" w:cs="Times New Roman"/>
          <w:sz w:val="24"/>
          <w:szCs w:val="24"/>
        </w:rPr>
        <w:t xml:space="preserve"> 87.252 and 87.762(3) requires the producer to give notice to either: (a) any creditors registered with the State of Oregon or (b) any creditors who have filed UCC-1s with the Oregon</w:t>
      </w:r>
      <w:r w:rsidR="00E7329A">
        <w:rPr>
          <w:rFonts w:ascii="Times New Roman" w:eastAsia="Times New Roman" w:hAnsi="Times New Roman" w:cs="Times New Roman"/>
          <w:sz w:val="24"/>
          <w:szCs w:val="24"/>
        </w:rPr>
        <w:t xml:space="preserve"> Secretary of State</w:t>
      </w:r>
      <w:r w:rsidRPr="002869F2">
        <w:rPr>
          <w:rFonts w:ascii="Times New Roman" w:eastAsia="Times New Roman" w:hAnsi="Times New Roman" w:cs="Times New Roman"/>
          <w:sz w:val="24"/>
          <w:szCs w:val="24"/>
        </w:rPr>
        <w:t>.  The Secured Creditor argued that it properly perfected its lien and for the producer to be entitled to the super-priority lien the court should require notice to given to properly perfected creditors.  The Court disagreed and strictly construed the statute t</w:t>
      </w:r>
      <w:r w:rsidR="00D64E56">
        <w:rPr>
          <w:rFonts w:ascii="Times New Roman" w:eastAsia="Times New Roman" w:hAnsi="Times New Roman" w:cs="Times New Roman"/>
          <w:sz w:val="24"/>
          <w:szCs w:val="24"/>
        </w:rPr>
        <w:t xml:space="preserve">o only require notice to </w:t>
      </w:r>
      <w:r w:rsidRPr="002869F2">
        <w:rPr>
          <w:rFonts w:ascii="Times New Roman" w:eastAsia="Times New Roman" w:hAnsi="Times New Roman" w:cs="Times New Roman"/>
          <w:sz w:val="24"/>
          <w:szCs w:val="24"/>
        </w:rPr>
        <w:t xml:space="preserve">creditors </w:t>
      </w:r>
      <w:r w:rsidR="00D64E56">
        <w:rPr>
          <w:rFonts w:ascii="Times New Roman" w:eastAsia="Times New Roman" w:hAnsi="Times New Roman" w:cs="Times New Roman"/>
          <w:sz w:val="24"/>
          <w:szCs w:val="24"/>
        </w:rPr>
        <w:t xml:space="preserve">for which filed </w:t>
      </w:r>
      <w:r w:rsidR="00D64E56">
        <w:rPr>
          <w:rFonts w:ascii="Times New Roman" w:eastAsia="Times New Roman" w:hAnsi="Times New Roman" w:cs="Times New Roman"/>
          <w:sz w:val="24"/>
          <w:szCs w:val="24"/>
        </w:rPr>
        <w:lastRenderedPageBreak/>
        <w:t xml:space="preserve">the requisite notice in the State of Oregon </w:t>
      </w:r>
      <w:r w:rsidRPr="002869F2">
        <w:rPr>
          <w:rFonts w:ascii="Times New Roman" w:eastAsia="Times New Roman" w:hAnsi="Times New Roman" w:cs="Times New Roman"/>
          <w:sz w:val="24"/>
          <w:szCs w:val="24"/>
        </w:rPr>
        <w:t xml:space="preserve">for the producer to be entitled to a super-priority lien.  </w:t>
      </w:r>
      <w:r w:rsidRPr="002869F2">
        <w:rPr>
          <w:rFonts w:ascii="Times New Roman" w:eastAsia="Times New Roman" w:hAnsi="Times New Roman" w:cs="Times New Roman"/>
          <w:i/>
          <w:sz w:val="24"/>
          <w:szCs w:val="24"/>
        </w:rPr>
        <w:t>Nw. Bank v. McKee Family Farms, Inc.</w:t>
      </w:r>
      <w:r w:rsidRPr="002869F2">
        <w:rPr>
          <w:rFonts w:ascii="Times New Roman" w:eastAsia="Times New Roman" w:hAnsi="Times New Roman" w:cs="Times New Roman"/>
          <w:sz w:val="24"/>
          <w:szCs w:val="24"/>
        </w:rPr>
        <w:t>, 2016 WL 2841205 (D. Or. May 12, 2016).</w:t>
      </w:r>
    </w:p>
    <w:p w:rsidR="00CF6EF8" w:rsidRDefault="00CF6EF8" w:rsidP="00CF6EF8">
      <w:pPr>
        <w:pStyle w:val="ListParagraph"/>
        <w:spacing w:line="240" w:lineRule="auto"/>
        <w:ind w:left="2520"/>
        <w:jc w:val="both"/>
        <w:rPr>
          <w:rFonts w:ascii="Times New Roman" w:hAnsi="Times New Roman" w:cs="Times New Roman"/>
          <w:b/>
          <w:sz w:val="24"/>
          <w:szCs w:val="24"/>
        </w:rPr>
      </w:pPr>
    </w:p>
    <w:p w:rsidR="00CF6EF8" w:rsidRPr="00CF6EF8" w:rsidRDefault="00017026" w:rsidP="00CF6EF8">
      <w:pPr>
        <w:pStyle w:val="ListParagraph"/>
        <w:numPr>
          <w:ilvl w:val="2"/>
          <w:numId w:val="11"/>
        </w:numPr>
        <w:spacing w:line="240" w:lineRule="auto"/>
        <w:ind w:left="2520" w:hanging="540"/>
        <w:jc w:val="both"/>
        <w:rPr>
          <w:rFonts w:ascii="Times New Roman" w:hAnsi="Times New Roman" w:cs="Times New Roman"/>
          <w:b/>
          <w:sz w:val="24"/>
          <w:szCs w:val="24"/>
        </w:rPr>
      </w:pPr>
      <w:r w:rsidRPr="00017026">
        <w:rPr>
          <w:rFonts w:ascii="Times New Roman" w:hAnsi="Times New Roman" w:cs="Times New Roman"/>
          <w:b/>
          <w:sz w:val="24"/>
          <w:szCs w:val="24"/>
        </w:rPr>
        <w:t>Grain Handler/Storage Liens.</w:t>
      </w:r>
      <w:r w:rsidR="005B1D97" w:rsidRPr="005B1D97">
        <w:rPr>
          <w:rFonts w:ascii="Times New Roman" w:hAnsi="Times New Roman" w:cs="Times New Roman"/>
          <w:sz w:val="24"/>
          <w:szCs w:val="24"/>
        </w:rPr>
        <w:t xml:space="preserve"> </w:t>
      </w:r>
    </w:p>
    <w:p w:rsidR="005B1D97" w:rsidRPr="005B1D97" w:rsidRDefault="005B1D97" w:rsidP="005B1D97">
      <w:pPr>
        <w:pStyle w:val="ListParagraph"/>
        <w:spacing w:line="240" w:lineRule="auto"/>
        <w:ind w:left="2520"/>
        <w:jc w:val="both"/>
        <w:rPr>
          <w:rFonts w:ascii="Times New Roman" w:hAnsi="Times New Roman" w:cs="Times New Roman"/>
          <w:b/>
          <w:sz w:val="24"/>
          <w:szCs w:val="24"/>
        </w:rPr>
      </w:pPr>
    </w:p>
    <w:p w:rsidR="00CF6EF8" w:rsidRPr="005B1D97" w:rsidRDefault="005B1D97" w:rsidP="005B1D97">
      <w:pPr>
        <w:pStyle w:val="ListParagraph"/>
        <w:spacing w:line="240" w:lineRule="auto"/>
        <w:ind w:left="2520"/>
        <w:jc w:val="both"/>
        <w:rPr>
          <w:rFonts w:ascii="Times New Roman" w:hAnsi="Times New Roman" w:cs="Times New Roman"/>
          <w:sz w:val="24"/>
          <w:szCs w:val="24"/>
        </w:rPr>
      </w:pPr>
      <w:r w:rsidRPr="005B1D97">
        <w:rPr>
          <w:rFonts w:ascii="Times New Roman" w:hAnsi="Times New Roman" w:cs="Times New Roman"/>
          <w:sz w:val="24"/>
          <w:szCs w:val="24"/>
        </w:rPr>
        <w:t xml:space="preserve">No </w:t>
      </w:r>
      <w:r w:rsidR="0050500D">
        <w:rPr>
          <w:rFonts w:ascii="Times New Roman" w:hAnsi="Times New Roman" w:cs="Times New Roman"/>
          <w:sz w:val="24"/>
          <w:szCs w:val="24"/>
        </w:rPr>
        <w:t>updates</w:t>
      </w:r>
      <w:r w:rsidRPr="005B1D97">
        <w:rPr>
          <w:rFonts w:ascii="Times New Roman" w:hAnsi="Times New Roman" w:cs="Times New Roman"/>
          <w:sz w:val="24"/>
          <w:szCs w:val="24"/>
        </w:rPr>
        <w:t>.</w:t>
      </w:r>
    </w:p>
    <w:p w:rsidR="00B85801" w:rsidRPr="00017026" w:rsidRDefault="00B85801" w:rsidP="00ED544E">
      <w:pPr>
        <w:pStyle w:val="ListParagraph"/>
        <w:spacing w:line="240" w:lineRule="auto"/>
        <w:ind w:left="2520"/>
        <w:jc w:val="both"/>
        <w:rPr>
          <w:rFonts w:ascii="Times New Roman" w:hAnsi="Times New Roman" w:cs="Times New Roman"/>
          <w:b/>
          <w:sz w:val="24"/>
          <w:szCs w:val="24"/>
        </w:rPr>
      </w:pPr>
    </w:p>
    <w:p w:rsidR="005B1D97" w:rsidRPr="0050500D" w:rsidRDefault="00017026" w:rsidP="00AE3947">
      <w:pPr>
        <w:pStyle w:val="ListParagraph"/>
        <w:numPr>
          <w:ilvl w:val="1"/>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Buyer of Farm Products (Federal Food Security Act).</w:t>
      </w:r>
    </w:p>
    <w:p w:rsidR="00B85801" w:rsidRPr="00017026" w:rsidRDefault="00CF6EF8" w:rsidP="00CF6EF8">
      <w:pPr>
        <w:spacing w:after="200"/>
        <w:ind w:left="1440"/>
        <w:contextualSpacing/>
        <w:jc w:val="both"/>
        <w:rPr>
          <w:rFonts w:cs="Times New Roman"/>
          <w:b/>
          <w:szCs w:val="24"/>
        </w:rPr>
      </w:pPr>
      <w:r>
        <w:rPr>
          <w:rFonts w:cs="Times New Roman"/>
          <w:b/>
          <w:szCs w:val="24"/>
        </w:rPr>
        <w:t>Secured creditor not limited by a grain buyer’s contractual right of setoff.</w:t>
      </w:r>
      <w:r w:rsidR="0050500D">
        <w:rPr>
          <w:rFonts w:cs="Times New Roman"/>
          <w:b/>
          <w:szCs w:val="24"/>
        </w:rPr>
        <w:t xml:space="preserve">  </w:t>
      </w:r>
      <w:r w:rsidR="000B7F8A" w:rsidRPr="0050500D">
        <w:rPr>
          <w:rFonts w:cs="Times New Roman"/>
          <w:szCs w:val="24"/>
        </w:rPr>
        <w:t xml:space="preserve">David Walker (the “Debtor”) was a grain farmer and was indebted to Guaranty Bank &amp; Trust Co. (the “Secured Creditor”).  The debt was secured by a security interest in the </w:t>
      </w:r>
      <w:r w:rsidR="002F6986">
        <w:rPr>
          <w:rFonts w:cs="Times New Roman"/>
          <w:szCs w:val="24"/>
        </w:rPr>
        <w:t xml:space="preserve">crops and </w:t>
      </w:r>
      <w:r w:rsidR="00EA4407">
        <w:rPr>
          <w:rFonts w:cs="Times New Roman"/>
          <w:szCs w:val="24"/>
        </w:rPr>
        <w:t xml:space="preserve">contract rights </w:t>
      </w:r>
      <w:r w:rsidR="000B7F8A" w:rsidRPr="0050500D">
        <w:rPr>
          <w:rFonts w:cs="Times New Roman"/>
          <w:szCs w:val="24"/>
        </w:rPr>
        <w:t>of the Debtor.  The Secured Creditor filed a UCC-1 finance statement</w:t>
      </w:r>
      <w:r w:rsidR="002F6986" w:rsidRPr="002F6986">
        <w:t xml:space="preserve"> </w:t>
      </w:r>
      <w:r w:rsidR="002F6986" w:rsidRPr="002F6986">
        <w:rPr>
          <w:rFonts w:cs="Times New Roman"/>
          <w:szCs w:val="24"/>
        </w:rPr>
        <w:t xml:space="preserve">with the State of Mississippi.  </w:t>
      </w:r>
      <w:r w:rsidR="00F2180D" w:rsidRPr="00F2180D">
        <w:rPr>
          <w:rFonts w:cs="Times New Roman"/>
          <w:szCs w:val="24"/>
        </w:rPr>
        <w:t xml:space="preserve">The Debtor </w:t>
      </w:r>
      <w:r w:rsidR="006E1FB0">
        <w:rPr>
          <w:rFonts w:cs="Times New Roman"/>
          <w:szCs w:val="24"/>
        </w:rPr>
        <w:t xml:space="preserve">had assumed several contracts to deliver grain to </w:t>
      </w:r>
      <w:r w:rsidR="00F2180D" w:rsidRPr="00F2180D">
        <w:rPr>
          <w:rFonts w:cs="Times New Roman"/>
          <w:szCs w:val="24"/>
        </w:rPr>
        <w:t>Agrex, Inc. (the “Buyer”)</w:t>
      </w:r>
      <w:r w:rsidR="00EA4407">
        <w:rPr>
          <w:rFonts w:cs="Times New Roman"/>
          <w:szCs w:val="24"/>
        </w:rPr>
        <w:t xml:space="preserve"> which contained the contractual right of the Buyer to offset </w:t>
      </w:r>
      <w:r w:rsidR="00D64E56">
        <w:rPr>
          <w:rFonts w:cs="Times New Roman"/>
          <w:szCs w:val="24"/>
        </w:rPr>
        <w:t xml:space="preserve">future deliveries </w:t>
      </w:r>
      <w:r w:rsidR="00EA4407">
        <w:rPr>
          <w:rFonts w:cs="Times New Roman"/>
          <w:szCs w:val="24"/>
        </w:rPr>
        <w:t xml:space="preserve">against </w:t>
      </w:r>
      <w:r w:rsidR="00D64E56">
        <w:rPr>
          <w:rFonts w:cs="Times New Roman"/>
          <w:szCs w:val="24"/>
        </w:rPr>
        <w:t xml:space="preserve">any </w:t>
      </w:r>
      <w:r w:rsidR="00EA4407">
        <w:rPr>
          <w:rFonts w:cs="Times New Roman"/>
          <w:szCs w:val="24"/>
        </w:rPr>
        <w:t>unpaid debts</w:t>
      </w:r>
      <w:r w:rsidR="00F2180D" w:rsidRPr="00F2180D">
        <w:rPr>
          <w:rFonts w:cs="Times New Roman"/>
          <w:szCs w:val="24"/>
        </w:rPr>
        <w:t>.</w:t>
      </w:r>
      <w:r w:rsidR="00F2180D">
        <w:rPr>
          <w:rFonts w:cs="Times New Roman"/>
          <w:szCs w:val="24"/>
        </w:rPr>
        <w:t xml:space="preserve">  The Debtor </w:t>
      </w:r>
      <w:r w:rsidR="006E1FB0">
        <w:rPr>
          <w:rFonts w:cs="Times New Roman"/>
          <w:szCs w:val="24"/>
        </w:rPr>
        <w:t xml:space="preserve">failed to deliver on a few contracts and </w:t>
      </w:r>
      <w:r w:rsidR="00F2180D">
        <w:rPr>
          <w:rFonts w:cs="Times New Roman"/>
          <w:szCs w:val="24"/>
        </w:rPr>
        <w:t>w</w:t>
      </w:r>
      <w:r w:rsidR="00F2180D" w:rsidRPr="00F2180D">
        <w:rPr>
          <w:rFonts w:cs="Times New Roman"/>
          <w:szCs w:val="24"/>
        </w:rPr>
        <w:t>as indebted to the Buyer.</w:t>
      </w:r>
      <w:r w:rsidR="00F2180D">
        <w:rPr>
          <w:rFonts w:cs="Times New Roman"/>
          <w:szCs w:val="24"/>
        </w:rPr>
        <w:t xml:space="preserve">  T</w:t>
      </w:r>
      <w:r w:rsidR="000B7F8A" w:rsidRPr="0050500D">
        <w:rPr>
          <w:rFonts w:cs="Times New Roman"/>
          <w:szCs w:val="24"/>
        </w:rPr>
        <w:t xml:space="preserve">he Debtor </w:t>
      </w:r>
      <w:r w:rsidR="006E1FB0">
        <w:rPr>
          <w:rFonts w:cs="Times New Roman"/>
          <w:szCs w:val="24"/>
        </w:rPr>
        <w:t xml:space="preserve">subsequently </w:t>
      </w:r>
      <w:r w:rsidR="000B7F8A" w:rsidRPr="0050500D">
        <w:rPr>
          <w:rFonts w:cs="Times New Roman"/>
          <w:szCs w:val="24"/>
        </w:rPr>
        <w:t xml:space="preserve">sold </w:t>
      </w:r>
      <w:r w:rsidR="00D64E56" w:rsidRPr="00D64E56">
        <w:rPr>
          <w:rFonts w:cs="Times New Roman"/>
          <w:szCs w:val="24"/>
        </w:rPr>
        <w:t>$417,033</w:t>
      </w:r>
      <w:r w:rsidR="00D64E56">
        <w:rPr>
          <w:rFonts w:cs="Times New Roman"/>
          <w:szCs w:val="24"/>
        </w:rPr>
        <w:t xml:space="preserve"> in </w:t>
      </w:r>
      <w:r w:rsidR="000B7F8A" w:rsidRPr="0050500D">
        <w:rPr>
          <w:rFonts w:cs="Times New Roman"/>
          <w:szCs w:val="24"/>
        </w:rPr>
        <w:t>grain to the Buyer</w:t>
      </w:r>
      <w:r w:rsidR="00F2180D">
        <w:rPr>
          <w:rFonts w:cs="Times New Roman"/>
          <w:szCs w:val="24"/>
        </w:rPr>
        <w:t xml:space="preserve"> and the Buyer </w:t>
      </w:r>
      <w:r w:rsidR="00EA4407">
        <w:rPr>
          <w:rFonts w:cs="Times New Roman"/>
          <w:szCs w:val="24"/>
        </w:rPr>
        <w:t xml:space="preserve">contractually </w:t>
      </w:r>
      <w:r w:rsidR="00F2180D">
        <w:rPr>
          <w:rFonts w:cs="Times New Roman"/>
          <w:szCs w:val="24"/>
        </w:rPr>
        <w:t xml:space="preserve">offset the $417,033 in grain sales against </w:t>
      </w:r>
      <w:r w:rsidR="006E1FB0">
        <w:rPr>
          <w:rFonts w:cs="Times New Roman"/>
          <w:szCs w:val="24"/>
        </w:rPr>
        <w:t xml:space="preserve">the </w:t>
      </w:r>
      <w:r w:rsidR="00F2180D">
        <w:rPr>
          <w:rFonts w:cs="Times New Roman"/>
          <w:szCs w:val="24"/>
        </w:rPr>
        <w:t xml:space="preserve">$359,853 in earlier debts owed to the Buyer.  </w:t>
      </w:r>
      <w:r w:rsidR="000B7F8A" w:rsidRPr="0050500D">
        <w:rPr>
          <w:rFonts w:cs="Times New Roman"/>
          <w:szCs w:val="24"/>
        </w:rPr>
        <w:t xml:space="preserve">The Secured Creditor commenced a legal action against the Buyer </w:t>
      </w:r>
      <w:r w:rsidR="006E1FB0">
        <w:rPr>
          <w:rFonts w:cs="Times New Roman"/>
          <w:szCs w:val="24"/>
        </w:rPr>
        <w:t>and the Buyer</w:t>
      </w:r>
      <w:r w:rsidR="00EA4407">
        <w:rPr>
          <w:rFonts w:cs="Times New Roman"/>
          <w:szCs w:val="24"/>
        </w:rPr>
        <w:t xml:space="preserve"> </w:t>
      </w:r>
      <w:r w:rsidR="006E1FB0">
        <w:rPr>
          <w:rFonts w:cs="Times New Roman"/>
          <w:szCs w:val="24"/>
        </w:rPr>
        <w:t>argued that it was entitled to the $359,853 because</w:t>
      </w:r>
      <w:r w:rsidR="00EA4407">
        <w:rPr>
          <w:rFonts w:cs="Times New Roman"/>
          <w:szCs w:val="24"/>
        </w:rPr>
        <w:t xml:space="preserve"> the rights of the Secured Creditor are limited to the rights of the Debtor in the grain contracts.  Because the rights of the Debtor are contractually limited by </w:t>
      </w:r>
      <w:r w:rsidR="00D64E56">
        <w:rPr>
          <w:rFonts w:cs="Times New Roman"/>
          <w:szCs w:val="24"/>
        </w:rPr>
        <w:t xml:space="preserve">the </w:t>
      </w:r>
      <w:r w:rsidR="00EA4407">
        <w:rPr>
          <w:rFonts w:cs="Times New Roman"/>
          <w:szCs w:val="24"/>
        </w:rPr>
        <w:t xml:space="preserve">right of offset in the grain contracts, the rights of the Secured Creditor were also </w:t>
      </w:r>
      <w:r w:rsidR="00EA4407" w:rsidRPr="00EA4407">
        <w:rPr>
          <w:rFonts w:cs="Times New Roman"/>
          <w:szCs w:val="24"/>
        </w:rPr>
        <w:t xml:space="preserve">contractually limited by </w:t>
      </w:r>
      <w:r w:rsidR="00D64E56">
        <w:rPr>
          <w:rFonts w:cs="Times New Roman"/>
          <w:szCs w:val="24"/>
        </w:rPr>
        <w:t xml:space="preserve">the </w:t>
      </w:r>
      <w:r w:rsidR="00EA4407" w:rsidRPr="00EA4407">
        <w:rPr>
          <w:rFonts w:cs="Times New Roman"/>
          <w:szCs w:val="24"/>
        </w:rPr>
        <w:t>right of offset in the grain contracts</w:t>
      </w:r>
      <w:r w:rsidR="00EA4407">
        <w:rPr>
          <w:rFonts w:cs="Times New Roman"/>
          <w:szCs w:val="24"/>
        </w:rPr>
        <w:t xml:space="preserve">.  </w:t>
      </w:r>
      <w:r w:rsidR="000B7F8A" w:rsidRPr="0050500D">
        <w:rPr>
          <w:rFonts w:cs="Times New Roman"/>
          <w:szCs w:val="24"/>
        </w:rPr>
        <w:t xml:space="preserve">The District Court disagreed </w:t>
      </w:r>
      <w:r w:rsidR="00EA4407">
        <w:rPr>
          <w:rFonts w:cs="Times New Roman"/>
          <w:szCs w:val="24"/>
        </w:rPr>
        <w:t>and the Buyer appealed.  The 5th Circuit held that t</w:t>
      </w:r>
      <w:r w:rsidR="00EA4407" w:rsidRPr="00EA4407">
        <w:rPr>
          <w:rFonts w:cs="Times New Roman"/>
          <w:szCs w:val="24"/>
        </w:rPr>
        <w:t>he Secured Creditor is not limited to its security interest in the contract rights of the Debtor.</w:t>
      </w:r>
      <w:r w:rsidR="00EA4407">
        <w:rPr>
          <w:rFonts w:cs="Times New Roman"/>
          <w:szCs w:val="24"/>
        </w:rPr>
        <w:t xml:space="preserve">  Although the Secured Creditor had a security interest in the contract rights of the Debtor, the Secured Creditor also had a security interest in the crops of the Debtor and, therefore</w:t>
      </w:r>
      <w:r w:rsidR="00CB5BD4">
        <w:rPr>
          <w:rFonts w:cs="Times New Roman"/>
          <w:szCs w:val="24"/>
        </w:rPr>
        <w:t xml:space="preserve"> as the 8th Circuit held in </w:t>
      </w:r>
      <w:r w:rsidR="00CB5BD4">
        <w:rPr>
          <w:rFonts w:cs="Times New Roman"/>
          <w:i/>
          <w:szCs w:val="24"/>
        </w:rPr>
        <w:t>Farm Credit Services of America, PCA v.Cargill, Inc.</w:t>
      </w:r>
      <w:r w:rsidR="00CB5BD4">
        <w:rPr>
          <w:rFonts w:cs="Times New Roman"/>
          <w:szCs w:val="24"/>
        </w:rPr>
        <w:t xml:space="preserve">, 750 F.3d 965 (8th Cir. 2014), </w:t>
      </w:r>
      <w:r w:rsidR="00EA4407">
        <w:rPr>
          <w:rFonts w:cs="Times New Roman"/>
          <w:szCs w:val="24"/>
        </w:rPr>
        <w:t xml:space="preserve">the security interest takes priority over the contract </w:t>
      </w:r>
      <w:r w:rsidR="00CB5BD4">
        <w:rPr>
          <w:rFonts w:cs="Times New Roman"/>
          <w:szCs w:val="24"/>
        </w:rPr>
        <w:t>rights of the Buyer.</w:t>
      </w:r>
      <w:r>
        <w:rPr>
          <w:rFonts w:cs="Times New Roman"/>
          <w:szCs w:val="24"/>
        </w:rPr>
        <w:t xml:space="preserve">  The court distinguished </w:t>
      </w:r>
      <w:r>
        <w:rPr>
          <w:rFonts w:cs="Times New Roman"/>
          <w:i/>
          <w:szCs w:val="24"/>
        </w:rPr>
        <w:t>Consolidated Nutrition, L.C. v. IBP, Inc.,</w:t>
      </w:r>
      <w:r>
        <w:rPr>
          <w:rFonts w:cs="Times New Roman"/>
          <w:szCs w:val="24"/>
        </w:rPr>
        <w:t xml:space="preserve"> 669 N.W.2d 126 (S.D. 2003) on the basis that in the South Dakota case the secured creditor failed to file an effective financing statement with the State of Dakota and, therefore, the buyer purchased the crop free and clear of any liens of the secured creditor under the Food Security Act.  As a result of the extinguished security interest, </w:t>
      </w:r>
      <w:r w:rsidR="00D64E56">
        <w:rPr>
          <w:rFonts w:cs="Times New Roman"/>
          <w:szCs w:val="24"/>
        </w:rPr>
        <w:t xml:space="preserve">the buyer in </w:t>
      </w:r>
      <w:r w:rsidR="00D64E56">
        <w:rPr>
          <w:rFonts w:cs="Times New Roman"/>
          <w:i/>
          <w:szCs w:val="24"/>
        </w:rPr>
        <w:t>Consolidated Nutrition, L.C</w:t>
      </w:r>
      <w:r w:rsidR="00D64E56">
        <w:rPr>
          <w:rFonts w:cs="Times New Roman"/>
          <w:szCs w:val="24"/>
        </w:rPr>
        <w:t xml:space="preserve"> was entitled to offset against unpaid debts owed to the buyer over the objection of the secured creditor.  </w:t>
      </w:r>
      <w:r w:rsidR="000B7F8A" w:rsidRPr="0050500D">
        <w:rPr>
          <w:rFonts w:cs="Times New Roman"/>
          <w:i/>
          <w:szCs w:val="24"/>
        </w:rPr>
        <w:t>Guar. Bank &amp; Trust Co. v. Agrex, Inc.</w:t>
      </w:r>
      <w:r>
        <w:rPr>
          <w:rFonts w:cs="Times New Roman"/>
          <w:szCs w:val="24"/>
        </w:rPr>
        <w:t>, 820 F.3d 790 (5th Cir. 2016).</w:t>
      </w:r>
    </w:p>
    <w:p w:rsidR="00007AE5" w:rsidRDefault="00007AE5">
      <w:pPr>
        <w:spacing w:after="200" w:line="276" w:lineRule="auto"/>
        <w:rPr>
          <w:rFonts w:cs="Times New Roman"/>
          <w:b/>
          <w:szCs w:val="24"/>
        </w:rPr>
      </w:pPr>
      <w:r>
        <w:rPr>
          <w:rFonts w:cs="Times New Roman"/>
          <w:b/>
          <w:szCs w:val="24"/>
        </w:rPr>
        <w:br w:type="page"/>
      </w:r>
    </w:p>
    <w:p w:rsidR="00F96350" w:rsidRPr="00AE3947" w:rsidRDefault="00017026" w:rsidP="00AE3947">
      <w:pPr>
        <w:pStyle w:val="ListParagraph"/>
        <w:numPr>
          <w:ilvl w:val="1"/>
          <w:numId w:val="11"/>
        </w:numPr>
        <w:spacing w:line="240" w:lineRule="auto"/>
        <w:jc w:val="both"/>
        <w:rPr>
          <w:rFonts w:ascii="Times New Roman" w:hAnsi="Times New Roman" w:cs="Times New Roman"/>
          <w:b/>
          <w:sz w:val="24"/>
          <w:szCs w:val="24"/>
        </w:rPr>
      </w:pPr>
      <w:r w:rsidRPr="00AE3947">
        <w:rPr>
          <w:rFonts w:ascii="Times New Roman" w:hAnsi="Times New Roman" w:cs="Times New Roman"/>
          <w:b/>
          <w:sz w:val="24"/>
          <w:szCs w:val="24"/>
        </w:rPr>
        <w:lastRenderedPageBreak/>
        <w:t>Statutory Trusts.</w:t>
      </w:r>
    </w:p>
    <w:p w:rsidR="007C704F" w:rsidRDefault="007C704F" w:rsidP="007C704F">
      <w:pPr>
        <w:ind w:left="1440"/>
        <w:jc w:val="both"/>
        <w:rPr>
          <w:rFonts w:eastAsia="Times New Roman" w:cs="Times New Roman"/>
          <w:szCs w:val="24"/>
        </w:rPr>
      </w:pPr>
      <w:r>
        <w:rPr>
          <w:rFonts w:eastAsia="Times New Roman" w:cs="Times New Roman"/>
          <w:b/>
          <w:szCs w:val="24"/>
        </w:rPr>
        <w:t>i.</w:t>
      </w:r>
      <w:r>
        <w:rPr>
          <w:rFonts w:eastAsia="Times New Roman" w:cs="Times New Roman"/>
          <w:b/>
          <w:szCs w:val="24"/>
        </w:rPr>
        <w:tab/>
        <w:t xml:space="preserve">Life </w:t>
      </w:r>
      <w:r w:rsidR="00D64E56">
        <w:rPr>
          <w:rFonts w:eastAsia="Times New Roman" w:cs="Times New Roman"/>
          <w:b/>
          <w:szCs w:val="24"/>
        </w:rPr>
        <w:t>i</w:t>
      </w:r>
      <w:r>
        <w:rPr>
          <w:rFonts w:eastAsia="Times New Roman" w:cs="Times New Roman"/>
          <w:b/>
          <w:szCs w:val="24"/>
        </w:rPr>
        <w:t xml:space="preserve">nsurance policy funded with produce proceeds subject to PACA trust claim.  </w:t>
      </w:r>
      <w:r w:rsidRPr="002869F2">
        <w:rPr>
          <w:rFonts w:eastAsia="Times New Roman" w:cs="Times New Roman"/>
          <w:szCs w:val="24"/>
        </w:rPr>
        <w:t xml:space="preserve">Consumers Produce Company, Inc. of Pittsburg (“Seller”) sold produce to Fredericktown Produce Co., Inc. (the “Debtor”).  Mike Giles (“Principal”), the principal of the Debtor, was indebted to Northwest Savings Bank (the “Secured Creditor”) and the debt was secured by an assignment of a life insurance policy on the life of the Principal (the “Insurance Policy”).  The Debtor failed to pay the Seller and the Seller asserted a PACA trust claim against the Insurance Policy.   The Secured Creditor argued that the Insurance Policy was outside the scope of the PACA trust and that the Secured Creditor was a bona fide purchaser having received the Title Policy for value.  The court disagreed and held that the Insurance Policy was within the PACA trust because the Principal used proceeds from the sale of produce to fund the Insurance Policy and the Secured Creditor failed to qualify as a bona fide purchaser because the Debtor did not receive value for the assignment of the Insurance Policy.  </w:t>
      </w:r>
      <w:r w:rsidRPr="002869F2">
        <w:rPr>
          <w:rFonts w:eastAsia="Times New Roman" w:cs="Times New Roman"/>
          <w:i/>
          <w:szCs w:val="24"/>
        </w:rPr>
        <w:t>Consumers Produce Co., Inc. of Pittsburg v. Fredericktown Produce Co.</w:t>
      </w:r>
      <w:r w:rsidRPr="002869F2">
        <w:rPr>
          <w:rFonts w:eastAsia="Times New Roman" w:cs="Times New Roman"/>
          <w:szCs w:val="24"/>
        </w:rPr>
        <w:t>, 2015 WL 728488 (W.D. Pa. Feb. 19, 2015).</w:t>
      </w:r>
    </w:p>
    <w:p w:rsidR="007C704F" w:rsidRDefault="007C704F" w:rsidP="007C704F">
      <w:pPr>
        <w:ind w:left="1440"/>
        <w:jc w:val="both"/>
        <w:rPr>
          <w:rFonts w:eastAsia="Times New Roman" w:cs="Times New Roman"/>
          <w:b/>
          <w:szCs w:val="24"/>
        </w:rPr>
      </w:pPr>
    </w:p>
    <w:p w:rsidR="007C704F" w:rsidRPr="007E4797" w:rsidRDefault="007C704F" w:rsidP="007C704F">
      <w:pPr>
        <w:ind w:left="1440"/>
        <w:jc w:val="both"/>
        <w:rPr>
          <w:rFonts w:eastAsia="Times New Roman" w:cs="Times New Roman"/>
          <w:b/>
          <w:szCs w:val="24"/>
        </w:rPr>
      </w:pPr>
      <w:r w:rsidRPr="002869F2">
        <w:rPr>
          <w:rFonts w:eastAsia="Times New Roman" w:cs="Times New Roman"/>
          <w:b/>
          <w:szCs w:val="24"/>
        </w:rPr>
        <w:t>ii.</w:t>
      </w:r>
      <w:r w:rsidRPr="002869F2">
        <w:rPr>
          <w:rFonts w:eastAsia="Times New Roman" w:cs="Times New Roman"/>
          <w:b/>
          <w:szCs w:val="24"/>
        </w:rPr>
        <w:tab/>
      </w:r>
      <w:r w:rsidRPr="007E4797">
        <w:rPr>
          <w:rFonts w:eastAsia="Times New Roman" w:cs="Times New Roman"/>
          <w:b/>
          <w:szCs w:val="24"/>
        </w:rPr>
        <w:t>Sellers of produce are not exempt from the PACA notice requirements if the produce is marketed through a third party.</w:t>
      </w:r>
      <w:r>
        <w:rPr>
          <w:rFonts w:eastAsia="Times New Roman" w:cs="Times New Roman"/>
          <w:b/>
          <w:szCs w:val="24"/>
        </w:rPr>
        <w:t xml:space="preserve">  </w:t>
      </w:r>
      <w:r w:rsidRPr="002869F2">
        <w:rPr>
          <w:rFonts w:eastAsia="Times New Roman" w:cs="Times New Roman"/>
          <w:szCs w:val="24"/>
        </w:rPr>
        <w:t xml:space="preserve">Derek &amp; Matthew Bissette Farms (“Seller”) contracted with Bissett Produce, Inc. (the “Debtor”) to store, cure, package and sell the sale of sweet potatoes.  The Debtor was indebted to AgCarolina Farm Credit, ACA (the “Secured Creditor”) and the debt was secured by a security interest in the </w:t>
      </w:r>
      <w:r w:rsidR="00D64E56">
        <w:rPr>
          <w:rFonts w:eastAsia="Times New Roman" w:cs="Times New Roman"/>
          <w:szCs w:val="24"/>
        </w:rPr>
        <w:t xml:space="preserve">crops </w:t>
      </w:r>
      <w:r w:rsidRPr="002869F2">
        <w:rPr>
          <w:rFonts w:eastAsia="Times New Roman" w:cs="Times New Roman"/>
          <w:szCs w:val="24"/>
        </w:rPr>
        <w:t xml:space="preserve">of the Debtor.  </w:t>
      </w:r>
      <w:r w:rsidR="003E31DA">
        <w:rPr>
          <w:rFonts w:eastAsia="Times New Roman" w:cs="Times New Roman"/>
          <w:szCs w:val="24"/>
        </w:rPr>
        <w:t xml:space="preserve">The Debtor failed to pay the Seller.  </w:t>
      </w:r>
      <w:r w:rsidRPr="002869F2">
        <w:rPr>
          <w:rFonts w:eastAsia="Times New Roman" w:cs="Times New Roman"/>
          <w:szCs w:val="24"/>
        </w:rPr>
        <w:t xml:space="preserve">The Seller argued that it was entitled to a PACA trust claim as to the sale proceeds.  Although the Court does not address, it appears the proceeds from the sale of sweet potatoes were in the possession and control of the Debtor at all relevant times.  The court disagreed and held that the Seller failed to provide the requisite notice under 7 CFS </w:t>
      </w:r>
      <w:r w:rsidR="00D64E56" w:rsidRPr="00D64E56">
        <w:rPr>
          <w:rFonts w:eastAsia="Times New Roman" w:cs="Times New Roman"/>
          <w:szCs w:val="24"/>
        </w:rPr>
        <w:t>§</w:t>
      </w:r>
      <w:r w:rsidR="00D64E56">
        <w:rPr>
          <w:rFonts w:eastAsia="Times New Roman" w:cs="Times New Roman"/>
          <w:szCs w:val="24"/>
        </w:rPr>
        <w:t xml:space="preserve"> </w:t>
      </w:r>
      <w:r w:rsidRPr="002869F2">
        <w:rPr>
          <w:rFonts w:eastAsia="Times New Roman" w:cs="Times New Roman"/>
          <w:szCs w:val="24"/>
        </w:rPr>
        <w:t xml:space="preserve">46.46 to perfect the trust claim.  </w:t>
      </w:r>
      <w:r w:rsidR="00D64E56">
        <w:rPr>
          <w:rFonts w:eastAsia="Times New Roman" w:cs="Times New Roman"/>
          <w:szCs w:val="24"/>
        </w:rPr>
        <w:t>The court held that n</w:t>
      </w:r>
      <w:r w:rsidRPr="002869F2">
        <w:rPr>
          <w:rFonts w:eastAsia="Times New Roman" w:cs="Times New Roman"/>
          <w:szCs w:val="24"/>
        </w:rPr>
        <w:t xml:space="preserve">otice is required even though the Debtor is acting as an agent for the Seller.  No special status is provided </w:t>
      </w:r>
      <w:r w:rsidR="00D64E56">
        <w:rPr>
          <w:rFonts w:eastAsia="Times New Roman" w:cs="Times New Roman"/>
          <w:szCs w:val="24"/>
        </w:rPr>
        <w:t>to</w:t>
      </w:r>
      <w:r w:rsidRPr="002869F2">
        <w:rPr>
          <w:rFonts w:eastAsia="Times New Roman" w:cs="Times New Roman"/>
          <w:szCs w:val="24"/>
        </w:rPr>
        <w:t xml:space="preserve"> contract sellers that exempt the Seller from the </w:t>
      </w:r>
      <w:r w:rsidR="00D64E56">
        <w:rPr>
          <w:rFonts w:eastAsia="Times New Roman" w:cs="Times New Roman"/>
          <w:szCs w:val="24"/>
        </w:rPr>
        <w:t xml:space="preserve">PACA </w:t>
      </w:r>
      <w:r w:rsidRPr="002869F2">
        <w:rPr>
          <w:rFonts w:eastAsia="Times New Roman" w:cs="Times New Roman"/>
          <w:szCs w:val="24"/>
        </w:rPr>
        <w:t xml:space="preserve">notice requirement.  </w:t>
      </w:r>
      <w:r w:rsidRPr="002869F2">
        <w:rPr>
          <w:rFonts w:eastAsia="Times New Roman" w:cs="Times New Roman"/>
          <w:i/>
          <w:szCs w:val="24"/>
        </w:rPr>
        <w:t>In re Bissett Produce, Inc.</w:t>
      </w:r>
      <w:r w:rsidRPr="002869F2">
        <w:rPr>
          <w:rFonts w:eastAsia="Times New Roman" w:cs="Times New Roman"/>
          <w:szCs w:val="24"/>
        </w:rPr>
        <w:t>, 2015 WL 868029 (E.D.N.C. Feb. 2, 2015).</w:t>
      </w:r>
    </w:p>
    <w:p w:rsidR="007C704F" w:rsidRPr="007E4797" w:rsidRDefault="007C704F" w:rsidP="007C704F">
      <w:pPr>
        <w:ind w:left="720"/>
        <w:jc w:val="both"/>
        <w:rPr>
          <w:rFonts w:eastAsia="Times New Roman" w:cs="Times New Roman"/>
          <w:b/>
          <w:szCs w:val="24"/>
        </w:rPr>
      </w:pPr>
    </w:p>
    <w:p w:rsidR="007C704F" w:rsidRPr="002869F2" w:rsidRDefault="007C704F" w:rsidP="007C704F">
      <w:pPr>
        <w:ind w:left="1440"/>
        <w:jc w:val="both"/>
        <w:rPr>
          <w:rFonts w:eastAsia="Times New Roman" w:cs="Times New Roman"/>
          <w:szCs w:val="24"/>
        </w:rPr>
      </w:pPr>
      <w:r w:rsidRPr="002869F2">
        <w:rPr>
          <w:rFonts w:eastAsia="Times New Roman" w:cs="Times New Roman"/>
          <w:i/>
          <w:szCs w:val="24"/>
        </w:rPr>
        <w:t>Comment.</w:t>
      </w:r>
      <w:r w:rsidRPr="002869F2">
        <w:rPr>
          <w:rFonts w:eastAsia="Times New Roman" w:cs="Times New Roman"/>
          <w:szCs w:val="24"/>
        </w:rPr>
        <w:t xml:space="preserve">  The </w:t>
      </w:r>
      <w:r w:rsidR="003E31DA">
        <w:rPr>
          <w:rFonts w:eastAsia="Times New Roman" w:cs="Times New Roman"/>
          <w:szCs w:val="24"/>
        </w:rPr>
        <w:t xml:space="preserve">Seller does not appear to have argued or the </w:t>
      </w:r>
      <w:r>
        <w:rPr>
          <w:rFonts w:eastAsia="Times New Roman" w:cs="Times New Roman"/>
          <w:szCs w:val="24"/>
        </w:rPr>
        <w:t>c</w:t>
      </w:r>
      <w:r w:rsidRPr="002869F2">
        <w:rPr>
          <w:rFonts w:eastAsia="Times New Roman" w:cs="Times New Roman"/>
          <w:szCs w:val="24"/>
        </w:rPr>
        <w:t xml:space="preserve">ourt does </w:t>
      </w:r>
      <w:r w:rsidR="003E31DA">
        <w:rPr>
          <w:rFonts w:eastAsia="Times New Roman" w:cs="Times New Roman"/>
          <w:szCs w:val="24"/>
        </w:rPr>
        <w:t xml:space="preserve">address </w:t>
      </w:r>
      <w:r w:rsidRPr="002869F2">
        <w:rPr>
          <w:rFonts w:eastAsia="Times New Roman" w:cs="Times New Roman"/>
          <w:szCs w:val="24"/>
        </w:rPr>
        <w:t xml:space="preserve">whether the Debtor had sufficient rights in the sweet potato proceeds to grant a security interest to the Secured Creditor under UCC </w:t>
      </w:r>
      <w:r w:rsidR="003E31DA" w:rsidRPr="003E31DA">
        <w:rPr>
          <w:rFonts w:eastAsia="Times New Roman" w:cs="Times New Roman"/>
          <w:szCs w:val="24"/>
        </w:rPr>
        <w:t>§</w:t>
      </w:r>
      <w:r w:rsidR="003E31DA">
        <w:rPr>
          <w:rFonts w:eastAsia="Times New Roman" w:cs="Times New Roman"/>
          <w:szCs w:val="24"/>
        </w:rPr>
        <w:t xml:space="preserve"> </w:t>
      </w:r>
      <w:r w:rsidRPr="002869F2">
        <w:rPr>
          <w:rFonts w:eastAsia="Times New Roman" w:cs="Times New Roman"/>
          <w:szCs w:val="24"/>
        </w:rPr>
        <w:t xml:space="preserve">9-203.  Although the absence of a security interest would not </w:t>
      </w:r>
      <w:r w:rsidR="003E31DA">
        <w:rPr>
          <w:rFonts w:eastAsia="Times New Roman" w:cs="Times New Roman"/>
          <w:szCs w:val="24"/>
        </w:rPr>
        <w:t xml:space="preserve">entitle the Seller to a </w:t>
      </w:r>
      <w:r w:rsidRPr="002869F2">
        <w:rPr>
          <w:rFonts w:eastAsia="Times New Roman" w:cs="Times New Roman"/>
          <w:szCs w:val="24"/>
        </w:rPr>
        <w:t xml:space="preserve">PACA trust claim, it would increase </w:t>
      </w:r>
      <w:r w:rsidR="003E31DA">
        <w:rPr>
          <w:rFonts w:eastAsia="Times New Roman" w:cs="Times New Roman"/>
          <w:szCs w:val="24"/>
        </w:rPr>
        <w:t xml:space="preserve">the available funds to </w:t>
      </w:r>
      <w:r w:rsidRPr="002869F2">
        <w:rPr>
          <w:rFonts w:eastAsia="Times New Roman" w:cs="Times New Roman"/>
          <w:szCs w:val="24"/>
        </w:rPr>
        <w:t>distribut</w:t>
      </w:r>
      <w:r w:rsidR="003E31DA">
        <w:rPr>
          <w:rFonts w:eastAsia="Times New Roman" w:cs="Times New Roman"/>
          <w:szCs w:val="24"/>
        </w:rPr>
        <w:t>e</w:t>
      </w:r>
      <w:r w:rsidRPr="002869F2">
        <w:rPr>
          <w:rFonts w:eastAsia="Times New Roman" w:cs="Times New Roman"/>
          <w:szCs w:val="24"/>
        </w:rPr>
        <w:t xml:space="preserve"> to unsecured creditors including the Seller.   </w:t>
      </w:r>
    </w:p>
    <w:p w:rsidR="007C704F" w:rsidRDefault="007C704F" w:rsidP="00AE3947">
      <w:pPr>
        <w:ind w:left="1440"/>
        <w:jc w:val="both"/>
        <w:rPr>
          <w:rFonts w:eastAsia="Times New Roman" w:cs="Times New Roman"/>
          <w:b/>
          <w:szCs w:val="24"/>
        </w:rPr>
      </w:pPr>
    </w:p>
    <w:p w:rsidR="009B3BC5" w:rsidRDefault="007C704F" w:rsidP="00AE3947">
      <w:pPr>
        <w:ind w:left="1440"/>
        <w:jc w:val="both"/>
        <w:rPr>
          <w:rFonts w:eastAsia="Times New Roman" w:cs="Times New Roman"/>
          <w:szCs w:val="24"/>
        </w:rPr>
      </w:pPr>
      <w:r>
        <w:rPr>
          <w:rFonts w:eastAsia="Times New Roman" w:cs="Times New Roman"/>
          <w:b/>
          <w:szCs w:val="24"/>
        </w:rPr>
        <w:t>iii</w:t>
      </w:r>
      <w:r w:rsidR="00AE3947">
        <w:rPr>
          <w:rFonts w:eastAsia="Times New Roman" w:cs="Times New Roman"/>
          <w:b/>
          <w:szCs w:val="24"/>
        </w:rPr>
        <w:t>.</w:t>
      </w:r>
      <w:r w:rsidR="00AE3947">
        <w:rPr>
          <w:rFonts w:eastAsia="Times New Roman" w:cs="Times New Roman"/>
          <w:b/>
          <w:szCs w:val="24"/>
        </w:rPr>
        <w:tab/>
      </w:r>
      <w:r w:rsidR="003B3F3B" w:rsidRPr="003B3F3B">
        <w:rPr>
          <w:rFonts w:eastAsia="Times New Roman" w:cs="Times New Roman"/>
          <w:b/>
          <w:szCs w:val="24"/>
        </w:rPr>
        <w:t xml:space="preserve">Seller can waive prompt payment requirements (and PACA trust rights) in pre-default verbally agreement. </w:t>
      </w:r>
      <w:r w:rsidR="00AE3947">
        <w:rPr>
          <w:rFonts w:eastAsia="Times New Roman" w:cs="Times New Roman"/>
          <w:b/>
          <w:szCs w:val="24"/>
        </w:rPr>
        <w:t xml:space="preserve"> </w:t>
      </w:r>
      <w:r w:rsidR="00024327" w:rsidRPr="00AE3947">
        <w:rPr>
          <w:rFonts w:eastAsia="Times New Roman" w:cs="Times New Roman"/>
          <w:szCs w:val="24"/>
        </w:rPr>
        <w:t xml:space="preserve">Heeren, LLC dba Ridgeking Apple Packaging and Storage (the “Seller”) sold apples to Cherry Growers, Inc. (the “Buyer”) on credit.  No written master </w:t>
      </w:r>
      <w:r w:rsidR="00AE3947">
        <w:rPr>
          <w:rFonts w:eastAsia="Times New Roman" w:cs="Times New Roman"/>
          <w:szCs w:val="24"/>
        </w:rPr>
        <w:t xml:space="preserve">supply </w:t>
      </w:r>
      <w:r w:rsidR="00024327" w:rsidRPr="00AE3947">
        <w:rPr>
          <w:rFonts w:eastAsia="Times New Roman" w:cs="Times New Roman"/>
          <w:szCs w:val="24"/>
        </w:rPr>
        <w:t xml:space="preserve">agreement was used.  As apples were ordered and delivered, the Seller would issue a bill of lading </w:t>
      </w:r>
      <w:r w:rsidR="003E31DA">
        <w:rPr>
          <w:rFonts w:eastAsia="Times New Roman" w:cs="Times New Roman"/>
          <w:szCs w:val="24"/>
        </w:rPr>
        <w:t>which included a</w:t>
      </w:r>
      <w:r w:rsidR="00024327" w:rsidRPr="00AE3947">
        <w:rPr>
          <w:rFonts w:eastAsia="Times New Roman" w:cs="Times New Roman"/>
          <w:szCs w:val="24"/>
        </w:rPr>
        <w:t xml:space="preserve"> </w:t>
      </w:r>
      <w:r w:rsidR="00024327" w:rsidRPr="00AE3947">
        <w:rPr>
          <w:rFonts w:eastAsia="Times New Roman" w:cs="Times New Roman"/>
          <w:szCs w:val="24"/>
        </w:rPr>
        <w:lastRenderedPageBreak/>
        <w:t xml:space="preserve">condition that payment </w:t>
      </w:r>
      <w:r w:rsidR="003E31DA">
        <w:rPr>
          <w:rFonts w:eastAsia="Times New Roman" w:cs="Times New Roman"/>
          <w:szCs w:val="24"/>
        </w:rPr>
        <w:t>was</w:t>
      </w:r>
      <w:r w:rsidR="00024327" w:rsidRPr="00AE3947">
        <w:rPr>
          <w:rFonts w:eastAsia="Times New Roman" w:cs="Times New Roman"/>
          <w:szCs w:val="24"/>
        </w:rPr>
        <w:t xml:space="preserve"> due in 10 days and the reserv</w:t>
      </w:r>
      <w:r w:rsidR="003E31DA">
        <w:rPr>
          <w:rFonts w:eastAsia="Times New Roman" w:cs="Times New Roman"/>
          <w:szCs w:val="24"/>
        </w:rPr>
        <w:t>ed the seller’s</w:t>
      </w:r>
      <w:r w:rsidR="00024327" w:rsidRPr="00AE3947">
        <w:rPr>
          <w:rFonts w:eastAsia="Times New Roman" w:cs="Times New Roman"/>
          <w:szCs w:val="24"/>
        </w:rPr>
        <w:t xml:space="preserve"> PCA trust rights.  The Buyer was continually late with payment</w:t>
      </w:r>
      <w:r w:rsidR="003E31DA">
        <w:rPr>
          <w:rFonts w:eastAsia="Times New Roman" w:cs="Times New Roman"/>
          <w:szCs w:val="24"/>
        </w:rPr>
        <w:t xml:space="preserve"> and owed money to the Seller</w:t>
      </w:r>
      <w:r w:rsidR="00024327" w:rsidRPr="00AE3947">
        <w:rPr>
          <w:rFonts w:eastAsia="Times New Roman" w:cs="Times New Roman"/>
          <w:szCs w:val="24"/>
        </w:rPr>
        <w:t xml:space="preserve">.  The Seller verbally agreed to continue to deliver </w:t>
      </w:r>
      <w:r w:rsidR="00850801" w:rsidRPr="00AE3947">
        <w:rPr>
          <w:rFonts w:eastAsia="Times New Roman" w:cs="Times New Roman"/>
          <w:szCs w:val="24"/>
        </w:rPr>
        <w:t xml:space="preserve">future </w:t>
      </w:r>
      <w:r w:rsidR="003E31DA">
        <w:rPr>
          <w:rFonts w:eastAsia="Times New Roman" w:cs="Times New Roman"/>
          <w:szCs w:val="24"/>
        </w:rPr>
        <w:t>apple</w:t>
      </w:r>
      <w:r w:rsidR="00024327" w:rsidRPr="00AE3947">
        <w:rPr>
          <w:rFonts w:eastAsia="Times New Roman" w:cs="Times New Roman"/>
          <w:szCs w:val="24"/>
        </w:rPr>
        <w:t xml:space="preserve">s with the understanding that payment </w:t>
      </w:r>
      <w:r w:rsidR="003E31DA">
        <w:rPr>
          <w:rFonts w:eastAsia="Times New Roman" w:cs="Times New Roman"/>
          <w:szCs w:val="24"/>
        </w:rPr>
        <w:t xml:space="preserve">for the apples </w:t>
      </w:r>
      <w:r w:rsidR="00024327" w:rsidRPr="00AE3947">
        <w:rPr>
          <w:rFonts w:eastAsia="Times New Roman" w:cs="Times New Roman"/>
          <w:szCs w:val="24"/>
        </w:rPr>
        <w:t xml:space="preserve">would not be made </w:t>
      </w:r>
      <w:r w:rsidR="00AE3947">
        <w:rPr>
          <w:rFonts w:eastAsia="Times New Roman" w:cs="Times New Roman"/>
          <w:szCs w:val="24"/>
        </w:rPr>
        <w:t xml:space="preserve">for </w:t>
      </w:r>
      <w:r w:rsidR="00024327" w:rsidRPr="00AE3947">
        <w:rPr>
          <w:rFonts w:eastAsia="Times New Roman" w:cs="Times New Roman"/>
          <w:szCs w:val="24"/>
        </w:rPr>
        <w:t xml:space="preserve">twelve to fourteen months.  Buyer failed to pay the Seller under the verbally agreed terms.  The Seller argued that the written bill of lading </w:t>
      </w:r>
      <w:r w:rsidR="00850801" w:rsidRPr="00AE3947">
        <w:rPr>
          <w:rFonts w:eastAsia="Times New Roman" w:cs="Times New Roman"/>
          <w:szCs w:val="24"/>
        </w:rPr>
        <w:t xml:space="preserve">and 10 day payment terms </w:t>
      </w:r>
      <w:r w:rsidR="00024327" w:rsidRPr="00AE3947">
        <w:rPr>
          <w:rFonts w:eastAsia="Times New Roman" w:cs="Times New Roman"/>
          <w:szCs w:val="24"/>
        </w:rPr>
        <w:t xml:space="preserve">controlled and, therefore, the Seller was entitled to a PACA trust claim.  The court disagreed and </w:t>
      </w:r>
      <w:r w:rsidR="00850801" w:rsidRPr="00AE3947">
        <w:rPr>
          <w:rFonts w:eastAsia="Times New Roman" w:cs="Times New Roman"/>
          <w:szCs w:val="24"/>
        </w:rPr>
        <w:t xml:space="preserve">relying on </w:t>
      </w:r>
      <w:r w:rsidR="00850801" w:rsidRPr="00AE3947">
        <w:rPr>
          <w:rFonts w:eastAsia="Times New Roman" w:cs="Times New Roman"/>
          <w:i/>
          <w:szCs w:val="24"/>
        </w:rPr>
        <w:t>Overton Distrib., Inc. v. Heritage Bank</w:t>
      </w:r>
      <w:r w:rsidR="00850801" w:rsidRPr="00AE3947">
        <w:rPr>
          <w:rFonts w:eastAsia="Times New Roman" w:cs="Times New Roman"/>
          <w:szCs w:val="24"/>
        </w:rPr>
        <w:t xml:space="preserve">, 340 F.3d 361 (6th Cir. 2003) </w:t>
      </w:r>
      <w:r w:rsidR="00024327" w:rsidRPr="00AE3947">
        <w:rPr>
          <w:rFonts w:eastAsia="Times New Roman" w:cs="Times New Roman"/>
          <w:szCs w:val="24"/>
        </w:rPr>
        <w:t>held that</w:t>
      </w:r>
      <w:r w:rsidR="00850801" w:rsidRPr="00AE3947">
        <w:rPr>
          <w:rFonts w:eastAsia="Times New Roman" w:cs="Times New Roman"/>
          <w:szCs w:val="24"/>
        </w:rPr>
        <w:t xml:space="preserve"> the pre-default verbal agreement of the parties extended the payment terms outside the statutory 30 day prompt payment window requirement under 7 CFR </w:t>
      </w:r>
      <w:r w:rsidR="003E31DA" w:rsidRPr="003E31DA">
        <w:rPr>
          <w:rFonts w:eastAsia="Times New Roman" w:cs="Times New Roman"/>
          <w:szCs w:val="24"/>
        </w:rPr>
        <w:t>§</w:t>
      </w:r>
      <w:r w:rsidR="003E31DA">
        <w:rPr>
          <w:rFonts w:eastAsia="Times New Roman" w:cs="Times New Roman"/>
          <w:szCs w:val="24"/>
        </w:rPr>
        <w:t xml:space="preserve"> </w:t>
      </w:r>
      <w:r w:rsidR="00850801" w:rsidRPr="00AE3947">
        <w:rPr>
          <w:rFonts w:eastAsia="Times New Roman" w:cs="Times New Roman"/>
          <w:szCs w:val="24"/>
        </w:rPr>
        <w:t>46.46(e)(2) and, therefore, the Seller was not entitled to a PACA trust claim.  A pre-default written agreement allowing for payment outside 30 days waives the Seller’s PACA trust rights.</w:t>
      </w:r>
      <w:r w:rsidR="003B3F3B" w:rsidRPr="00AE3947">
        <w:rPr>
          <w:rFonts w:eastAsia="Times New Roman" w:cs="Times New Roman"/>
          <w:szCs w:val="24"/>
        </w:rPr>
        <w:t xml:space="preserve">  </w:t>
      </w:r>
      <w:r w:rsidR="009B3BC5" w:rsidRPr="00AE3947">
        <w:rPr>
          <w:rFonts w:eastAsia="Times New Roman" w:cs="Times New Roman"/>
          <w:i/>
          <w:szCs w:val="24"/>
        </w:rPr>
        <w:t>Heeren, LLC v. Cherry Growers, Inc.</w:t>
      </w:r>
      <w:r w:rsidR="009B3BC5" w:rsidRPr="00AE3947">
        <w:rPr>
          <w:rFonts w:eastAsia="Times New Roman" w:cs="Times New Roman"/>
          <w:szCs w:val="24"/>
        </w:rPr>
        <w:t>, 2016 WL 3027194 (W.D. Mich. May 27, 2016)</w:t>
      </w:r>
      <w:r w:rsidR="00AE3947" w:rsidRPr="00AE3947">
        <w:rPr>
          <w:rFonts w:eastAsia="Times New Roman" w:cs="Times New Roman"/>
          <w:szCs w:val="24"/>
        </w:rPr>
        <w:t>.</w:t>
      </w:r>
    </w:p>
    <w:p w:rsidR="007C704F" w:rsidRDefault="007C704F" w:rsidP="00AE3947">
      <w:pPr>
        <w:ind w:left="1440"/>
        <w:jc w:val="both"/>
        <w:rPr>
          <w:rFonts w:eastAsia="Times New Roman" w:cs="Times New Roman"/>
          <w:szCs w:val="24"/>
        </w:rPr>
      </w:pPr>
    </w:p>
    <w:p w:rsidR="007C704F" w:rsidRDefault="007C704F" w:rsidP="007C704F">
      <w:pPr>
        <w:ind w:left="1440"/>
        <w:jc w:val="both"/>
        <w:rPr>
          <w:rFonts w:eastAsia="Times New Roman" w:cs="Times New Roman"/>
          <w:b/>
          <w:szCs w:val="24"/>
        </w:rPr>
      </w:pPr>
      <w:r>
        <w:rPr>
          <w:rFonts w:eastAsia="Times New Roman" w:cs="Times New Roman"/>
          <w:b/>
          <w:szCs w:val="24"/>
        </w:rPr>
        <w:t>iv.</w:t>
      </w:r>
      <w:r>
        <w:rPr>
          <w:rFonts w:eastAsia="Times New Roman" w:cs="Times New Roman"/>
          <w:b/>
          <w:szCs w:val="24"/>
        </w:rPr>
        <w:tab/>
      </w:r>
      <w:r w:rsidR="003E31DA">
        <w:rPr>
          <w:rFonts w:eastAsia="Times New Roman" w:cs="Times New Roman"/>
          <w:b/>
          <w:szCs w:val="24"/>
        </w:rPr>
        <w:t>Produce s</w:t>
      </w:r>
      <w:r w:rsidRPr="00F402B0">
        <w:rPr>
          <w:rFonts w:eastAsia="Times New Roman" w:cs="Times New Roman"/>
          <w:b/>
          <w:szCs w:val="24"/>
        </w:rPr>
        <w:t xml:space="preserve">eller waived PACA trust claims by agreeing to repayment terms outside 30 days. </w:t>
      </w:r>
      <w:r>
        <w:rPr>
          <w:rFonts w:eastAsia="Times New Roman" w:cs="Times New Roman"/>
          <w:b/>
          <w:szCs w:val="24"/>
        </w:rPr>
        <w:t xml:space="preserve"> </w:t>
      </w:r>
      <w:r w:rsidRPr="00AE3947">
        <w:rPr>
          <w:rFonts w:eastAsia="Times New Roman" w:cs="Times New Roman"/>
          <w:szCs w:val="24"/>
        </w:rPr>
        <w:t>Spada Properties, Inc. dba United Salad Co. (the “Produce Seller”) sold produce to Food Ventures 87, Inc. dba Food 4 Less (the “Buyer”).  Each invoice required payment within ten days.  Unified Grocers, Inc. (the “</w:t>
      </w:r>
      <w:r w:rsidR="00CA4D94" w:rsidRPr="00CA4D94">
        <w:rPr>
          <w:rFonts w:eastAsia="Times New Roman" w:cs="Times New Roman"/>
          <w:szCs w:val="24"/>
        </w:rPr>
        <w:t>Non-Produce Seller</w:t>
      </w:r>
      <w:r w:rsidRPr="00AE3947">
        <w:rPr>
          <w:rFonts w:eastAsia="Times New Roman" w:cs="Times New Roman"/>
          <w:szCs w:val="24"/>
        </w:rPr>
        <w:t xml:space="preserve">”) sold non-produce food to the Buyer under a retainer-owner grocery cooperative.  Payments were made to the Non-Produce Seller from automatic deposits from the Buyer’s bank accounts.  The Buyer was in financial hardship and the Produce Seller agreed to convert a portion of the unpaid balance into a promissory note to be paid over two years.  The promissory note was later paid off at which time the Buyer was eight months behind in payments.  The Buyer subsequently filed a Chapter 11 bankruptcy.  $830,000 was owed to the Produce Seller.  The Producer Seller commenced an adversary action in the bankruptcy and asserted, in part, that the automatic deposits accepted by the </w:t>
      </w:r>
      <w:r w:rsidR="00CA4D94" w:rsidRPr="00CA4D94">
        <w:rPr>
          <w:rFonts w:eastAsia="Times New Roman" w:cs="Times New Roman"/>
          <w:szCs w:val="24"/>
        </w:rPr>
        <w:t>Non-Produce Seller</w:t>
      </w:r>
      <w:r w:rsidRPr="00AE3947">
        <w:rPr>
          <w:rFonts w:eastAsia="Times New Roman" w:cs="Times New Roman"/>
          <w:szCs w:val="24"/>
        </w:rPr>
        <w:t xml:space="preserve"> were subject to the Produce Seller’s PACA trust claims.  The court disagreed and held that the Produce Seller had no </w:t>
      </w:r>
      <w:r w:rsidR="008F6ECD">
        <w:rPr>
          <w:rFonts w:eastAsia="Times New Roman" w:cs="Times New Roman"/>
          <w:szCs w:val="24"/>
        </w:rPr>
        <w:t xml:space="preserve">trust </w:t>
      </w:r>
      <w:r w:rsidRPr="00AE3947">
        <w:rPr>
          <w:rFonts w:eastAsia="Times New Roman" w:cs="Times New Roman"/>
          <w:szCs w:val="24"/>
        </w:rPr>
        <w:t xml:space="preserve">claim against the </w:t>
      </w:r>
      <w:r w:rsidR="00CA4D94" w:rsidRPr="00CA4D94">
        <w:rPr>
          <w:rFonts w:eastAsia="Times New Roman" w:cs="Times New Roman"/>
          <w:szCs w:val="24"/>
        </w:rPr>
        <w:t>Non-Produce Seller</w:t>
      </w:r>
      <w:r w:rsidRPr="00AE3947">
        <w:rPr>
          <w:rFonts w:eastAsia="Times New Roman" w:cs="Times New Roman"/>
          <w:szCs w:val="24"/>
        </w:rPr>
        <w:t xml:space="preserve"> </w:t>
      </w:r>
      <w:r w:rsidR="008F6ECD">
        <w:rPr>
          <w:rFonts w:eastAsia="Times New Roman" w:cs="Times New Roman"/>
          <w:szCs w:val="24"/>
        </w:rPr>
        <w:t xml:space="preserve">because </w:t>
      </w:r>
      <w:r w:rsidR="00CA4D94">
        <w:rPr>
          <w:rFonts w:eastAsia="Times New Roman" w:cs="Times New Roman"/>
          <w:szCs w:val="24"/>
        </w:rPr>
        <w:t xml:space="preserve">the </w:t>
      </w:r>
      <w:r w:rsidRPr="00AE3947">
        <w:rPr>
          <w:rFonts w:eastAsia="Times New Roman" w:cs="Times New Roman"/>
          <w:szCs w:val="24"/>
        </w:rPr>
        <w:t xml:space="preserve">course of conduct </w:t>
      </w:r>
      <w:r w:rsidR="00CA4D94">
        <w:rPr>
          <w:rFonts w:eastAsia="Times New Roman" w:cs="Times New Roman"/>
          <w:szCs w:val="24"/>
        </w:rPr>
        <w:t>between the Produce Seller and Buyer</w:t>
      </w:r>
      <w:r w:rsidRPr="00AE3947">
        <w:rPr>
          <w:rFonts w:eastAsia="Times New Roman" w:cs="Times New Roman"/>
          <w:szCs w:val="24"/>
        </w:rPr>
        <w:t xml:space="preserve"> – in particular, their agreement that payments would be applied to the </w:t>
      </w:r>
      <w:r w:rsidR="00CA4D94">
        <w:rPr>
          <w:rFonts w:eastAsia="Times New Roman" w:cs="Times New Roman"/>
          <w:szCs w:val="24"/>
        </w:rPr>
        <w:t xml:space="preserve">aged </w:t>
      </w:r>
      <w:r w:rsidRPr="00AE3947">
        <w:rPr>
          <w:rFonts w:eastAsia="Times New Roman" w:cs="Times New Roman"/>
          <w:szCs w:val="24"/>
        </w:rPr>
        <w:t>invoices – meant that their agreements did not in fact require payment within 30 days</w:t>
      </w:r>
      <w:r w:rsidR="00CA4D94">
        <w:rPr>
          <w:rFonts w:eastAsia="Times New Roman" w:cs="Times New Roman"/>
          <w:szCs w:val="24"/>
        </w:rPr>
        <w:t xml:space="preserve"> and </w:t>
      </w:r>
      <w:r w:rsidRPr="00AE3947">
        <w:rPr>
          <w:rFonts w:eastAsia="Times New Roman" w:cs="Times New Roman"/>
          <w:szCs w:val="24"/>
        </w:rPr>
        <w:t xml:space="preserve">waived </w:t>
      </w:r>
      <w:r w:rsidR="00CA4D94">
        <w:rPr>
          <w:rFonts w:eastAsia="Times New Roman" w:cs="Times New Roman"/>
          <w:szCs w:val="24"/>
        </w:rPr>
        <w:t xml:space="preserve">the Produce Seller’s </w:t>
      </w:r>
      <w:r w:rsidRPr="00AE3947">
        <w:rPr>
          <w:rFonts w:eastAsia="Times New Roman" w:cs="Times New Roman"/>
          <w:szCs w:val="24"/>
        </w:rPr>
        <w:t xml:space="preserve">PACA rights.  </w:t>
      </w:r>
      <w:r w:rsidRPr="00AE3947">
        <w:rPr>
          <w:rFonts w:eastAsia="Times New Roman" w:cs="Times New Roman"/>
          <w:i/>
          <w:szCs w:val="24"/>
        </w:rPr>
        <w:t>Spada Properties, Inc. v. Unified Grocers, Inc.</w:t>
      </w:r>
      <w:r w:rsidRPr="00AE3947">
        <w:rPr>
          <w:rFonts w:eastAsia="Times New Roman" w:cs="Times New Roman"/>
          <w:szCs w:val="24"/>
        </w:rPr>
        <w:t>, 121 F. Supp. 3d 1070 (D. Or. Aug. 6, 2015).</w:t>
      </w:r>
    </w:p>
    <w:p w:rsidR="00F936EF" w:rsidRDefault="00F936EF" w:rsidP="007C704F">
      <w:pPr>
        <w:ind w:left="720" w:firstLine="720"/>
      </w:pPr>
    </w:p>
    <w:p w:rsidR="007C704F" w:rsidRPr="00AE3947" w:rsidRDefault="007C704F" w:rsidP="007C704F">
      <w:pPr>
        <w:ind w:left="1440"/>
        <w:jc w:val="both"/>
        <w:rPr>
          <w:rFonts w:eastAsia="Times New Roman" w:cs="Times New Roman"/>
          <w:szCs w:val="24"/>
        </w:rPr>
      </w:pPr>
      <w:r>
        <w:rPr>
          <w:rFonts w:eastAsia="Times New Roman" w:cs="Times New Roman"/>
          <w:b/>
          <w:szCs w:val="24"/>
        </w:rPr>
        <w:t>v.</w:t>
      </w:r>
      <w:r>
        <w:rPr>
          <w:rFonts w:eastAsia="Times New Roman" w:cs="Times New Roman"/>
          <w:b/>
          <w:szCs w:val="24"/>
        </w:rPr>
        <w:tab/>
      </w:r>
      <w:r w:rsidRPr="003367A3">
        <w:rPr>
          <w:rFonts w:eastAsia="Times New Roman" w:cs="Times New Roman"/>
          <w:b/>
          <w:szCs w:val="24"/>
        </w:rPr>
        <w:t xml:space="preserve">Special PACA counsel </w:t>
      </w:r>
      <w:r w:rsidR="00CA4D94">
        <w:rPr>
          <w:rFonts w:eastAsia="Times New Roman" w:cs="Times New Roman"/>
          <w:b/>
          <w:szCs w:val="24"/>
        </w:rPr>
        <w:t xml:space="preserve">retained to administer claims </w:t>
      </w:r>
      <w:r w:rsidRPr="003367A3">
        <w:rPr>
          <w:rFonts w:eastAsia="Times New Roman" w:cs="Times New Roman"/>
          <w:b/>
          <w:szCs w:val="24"/>
        </w:rPr>
        <w:t xml:space="preserve">cannot be paid </w:t>
      </w:r>
      <w:r w:rsidR="00CA4D94">
        <w:rPr>
          <w:rFonts w:eastAsia="Times New Roman" w:cs="Times New Roman"/>
          <w:b/>
          <w:szCs w:val="24"/>
        </w:rPr>
        <w:t xml:space="preserve">ahead of the </w:t>
      </w:r>
      <w:r w:rsidRPr="003367A3">
        <w:rPr>
          <w:rFonts w:eastAsia="Times New Roman" w:cs="Times New Roman"/>
          <w:b/>
          <w:szCs w:val="24"/>
        </w:rPr>
        <w:t>trust claimants.</w:t>
      </w:r>
      <w:r>
        <w:rPr>
          <w:rFonts w:eastAsia="Times New Roman" w:cs="Times New Roman"/>
          <w:b/>
          <w:szCs w:val="24"/>
        </w:rPr>
        <w:t xml:space="preserve">  </w:t>
      </w:r>
      <w:r w:rsidRPr="00AE3947">
        <w:rPr>
          <w:rFonts w:eastAsia="Times New Roman" w:cs="Times New Roman"/>
          <w:szCs w:val="24"/>
        </w:rPr>
        <w:t xml:space="preserve">Various producers (the “Sellers”) sold produce to Delta Produce, L.P. and Superior Tomato (the “Buyers”) on credit.  The Buyers filed Chapter 11 bankruptcy.  The Sellers filed their respective PACA claims with the bankruptcy court.  The Buyers and some of the Sellers moved to appoint an attorney as special counsel to preserve and collect the PACA trust assets.  The court granted the motion and allowed the special counsel to be paid from the PACA trust funds.  Other trust beneficiary appealed and the </w:t>
      </w:r>
      <w:r w:rsidR="00CA4D94">
        <w:rPr>
          <w:rFonts w:eastAsia="Times New Roman" w:cs="Times New Roman"/>
          <w:szCs w:val="24"/>
        </w:rPr>
        <w:t xml:space="preserve">court </w:t>
      </w:r>
      <w:r w:rsidRPr="00AE3947">
        <w:rPr>
          <w:rFonts w:eastAsia="Times New Roman" w:cs="Times New Roman"/>
          <w:szCs w:val="24"/>
        </w:rPr>
        <w:t xml:space="preserve">vacated the decision.  Special counsel appealed </w:t>
      </w:r>
      <w:r w:rsidR="00CA4D94">
        <w:rPr>
          <w:rFonts w:eastAsia="Times New Roman" w:cs="Times New Roman"/>
          <w:szCs w:val="24"/>
        </w:rPr>
        <w:t xml:space="preserve">on various grounds </w:t>
      </w:r>
      <w:r w:rsidRPr="00AE3947">
        <w:rPr>
          <w:rFonts w:eastAsia="Times New Roman" w:cs="Times New Roman"/>
          <w:szCs w:val="24"/>
        </w:rPr>
        <w:t>and the Fifth Circuit held that</w:t>
      </w:r>
      <w:r w:rsidR="00CA4D94">
        <w:rPr>
          <w:rFonts w:eastAsia="Times New Roman" w:cs="Times New Roman"/>
          <w:szCs w:val="24"/>
        </w:rPr>
        <w:t>:</w:t>
      </w:r>
      <w:r w:rsidRPr="00AE3947">
        <w:rPr>
          <w:rFonts w:eastAsia="Times New Roman" w:cs="Times New Roman"/>
          <w:szCs w:val="24"/>
        </w:rPr>
        <w:t xml:space="preserve"> (1) the </w:t>
      </w:r>
      <w:r w:rsidRPr="00AE3947">
        <w:rPr>
          <w:rFonts w:eastAsia="Times New Roman" w:cs="Times New Roman"/>
          <w:szCs w:val="24"/>
        </w:rPr>
        <w:lastRenderedPageBreak/>
        <w:t xml:space="preserve">bankruptcy court could decide PACA issues with parties’ consent; (2) the bankruptcy court’s interim fee awards in favor of special PACA counsel were not “final orders,” from which appeal would lie as of right; (3) </w:t>
      </w:r>
      <w:r w:rsidR="00CA4D94">
        <w:rPr>
          <w:rFonts w:eastAsia="Times New Roman" w:cs="Times New Roman"/>
          <w:szCs w:val="24"/>
        </w:rPr>
        <w:t xml:space="preserve">the trust </w:t>
      </w:r>
      <w:r w:rsidRPr="00AE3947">
        <w:rPr>
          <w:rFonts w:eastAsia="Times New Roman" w:cs="Times New Roman"/>
          <w:szCs w:val="24"/>
        </w:rPr>
        <w:t xml:space="preserve">beneficiary was not “person aggrieved,” with standing to appeal bankruptcy court’s final fee award, except to extent of that small portion of fee award apportionable to beneficiary’s interest in PACA trust; (4) special PACA counsel was </w:t>
      </w:r>
      <w:r w:rsidR="008F6ECD">
        <w:rPr>
          <w:rFonts w:eastAsia="Times New Roman" w:cs="Times New Roman"/>
          <w:szCs w:val="24"/>
        </w:rPr>
        <w:t xml:space="preserve">the </w:t>
      </w:r>
      <w:r w:rsidRPr="00AE3947">
        <w:rPr>
          <w:rFonts w:eastAsia="Times New Roman" w:cs="Times New Roman"/>
          <w:szCs w:val="24"/>
        </w:rPr>
        <w:t>functional equivalent of PACA trustee</w:t>
      </w:r>
      <w:r w:rsidR="00CA4D94">
        <w:rPr>
          <w:rFonts w:eastAsia="Times New Roman" w:cs="Times New Roman"/>
          <w:szCs w:val="24"/>
        </w:rPr>
        <w:t xml:space="preserve"> and </w:t>
      </w:r>
      <w:r w:rsidRPr="00AE3947">
        <w:rPr>
          <w:rFonts w:eastAsia="Times New Roman" w:cs="Times New Roman"/>
          <w:szCs w:val="24"/>
        </w:rPr>
        <w:t xml:space="preserve">could not be paid from PACA trust assets prior to full payment of sums owing to all trust claimants; and (5) the district court did not abuse its discretion in finding that beneficiary was not estopped from objecting to fee award.  </w:t>
      </w:r>
      <w:r w:rsidRPr="00AE3947">
        <w:rPr>
          <w:rFonts w:eastAsia="Times New Roman" w:cs="Times New Roman"/>
          <w:i/>
          <w:szCs w:val="24"/>
        </w:rPr>
        <w:t>In re Delta Produce, L.P.</w:t>
      </w:r>
      <w:r w:rsidRPr="00AE3947">
        <w:rPr>
          <w:rFonts w:eastAsia="Times New Roman" w:cs="Times New Roman"/>
          <w:szCs w:val="24"/>
        </w:rPr>
        <w:t>, 817 F.3d 141 (5th Cir. 2016).</w:t>
      </w:r>
    </w:p>
    <w:p w:rsidR="007C704F" w:rsidRDefault="007C704F" w:rsidP="009B3BC5">
      <w:pPr>
        <w:ind w:left="720"/>
      </w:pPr>
    </w:p>
    <w:p w:rsidR="009B3BC5" w:rsidRDefault="007C704F" w:rsidP="00043656">
      <w:pPr>
        <w:ind w:left="1440"/>
        <w:jc w:val="both"/>
        <w:rPr>
          <w:rFonts w:eastAsia="Times New Roman" w:cs="Times New Roman"/>
          <w:szCs w:val="24"/>
        </w:rPr>
      </w:pPr>
      <w:r>
        <w:rPr>
          <w:b/>
        </w:rPr>
        <w:t>v</w:t>
      </w:r>
      <w:r w:rsidR="00AE3947">
        <w:rPr>
          <w:b/>
        </w:rPr>
        <w:t>i.</w:t>
      </w:r>
      <w:r w:rsidR="00AE3947">
        <w:rPr>
          <w:b/>
        </w:rPr>
        <w:tab/>
      </w:r>
      <w:r w:rsidR="008A26B6">
        <w:rPr>
          <w:b/>
        </w:rPr>
        <w:t>Statute of Limitations: Apply application state law.</w:t>
      </w:r>
      <w:r w:rsidR="00AE3947">
        <w:rPr>
          <w:b/>
        </w:rPr>
        <w:t xml:space="preserve">  </w:t>
      </w:r>
      <w:r w:rsidR="009B3BC5" w:rsidRPr="00AE3947">
        <w:t xml:space="preserve">Flavor Pic Tomato </w:t>
      </w:r>
      <w:r w:rsidR="00F936EF" w:rsidRPr="00AE3947">
        <w:t xml:space="preserve">(“Seller”) </w:t>
      </w:r>
      <w:r w:rsidR="009B3BC5" w:rsidRPr="00AE3947">
        <w:t xml:space="preserve">sold and delivered produce to </w:t>
      </w:r>
      <w:r w:rsidR="00F936EF" w:rsidRPr="00AE3947">
        <w:t xml:space="preserve">Anthony Gambino dba Creole R&amp;R Flavored Produce (“Buyer”) </w:t>
      </w:r>
      <w:r w:rsidR="009B3BC5" w:rsidRPr="00AE3947">
        <w:t>twelve times over the course of about ten months</w:t>
      </w:r>
      <w:r w:rsidR="00F936EF" w:rsidRPr="00AE3947">
        <w:t xml:space="preserve">.  For each sale the Seller </w:t>
      </w:r>
      <w:r w:rsidR="009B3BC5" w:rsidRPr="00AE3947">
        <w:t>issu</w:t>
      </w:r>
      <w:r w:rsidR="00F936EF" w:rsidRPr="00AE3947">
        <w:t>ed</w:t>
      </w:r>
      <w:r w:rsidR="009B3BC5" w:rsidRPr="00AE3947">
        <w:t xml:space="preserve"> an invoice that provided for 1</w:t>
      </w:r>
      <w:r w:rsidR="00F936EF" w:rsidRPr="00AE3947">
        <w:t xml:space="preserve"> 1/2</w:t>
      </w:r>
      <w:r w:rsidR="009B3BC5" w:rsidRPr="00AE3947">
        <w:t xml:space="preserve"> percent interest each month if the invoice was not paid within ten days</w:t>
      </w:r>
      <w:r w:rsidR="00F936EF" w:rsidRPr="00AE3947">
        <w:t xml:space="preserve">.  Approximately five years after the delivery of the produce the Seller commenced a lawsuit against the Buyer for unpaid invoices.  Seller asserted the following causes of action: (1) enforcement of the PACA trust; (2) violation of PACA for failure to pay promptly; (3) breach of contract; and (4) breach of fiduciary duty.  Buyer argued that the Seller’s </w:t>
      </w:r>
      <w:r w:rsidR="003279D1" w:rsidRPr="00AE3947">
        <w:t>claims were</w:t>
      </w:r>
      <w:r w:rsidR="00F936EF" w:rsidRPr="00AE3947">
        <w:t xml:space="preserve"> time barred.  The Cou</w:t>
      </w:r>
      <w:r w:rsidR="00E175E2">
        <w:t xml:space="preserve">rt disagreed and held that: (1) </w:t>
      </w:r>
      <w:r w:rsidR="00F936EF" w:rsidRPr="00AE3947">
        <w:t>there is no statute of limitations for enforcement of a PACA trust; (2) there is no statute of limitations for failure to pay promptly</w:t>
      </w:r>
      <w:r w:rsidR="00E175E2">
        <w:t xml:space="preserve"> under PACA</w:t>
      </w:r>
      <w:r w:rsidR="00F936EF" w:rsidRPr="00AE3947">
        <w:t xml:space="preserve">; </w:t>
      </w:r>
      <w:r w:rsidR="003279D1" w:rsidRPr="00AE3947">
        <w:t>(3)</w:t>
      </w:r>
      <w:r w:rsidR="00E175E2">
        <w:t xml:space="preserve"> there is no </w:t>
      </w:r>
      <w:r w:rsidR="003279D1" w:rsidRPr="00AE3947">
        <w:t xml:space="preserve">limitation period for breach of contract claims </w:t>
      </w:r>
      <w:r w:rsidR="00E175E2">
        <w:t xml:space="preserve">under PACA but, instead, the court should look to applicable state law; </w:t>
      </w:r>
      <w:r w:rsidR="003279D1" w:rsidRPr="00AE3947">
        <w:t xml:space="preserve">and (4) </w:t>
      </w:r>
      <w:r w:rsidR="00E175E2">
        <w:t xml:space="preserve">there is no </w:t>
      </w:r>
      <w:r w:rsidR="00F936EF" w:rsidRPr="00AE3947">
        <w:t xml:space="preserve">limitation period for breach of fiduciary duty claims </w:t>
      </w:r>
      <w:r w:rsidR="00E175E2">
        <w:t>under PACA but, instead, the court should</w:t>
      </w:r>
      <w:r w:rsidR="00F936EF" w:rsidRPr="00AE3947">
        <w:t xml:space="preserve"> look to applicable state law</w:t>
      </w:r>
      <w:r w:rsidR="00E175E2">
        <w:t>.   U</w:t>
      </w:r>
      <w:r w:rsidR="003279D1" w:rsidRPr="00AE3947">
        <w:t xml:space="preserve">nder </w:t>
      </w:r>
      <w:r w:rsidR="00E175E2">
        <w:t xml:space="preserve">Louisiana law, there is a ten-year breach of contract and </w:t>
      </w:r>
      <w:r w:rsidR="00F936EF" w:rsidRPr="00AE3947">
        <w:t xml:space="preserve">breach of fiduciary duty </w:t>
      </w:r>
      <w:r w:rsidR="00E175E2">
        <w:t xml:space="preserve">statute of limitations and therefore, these respective claims have not extinguished.  </w:t>
      </w:r>
      <w:r w:rsidR="009B3BC5" w:rsidRPr="00AE3947">
        <w:rPr>
          <w:rFonts w:eastAsia="Times New Roman" w:cs="Times New Roman"/>
          <w:i/>
          <w:szCs w:val="24"/>
        </w:rPr>
        <w:t>Flavor-Pic Tomato Co., Inc. v. Gambino</w:t>
      </w:r>
      <w:r w:rsidR="009B3BC5" w:rsidRPr="00AE3947">
        <w:rPr>
          <w:rFonts w:eastAsia="Times New Roman" w:cs="Times New Roman"/>
          <w:szCs w:val="24"/>
        </w:rPr>
        <w:t>, 2016 WL 1268359 (E.D. La. Mar. 31, 2016)</w:t>
      </w:r>
      <w:r w:rsidR="003279D1" w:rsidRPr="00AE3947">
        <w:rPr>
          <w:rFonts w:eastAsia="Times New Roman" w:cs="Times New Roman"/>
          <w:szCs w:val="24"/>
        </w:rPr>
        <w:t>.</w:t>
      </w:r>
    </w:p>
    <w:p w:rsidR="000E1CB3" w:rsidRDefault="000E1CB3" w:rsidP="00ED544E">
      <w:pPr>
        <w:pStyle w:val="ListParagraph"/>
        <w:spacing w:line="240" w:lineRule="auto"/>
        <w:ind w:left="2520"/>
        <w:jc w:val="both"/>
        <w:rPr>
          <w:rFonts w:ascii="Times New Roman" w:hAnsi="Times New Roman" w:cs="Times New Roman"/>
          <w:b/>
          <w:sz w:val="24"/>
          <w:szCs w:val="24"/>
        </w:rPr>
      </w:pPr>
    </w:p>
    <w:p w:rsidR="00B85801" w:rsidRPr="00CF6EF8" w:rsidRDefault="00017026" w:rsidP="00CF6EF8">
      <w:pPr>
        <w:pStyle w:val="ListParagraph"/>
        <w:numPr>
          <w:ilvl w:val="1"/>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Miscellaneous.</w:t>
      </w:r>
    </w:p>
    <w:p w:rsidR="003A47CB" w:rsidRDefault="003A47CB" w:rsidP="003A47CB">
      <w:pPr>
        <w:ind w:left="1440"/>
        <w:jc w:val="both"/>
        <w:rPr>
          <w:rFonts w:cs="Times New Roman"/>
          <w:szCs w:val="24"/>
        </w:rPr>
      </w:pPr>
      <w:r>
        <w:rPr>
          <w:rFonts w:cs="Times New Roman"/>
          <w:szCs w:val="24"/>
        </w:rPr>
        <w:t>No updates.</w:t>
      </w:r>
    </w:p>
    <w:p w:rsidR="003A47CB" w:rsidRPr="00017026" w:rsidRDefault="003A47CB" w:rsidP="00ED544E">
      <w:pPr>
        <w:pStyle w:val="ListParagraph"/>
        <w:spacing w:line="240" w:lineRule="auto"/>
        <w:ind w:left="2520"/>
        <w:jc w:val="both"/>
        <w:rPr>
          <w:rFonts w:ascii="Times New Roman" w:hAnsi="Times New Roman" w:cs="Times New Roman"/>
          <w:b/>
          <w:sz w:val="24"/>
          <w:szCs w:val="24"/>
        </w:rPr>
      </w:pPr>
    </w:p>
    <w:p w:rsidR="00B85801" w:rsidRPr="00242AA3" w:rsidRDefault="00017026" w:rsidP="000D349A">
      <w:pPr>
        <w:pStyle w:val="ListParagraph"/>
        <w:numPr>
          <w:ilvl w:val="0"/>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Enforcement</w:t>
      </w:r>
      <w:r w:rsidR="00B91EE9">
        <w:rPr>
          <w:rFonts w:ascii="Times New Roman" w:hAnsi="Times New Roman" w:cs="Times New Roman"/>
          <w:b/>
          <w:sz w:val="24"/>
          <w:szCs w:val="24"/>
        </w:rPr>
        <w:t>.</w:t>
      </w:r>
    </w:p>
    <w:p w:rsidR="00B85801" w:rsidRPr="00017026" w:rsidRDefault="00B85801" w:rsidP="00ED544E">
      <w:pPr>
        <w:pStyle w:val="ListParagraph"/>
        <w:spacing w:line="240" w:lineRule="auto"/>
        <w:ind w:left="1440"/>
        <w:jc w:val="both"/>
        <w:rPr>
          <w:rFonts w:ascii="Times New Roman" w:hAnsi="Times New Roman" w:cs="Times New Roman"/>
          <w:b/>
          <w:sz w:val="24"/>
          <w:szCs w:val="24"/>
        </w:rPr>
      </w:pPr>
    </w:p>
    <w:p w:rsidR="00017026" w:rsidRDefault="00017026" w:rsidP="000D349A">
      <w:pPr>
        <w:pStyle w:val="ListParagraph"/>
        <w:numPr>
          <w:ilvl w:val="1"/>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Defenses.</w:t>
      </w:r>
    </w:p>
    <w:p w:rsidR="005B1D97" w:rsidRDefault="002869F2" w:rsidP="00CA6BA0">
      <w:pPr>
        <w:ind w:left="1440"/>
        <w:jc w:val="both"/>
        <w:rPr>
          <w:rFonts w:cs="Times New Roman"/>
          <w:szCs w:val="24"/>
        </w:rPr>
      </w:pPr>
      <w:r>
        <w:rPr>
          <w:rFonts w:cs="Times New Roman"/>
          <w:szCs w:val="24"/>
        </w:rPr>
        <w:t>No updates.</w:t>
      </w:r>
    </w:p>
    <w:p w:rsidR="00007AE5" w:rsidRDefault="00007AE5">
      <w:pPr>
        <w:spacing w:after="200" w:line="276" w:lineRule="auto"/>
        <w:rPr>
          <w:rFonts w:cs="Times New Roman"/>
          <w:szCs w:val="24"/>
        </w:rPr>
      </w:pPr>
      <w:r>
        <w:rPr>
          <w:rFonts w:cs="Times New Roman"/>
          <w:szCs w:val="24"/>
        </w:rPr>
        <w:br w:type="page"/>
      </w:r>
    </w:p>
    <w:p w:rsidR="002869F2" w:rsidRPr="00CA6BA0" w:rsidRDefault="002869F2" w:rsidP="00CA6BA0">
      <w:pPr>
        <w:ind w:left="1440"/>
        <w:jc w:val="both"/>
        <w:rPr>
          <w:rFonts w:cs="Times New Roman"/>
          <w:szCs w:val="24"/>
        </w:rPr>
      </w:pPr>
    </w:p>
    <w:p w:rsidR="002869F2" w:rsidRPr="00994965" w:rsidRDefault="003A47CB" w:rsidP="002869F2">
      <w:pPr>
        <w:pStyle w:val="ListParagraph"/>
        <w:numPr>
          <w:ilvl w:val="1"/>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Notice of Liquidation / </w:t>
      </w:r>
      <w:r w:rsidR="00017026" w:rsidRPr="00017026">
        <w:rPr>
          <w:rFonts w:ascii="Times New Roman" w:hAnsi="Times New Roman" w:cs="Times New Roman"/>
          <w:b/>
          <w:sz w:val="24"/>
          <w:szCs w:val="24"/>
        </w:rPr>
        <w:t>Commercially Reasonable Sale.</w:t>
      </w:r>
    </w:p>
    <w:p w:rsidR="003A47CB" w:rsidRPr="00994965" w:rsidRDefault="003A47CB" w:rsidP="003A47CB">
      <w:pPr>
        <w:ind w:left="1440"/>
        <w:jc w:val="both"/>
        <w:rPr>
          <w:rFonts w:eastAsia="Times New Roman" w:cs="Times New Roman"/>
          <w:szCs w:val="24"/>
        </w:rPr>
      </w:pPr>
      <w:r>
        <w:rPr>
          <w:b/>
        </w:rPr>
        <w:t>i.</w:t>
      </w:r>
      <w:r>
        <w:rPr>
          <w:b/>
        </w:rPr>
        <w:tab/>
      </w:r>
      <w:r w:rsidRPr="00504BBE">
        <w:rPr>
          <w:b/>
        </w:rPr>
        <w:t xml:space="preserve">Failure of senior creditor to give notice of liquidation under Revised Article 9 does not harm junior creditor if no resulting value to junior creditor. </w:t>
      </w:r>
      <w:r>
        <w:rPr>
          <w:b/>
        </w:rPr>
        <w:t xml:space="preserve">  </w:t>
      </w:r>
      <w:r w:rsidRPr="002869F2">
        <w:t>Greiner’s Green Acres, Inc. (the “Senior Creditor”) owned certain farm equipment (the “Equipment”).  The Senior Creditor sold the Equipment to James Greiner (the “Debtor”) and, in consideration, the Debtor executed and delivered a promissory note to the Senior Creditor and granted a security interest in the Equipment to secure the debt.</w:t>
      </w:r>
      <w:r w:rsidRPr="002869F2">
        <w:rPr>
          <w:rStyle w:val="FootnoteReference"/>
          <w:vertAlign w:val="superscript"/>
        </w:rPr>
        <w:footnoteReference w:id="2"/>
      </w:r>
      <w:r w:rsidRPr="002869F2">
        <w:t xml:space="preserve">  Subsequently, the Debtor incurred debt with Agri-Science Technologies, LLC (the “Junior Creditor”) and to secure the debt granted the Junior Creditor a security interest in the Equipment.  The Junior Creditor filed a UCC-1 financing statement.  The Debtor defaulted on both loans and voluntarily surrendered the Equipment to the Senior Creditor.  The Senior Creditor accepted the Equipment in satisfaction of the debt under UCC </w:t>
      </w:r>
      <w:r w:rsidRPr="00E175E2">
        <w:t>§</w:t>
      </w:r>
      <w:r>
        <w:t xml:space="preserve"> </w:t>
      </w:r>
      <w:r w:rsidRPr="002869F2">
        <w:t xml:space="preserve">9-620.  In liquidating the Equipment the Senior Creditor </w:t>
      </w:r>
      <w:r>
        <w:t xml:space="preserve">did not </w:t>
      </w:r>
      <w:r w:rsidRPr="002869F2">
        <w:t xml:space="preserve">give </w:t>
      </w:r>
      <w:r>
        <w:t xml:space="preserve">any </w:t>
      </w:r>
      <w:r w:rsidRPr="002869F2">
        <w:t>notice of liquidation to the Junior Creditor.  The Junior Creditor commenced a legal action against the Senior Creditor alleging that the Senior Creditor violated the UCC when it disposed of collateral without notifying the Junior Creditor.</w:t>
      </w:r>
      <w:r w:rsidRPr="002869F2">
        <w:rPr>
          <w:rStyle w:val="FootnoteReference"/>
          <w:vertAlign w:val="superscript"/>
        </w:rPr>
        <w:footnoteReference w:id="3"/>
      </w:r>
      <w:r w:rsidRPr="002869F2">
        <w:t xml:space="preserve">  The </w:t>
      </w:r>
      <w:r>
        <w:t>c</w:t>
      </w:r>
      <w:r w:rsidRPr="002869F2">
        <w:t>ourt disagreed and</w:t>
      </w:r>
      <w:r>
        <w:t>,</w:t>
      </w:r>
      <w:r w:rsidRPr="002869F2">
        <w:t xml:space="preserve"> in granting summary judgment</w:t>
      </w:r>
      <w:r>
        <w:t>,</w:t>
      </w:r>
      <w:r w:rsidRPr="002869F2">
        <w:t xml:space="preserve"> held that by virtue of the voluntary surrender in satisfaction of the debt under UCC </w:t>
      </w:r>
      <w:r w:rsidRPr="00E175E2">
        <w:t>§</w:t>
      </w:r>
      <w:r>
        <w:t xml:space="preserve"> </w:t>
      </w:r>
      <w:r w:rsidRPr="002869F2">
        <w:t xml:space="preserve">9-620 the Junior Creditor’s rights in the Equipment were extinguished.  The Court of Appeals affirmed holding that the Senior Creditor had no obligation to give notice because, by virtue of the voluntary surrender of the Equipment in satisfaction of the Senior Creditor debt, the Junior Creditor no longer had an interest in the collateral.  Furthermore, the failure to </w:t>
      </w:r>
      <w:r>
        <w:t xml:space="preserve">give </w:t>
      </w:r>
      <w:r w:rsidRPr="002869F2">
        <w:t>noti</w:t>
      </w:r>
      <w:r>
        <w:t>ce</w:t>
      </w:r>
      <w:r w:rsidRPr="002869F2">
        <w:t xml:space="preserve"> did not harm the Junior Creditor because: (1) the Junior Creditor had a subordinate interest and (2) </w:t>
      </w:r>
      <w:r>
        <w:t>the sale did not generate a surplus to pay anything to the Junior Creditor.  Therefore t</w:t>
      </w:r>
      <w:r w:rsidRPr="002869F2">
        <w:t xml:space="preserve">he Junior Creditor was not damaged for purposes of UCC </w:t>
      </w:r>
      <w:r w:rsidRPr="00E175E2">
        <w:t>§</w:t>
      </w:r>
      <w:r>
        <w:t xml:space="preserve"> </w:t>
      </w:r>
      <w:r w:rsidRPr="002869F2">
        <w:t xml:space="preserve">9-625.  </w:t>
      </w:r>
      <w:r w:rsidRPr="002869F2">
        <w:rPr>
          <w:rFonts w:eastAsia="Times New Roman" w:cs="Times New Roman"/>
          <w:i/>
          <w:szCs w:val="24"/>
        </w:rPr>
        <w:t>Agri-Sci. Techs., L.L.C. v. Greiner's Green Acres, Inc.</w:t>
      </w:r>
      <w:r w:rsidRPr="002869F2">
        <w:rPr>
          <w:rFonts w:eastAsia="Times New Roman" w:cs="Times New Roman"/>
          <w:szCs w:val="24"/>
        </w:rPr>
        <w:t>, 2016 WL 1072509 (Mich. Ct. App. Mar. 17, 2016).</w:t>
      </w:r>
    </w:p>
    <w:p w:rsidR="003A47CB" w:rsidRDefault="003A47CB" w:rsidP="00994965">
      <w:pPr>
        <w:ind w:left="1440"/>
        <w:jc w:val="both"/>
        <w:rPr>
          <w:rFonts w:eastAsia="Times New Roman" w:cs="Times New Roman"/>
          <w:b/>
          <w:szCs w:val="24"/>
        </w:rPr>
      </w:pPr>
    </w:p>
    <w:p w:rsidR="001B04FA" w:rsidRPr="00994965" w:rsidRDefault="003A47CB" w:rsidP="00994965">
      <w:pPr>
        <w:ind w:left="1440"/>
        <w:jc w:val="both"/>
        <w:rPr>
          <w:rFonts w:eastAsia="Times New Roman" w:cs="Times New Roman"/>
          <w:szCs w:val="24"/>
        </w:rPr>
      </w:pPr>
      <w:r>
        <w:rPr>
          <w:rFonts w:eastAsia="Times New Roman" w:cs="Times New Roman"/>
          <w:b/>
          <w:szCs w:val="24"/>
        </w:rPr>
        <w:t>ii.</w:t>
      </w:r>
      <w:r>
        <w:rPr>
          <w:rFonts w:eastAsia="Times New Roman" w:cs="Times New Roman"/>
          <w:b/>
          <w:szCs w:val="24"/>
        </w:rPr>
        <w:tab/>
      </w:r>
      <w:r w:rsidR="00994965" w:rsidRPr="002F6C06">
        <w:rPr>
          <w:rFonts w:eastAsia="Times New Roman" w:cs="Times New Roman"/>
          <w:b/>
          <w:szCs w:val="24"/>
        </w:rPr>
        <w:t>Article 9 notice of liquidation and requirement of commercial reasonable sale not applicable when collateral voluntarily sold by debtors.</w:t>
      </w:r>
      <w:r w:rsidR="00994965">
        <w:rPr>
          <w:rFonts w:eastAsia="Times New Roman" w:cs="Times New Roman"/>
          <w:b/>
          <w:szCs w:val="24"/>
        </w:rPr>
        <w:t xml:space="preserve">  </w:t>
      </w:r>
      <w:r w:rsidR="00994965" w:rsidRPr="002869F2">
        <w:rPr>
          <w:rFonts w:eastAsia="Times New Roman" w:cs="Times New Roman"/>
          <w:szCs w:val="24"/>
        </w:rPr>
        <w:t xml:space="preserve">Matthew and Susan Knight (the “Debtors”) were indebted to the Bank of McCrory (the “Secured Creditor”).  The debt was secured by a security interest in the crops and farm equipment of the Debtors.  The Debtors defaulted on their loan to the Secured Creditor and the equipment was liquidated.  The Debtors subsequently filed a Chapter 13 bankruptcy.  The Secured Creditor filed a proof of claim (the “Claim”) for the deficiency.  The Debtors objected to the Claim asserting that the sale of collateral was not commercially reasonable because the Secured Creditor did not give Debtors written notice of the auction under UCC </w:t>
      </w:r>
      <w:r w:rsidRPr="003A47CB">
        <w:rPr>
          <w:rFonts w:eastAsia="Times New Roman" w:cs="Times New Roman"/>
          <w:szCs w:val="24"/>
        </w:rPr>
        <w:t>§</w:t>
      </w:r>
      <w:r>
        <w:rPr>
          <w:rFonts w:eastAsia="Times New Roman" w:cs="Times New Roman"/>
          <w:szCs w:val="24"/>
        </w:rPr>
        <w:t xml:space="preserve"> </w:t>
      </w:r>
      <w:r w:rsidR="00994965" w:rsidRPr="002869F2">
        <w:rPr>
          <w:rFonts w:eastAsia="Times New Roman" w:cs="Times New Roman"/>
          <w:szCs w:val="24"/>
        </w:rPr>
        <w:t xml:space="preserve">9-611(d) nor was </w:t>
      </w:r>
      <w:r w:rsidR="00994965" w:rsidRPr="002869F2">
        <w:rPr>
          <w:rFonts w:eastAsia="Times New Roman" w:cs="Times New Roman"/>
          <w:szCs w:val="24"/>
        </w:rPr>
        <w:lastRenderedPageBreak/>
        <w:t>there a waiver of notice by the Debtors</w:t>
      </w:r>
      <w:r>
        <w:rPr>
          <w:rFonts w:eastAsia="Times New Roman" w:cs="Times New Roman"/>
          <w:szCs w:val="24"/>
        </w:rPr>
        <w:t xml:space="preserve">.  </w:t>
      </w:r>
      <w:r w:rsidR="00994965" w:rsidRPr="002869F2">
        <w:rPr>
          <w:rFonts w:eastAsia="Times New Roman" w:cs="Times New Roman"/>
          <w:szCs w:val="24"/>
        </w:rPr>
        <w:t>The Secured Creditor argued that the sale was a voluntary liquidated by the Debtors</w:t>
      </w:r>
      <w:r>
        <w:rPr>
          <w:rFonts w:eastAsia="Times New Roman" w:cs="Times New Roman"/>
          <w:szCs w:val="24"/>
        </w:rPr>
        <w:t xml:space="preserve"> and </w:t>
      </w:r>
      <w:r w:rsidR="008F6ECD">
        <w:rPr>
          <w:rFonts w:eastAsia="Times New Roman" w:cs="Times New Roman"/>
          <w:szCs w:val="24"/>
        </w:rPr>
        <w:t xml:space="preserve">therefore </w:t>
      </w:r>
      <w:r>
        <w:rPr>
          <w:rFonts w:eastAsia="Times New Roman" w:cs="Times New Roman"/>
          <w:szCs w:val="24"/>
        </w:rPr>
        <w:t>the notice of liquidation and commercially reasonable sale requirements did not apply.</w:t>
      </w:r>
      <w:r w:rsidR="00994965" w:rsidRPr="002869F2">
        <w:rPr>
          <w:rFonts w:eastAsia="Times New Roman" w:cs="Times New Roman"/>
          <w:szCs w:val="24"/>
        </w:rPr>
        <w:t xml:space="preserve">  The court agreed and held that the Debtors voluntarily liquidated their collateral and, therefore, the requirements of notice of sale and commercial reasonableness under UCC </w:t>
      </w:r>
      <w:r w:rsidRPr="003A47CB">
        <w:rPr>
          <w:rFonts w:eastAsia="Times New Roman" w:cs="Times New Roman"/>
          <w:szCs w:val="24"/>
        </w:rPr>
        <w:t>§</w:t>
      </w:r>
      <w:r w:rsidR="00994965" w:rsidRPr="002869F2">
        <w:rPr>
          <w:rFonts w:eastAsia="Times New Roman" w:cs="Times New Roman"/>
          <w:szCs w:val="24"/>
        </w:rPr>
        <w:t xml:space="preserve"> 9-610 and UCC </w:t>
      </w:r>
      <w:r w:rsidRPr="003A47CB">
        <w:rPr>
          <w:rFonts w:eastAsia="Times New Roman" w:cs="Times New Roman"/>
          <w:szCs w:val="24"/>
        </w:rPr>
        <w:t>§</w:t>
      </w:r>
      <w:r>
        <w:rPr>
          <w:rFonts w:eastAsia="Times New Roman" w:cs="Times New Roman"/>
          <w:szCs w:val="24"/>
        </w:rPr>
        <w:t xml:space="preserve"> </w:t>
      </w:r>
      <w:r w:rsidR="00994965" w:rsidRPr="002869F2">
        <w:rPr>
          <w:rFonts w:eastAsia="Times New Roman" w:cs="Times New Roman"/>
          <w:szCs w:val="24"/>
        </w:rPr>
        <w:t xml:space="preserve">9-611(d) </w:t>
      </w:r>
      <w:r>
        <w:rPr>
          <w:rFonts w:eastAsia="Times New Roman" w:cs="Times New Roman"/>
          <w:szCs w:val="24"/>
        </w:rPr>
        <w:t>did not apply.</w:t>
      </w:r>
      <w:r w:rsidR="00994965" w:rsidRPr="002869F2">
        <w:rPr>
          <w:rFonts w:eastAsia="Times New Roman" w:cs="Times New Roman"/>
          <w:szCs w:val="24"/>
        </w:rPr>
        <w:t xml:space="preserve">  </w:t>
      </w:r>
      <w:r w:rsidR="00994965" w:rsidRPr="002869F2">
        <w:rPr>
          <w:rFonts w:eastAsia="Times New Roman" w:cs="Times New Roman"/>
          <w:i/>
          <w:szCs w:val="24"/>
        </w:rPr>
        <w:t>In re Knight</w:t>
      </w:r>
      <w:r w:rsidR="00994965" w:rsidRPr="002869F2">
        <w:rPr>
          <w:rFonts w:eastAsia="Times New Roman" w:cs="Times New Roman"/>
          <w:szCs w:val="24"/>
        </w:rPr>
        <w:t>, 544 B.R. 141 (Bankr. E.D. Ark. 2016).</w:t>
      </w:r>
    </w:p>
    <w:p w:rsidR="00994965" w:rsidRDefault="00994965" w:rsidP="00ED544E">
      <w:pPr>
        <w:pStyle w:val="ListParagraph"/>
        <w:spacing w:line="240" w:lineRule="auto"/>
        <w:ind w:left="2520"/>
        <w:jc w:val="both"/>
        <w:rPr>
          <w:rFonts w:ascii="Times New Roman" w:hAnsi="Times New Roman" w:cs="Times New Roman"/>
          <w:b/>
          <w:sz w:val="24"/>
          <w:szCs w:val="24"/>
        </w:rPr>
      </w:pPr>
    </w:p>
    <w:p w:rsidR="005B1D97" w:rsidRDefault="00017026" w:rsidP="005B1D97">
      <w:pPr>
        <w:pStyle w:val="ListParagraph"/>
        <w:numPr>
          <w:ilvl w:val="0"/>
          <w:numId w:val="11"/>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Liabilities</w:t>
      </w:r>
      <w:r w:rsidR="00B91EE9">
        <w:rPr>
          <w:rFonts w:ascii="Times New Roman" w:hAnsi="Times New Roman" w:cs="Times New Roman"/>
          <w:b/>
          <w:sz w:val="24"/>
          <w:szCs w:val="24"/>
        </w:rPr>
        <w:t>.</w:t>
      </w:r>
    </w:p>
    <w:p w:rsidR="005B1D97" w:rsidRDefault="005B1D97" w:rsidP="005B1D97">
      <w:pPr>
        <w:pStyle w:val="ListParagraph"/>
        <w:spacing w:line="240" w:lineRule="auto"/>
        <w:jc w:val="both"/>
        <w:rPr>
          <w:rFonts w:ascii="Times New Roman" w:hAnsi="Times New Roman" w:cs="Times New Roman"/>
          <w:b/>
          <w:sz w:val="24"/>
          <w:szCs w:val="24"/>
        </w:rPr>
      </w:pPr>
    </w:p>
    <w:p w:rsidR="001B04FA" w:rsidRPr="001B04FA" w:rsidRDefault="005B1D97" w:rsidP="005B1D97">
      <w:pPr>
        <w:pStyle w:val="ListParagraph"/>
        <w:spacing w:line="240" w:lineRule="auto"/>
        <w:jc w:val="both"/>
        <w:rPr>
          <w:rFonts w:ascii="Times New Roman" w:hAnsi="Times New Roman" w:cs="Times New Roman"/>
          <w:sz w:val="24"/>
          <w:szCs w:val="24"/>
        </w:rPr>
      </w:pPr>
      <w:r w:rsidRPr="00124976">
        <w:rPr>
          <w:rFonts w:ascii="Times New Roman" w:hAnsi="Times New Roman" w:cs="Times New Roman"/>
          <w:sz w:val="24"/>
          <w:szCs w:val="24"/>
        </w:rPr>
        <w:t>N</w:t>
      </w:r>
      <w:r w:rsidRPr="005B1D97">
        <w:rPr>
          <w:rFonts w:ascii="Times New Roman" w:hAnsi="Times New Roman" w:cs="Times New Roman"/>
          <w:sz w:val="24"/>
          <w:szCs w:val="24"/>
        </w:rPr>
        <w:t xml:space="preserve">o </w:t>
      </w:r>
      <w:r w:rsidR="002869F2">
        <w:rPr>
          <w:rFonts w:ascii="Times New Roman" w:hAnsi="Times New Roman" w:cs="Times New Roman"/>
          <w:sz w:val="24"/>
          <w:szCs w:val="24"/>
        </w:rPr>
        <w:t>updates</w:t>
      </w:r>
      <w:r w:rsidRPr="005B1D97">
        <w:rPr>
          <w:rFonts w:ascii="Times New Roman" w:hAnsi="Times New Roman" w:cs="Times New Roman"/>
          <w:sz w:val="24"/>
          <w:szCs w:val="24"/>
        </w:rPr>
        <w:t>.</w:t>
      </w:r>
    </w:p>
    <w:p w:rsidR="002869F2" w:rsidRDefault="001C25F0" w:rsidP="002869F2">
      <w:pPr>
        <w:rPr>
          <w:rFonts w:cs="Times New Roman"/>
          <w:b/>
          <w:szCs w:val="24"/>
        </w:rPr>
      </w:pPr>
      <w:r w:rsidRPr="00017026">
        <w:rPr>
          <w:rFonts w:cs="Times New Roman"/>
          <w:b/>
          <w:szCs w:val="24"/>
        </w:rPr>
        <w:t>II.</w:t>
      </w:r>
      <w:r w:rsidR="00017026" w:rsidRPr="00017026">
        <w:rPr>
          <w:rFonts w:cs="Times New Roman"/>
          <w:b/>
          <w:szCs w:val="24"/>
        </w:rPr>
        <w:t xml:space="preserve">  </w:t>
      </w:r>
      <w:r w:rsidR="00994965">
        <w:rPr>
          <w:rFonts w:cs="Times New Roman"/>
          <w:b/>
          <w:szCs w:val="24"/>
        </w:rPr>
        <w:t xml:space="preserve">UCC </w:t>
      </w:r>
      <w:r w:rsidRPr="00017026">
        <w:rPr>
          <w:rFonts w:cs="Times New Roman"/>
          <w:b/>
          <w:szCs w:val="24"/>
        </w:rPr>
        <w:t>ARTICLE 2.</w:t>
      </w:r>
    </w:p>
    <w:p w:rsidR="002869F2" w:rsidRDefault="002869F2" w:rsidP="002869F2">
      <w:pPr>
        <w:rPr>
          <w:rFonts w:cs="Times New Roman"/>
          <w:b/>
          <w:szCs w:val="24"/>
        </w:rPr>
      </w:pPr>
    </w:p>
    <w:p w:rsidR="002869F2" w:rsidRPr="002869F2" w:rsidRDefault="002869F2" w:rsidP="002869F2">
      <w:pPr>
        <w:rPr>
          <w:rFonts w:cs="Times New Roman"/>
          <w:b/>
          <w:szCs w:val="24"/>
        </w:rPr>
      </w:pPr>
      <w:r>
        <w:rPr>
          <w:rFonts w:cs="Times New Roman"/>
          <w:b/>
          <w:szCs w:val="24"/>
        </w:rPr>
        <w:t xml:space="preserve">     A.</w:t>
      </w:r>
      <w:r>
        <w:rPr>
          <w:rFonts w:cs="Times New Roman"/>
          <w:b/>
          <w:szCs w:val="24"/>
        </w:rPr>
        <w:tab/>
        <w:t>Warranties.</w:t>
      </w:r>
    </w:p>
    <w:p w:rsidR="002869F2" w:rsidRDefault="002869F2" w:rsidP="002869F2">
      <w:pPr>
        <w:ind w:left="720"/>
        <w:jc w:val="both"/>
        <w:rPr>
          <w:rFonts w:eastAsia="Times New Roman" w:cs="Times New Roman"/>
          <w:b/>
          <w:szCs w:val="24"/>
        </w:rPr>
      </w:pPr>
    </w:p>
    <w:p w:rsidR="007C704F" w:rsidRDefault="007C704F" w:rsidP="002869F2">
      <w:pPr>
        <w:ind w:left="720"/>
        <w:jc w:val="both"/>
        <w:rPr>
          <w:rFonts w:eastAsia="Times New Roman" w:cs="Times New Roman"/>
          <w:b/>
          <w:szCs w:val="24"/>
        </w:rPr>
      </w:pPr>
      <w:r>
        <w:rPr>
          <w:rFonts w:eastAsia="Times New Roman" w:cs="Times New Roman"/>
          <w:b/>
          <w:szCs w:val="24"/>
        </w:rPr>
        <w:t>1</w:t>
      </w:r>
      <w:r w:rsidR="002869F2">
        <w:rPr>
          <w:rFonts w:eastAsia="Times New Roman" w:cs="Times New Roman"/>
          <w:b/>
          <w:szCs w:val="24"/>
        </w:rPr>
        <w:t>.</w:t>
      </w:r>
      <w:r w:rsidR="002869F2">
        <w:rPr>
          <w:rFonts w:eastAsia="Times New Roman" w:cs="Times New Roman"/>
          <w:b/>
          <w:szCs w:val="24"/>
        </w:rPr>
        <w:tab/>
      </w:r>
      <w:r>
        <w:rPr>
          <w:rFonts w:eastAsia="Times New Roman" w:cs="Times New Roman"/>
          <w:b/>
          <w:szCs w:val="24"/>
        </w:rPr>
        <w:t>Scope</w:t>
      </w:r>
      <w:r w:rsidR="004338DA">
        <w:rPr>
          <w:rFonts w:eastAsia="Times New Roman" w:cs="Times New Roman"/>
          <w:b/>
          <w:szCs w:val="24"/>
        </w:rPr>
        <w:t>/Disclaimer</w:t>
      </w:r>
      <w:r>
        <w:rPr>
          <w:rFonts w:eastAsia="Times New Roman" w:cs="Times New Roman"/>
          <w:b/>
          <w:szCs w:val="24"/>
        </w:rPr>
        <w:t xml:space="preserve">.  </w:t>
      </w:r>
    </w:p>
    <w:p w:rsidR="007C704F" w:rsidRDefault="007C704F" w:rsidP="002869F2">
      <w:pPr>
        <w:ind w:left="720"/>
        <w:jc w:val="both"/>
        <w:rPr>
          <w:rFonts w:eastAsia="Times New Roman" w:cs="Times New Roman"/>
          <w:b/>
          <w:szCs w:val="24"/>
        </w:rPr>
      </w:pPr>
    </w:p>
    <w:p w:rsidR="004338DA" w:rsidRDefault="004338DA" w:rsidP="004338DA">
      <w:pPr>
        <w:ind w:left="1440"/>
        <w:jc w:val="both"/>
        <w:rPr>
          <w:rFonts w:eastAsia="Times New Roman" w:cs="Times New Roman"/>
          <w:szCs w:val="24"/>
        </w:rPr>
      </w:pPr>
      <w:r>
        <w:rPr>
          <w:rFonts w:eastAsia="Times New Roman" w:cs="Times New Roman"/>
          <w:b/>
          <w:szCs w:val="24"/>
        </w:rPr>
        <w:t>i.</w:t>
      </w:r>
      <w:r>
        <w:rPr>
          <w:rFonts w:eastAsia="Times New Roman" w:cs="Times New Roman"/>
          <w:b/>
          <w:szCs w:val="24"/>
        </w:rPr>
        <w:tab/>
        <w:t xml:space="preserve">Existence and disclaimer of express warranties is a question of material fact.  </w:t>
      </w:r>
      <w:r w:rsidRPr="00011EEF">
        <w:rPr>
          <w:rFonts w:eastAsia="Times New Roman" w:cs="Times New Roman"/>
          <w:szCs w:val="24"/>
        </w:rPr>
        <w:t>Alejandro Zendejas (the “Buyer”) contracted with a broker and purchased a championship caliber horse from Eugenie Redman (the “Seller”) for $250,000.  The bill of sale stated that the Buyer “agrees to purchase [the horse] as is,” that buyer is not relying on any representation “either oral or written, express or implied” made by the Seller, and the Seller has not made any representations or warranties with r</w:t>
      </w:r>
      <w:r w:rsidR="003A47CB">
        <w:rPr>
          <w:rFonts w:eastAsia="Times New Roman" w:cs="Times New Roman"/>
          <w:szCs w:val="24"/>
        </w:rPr>
        <w:t xml:space="preserve">espect to the horse.  The agent for the Buyer </w:t>
      </w:r>
      <w:r w:rsidRPr="00011EEF">
        <w:rPr>
          <w:rFonts w:eastAsia="Times New Roman" w:cs="Times New Roman"/>
          <w:szCs w:val="24"/>
        </w:rPr>
        <w:t>execute</w:t>
      </w:r>
      <w:r w:rsidR="003A47CB">
        <w:rPr>
          <w:rFonts w:eastAsia="Times New Roman" w:cs="Times New Roman"/>
          <w:szCs w:val="24"/>
        </w:rPr>
        <w:t>d</w:t>
      </w:r>
      <w:r w:rsidRPr="00011EEF">
        <w:rPr>
          <w:rFonts w:eastAsia="Times New Roman" w:cs="Times New Roman"/>
          <w:szCs w:val="24"/>
        </w:rPr>
        <w:t xml:space="preserve"> the bill of sale.  The horse had medical issues and the Buyer demanded that the transaction be rescinded alleging breach of express warranties, breach of implied warranty for a particular purpose and breach of implied warranty of merchantability.  The Seller argued at summary judgment that: (a) the bill of sale foreclosed any claims for breach of express warranties or breach of the implied warranty of merchantability and (b) the Buyer’s claim for breach of an implied warranty of fitness for a particular purpose fails because the Buyer failed to inspect the horse when given the chance and thus waived implied warranty. The court held on summary judgment and that</w:t>
      </w:r>
      <w:r w:rsidR="003A47CB">
        <w:rPr>
          <w:rFonts w:eastAsia="Times New Roman" w:cs="Times New Roman"/>
          <w:szCs w:val="24"/>
        </w:rPr>
        <w:t>:</w:t>
      </w:r>
      <w:r w:rsidRPr="00011EEF">
        <w:rPr>
          <w:rFonts w:eastAsia="Times New Roman" w:cs="Times New Roman"/>
          <w:szCs w:val="24"/>
        </w:rPr>
        <w:t xml:space="preserve"> (a) there is a dispute of material fact as to the validity of the bill of sale (and the existence of the express warranties and implied warranty of merchantability) because of the lack of consent to the terms by the Buyer and (b) even if the Buyer had the chance to examine the horse, it was unclear whether the defects the Buyer complained of should have been revealed to the Buyer in the relevant circumstances.  </w:t>
      </w:r>
      <w:r w:rsidRPr="00011EEF">
        <w:rPr>
          <w:rFonts w:eastAsia="Times New Roman" w:cs="Times New Roman"/>
          <w:i/>
          <w:szCs w:val="24"/>
        </w:rPr>
        <w:t>Zendejas v. Redman</w:t>
      </w:r>
      <w:r w:rsidRPr="00011EEF">
        <w:rPr>
          <w:rFonts w:eastAsia="Times New Roman" w:cs="Times New Roman"/>
          <w:szCs w:val="24"/>
        </w:rPr>
        <w:t>, 2016 WL 1242349 (S.D. Fla. Mar. 30, 2016).</w:t>
      </w:r>
    </w:p>
    <w:p w:rsidR="003A47CB" w:rsidRDefault="003A47CB" w:rsidP="004338DA">
      <w:pPr>
        <w:ind w:left="1440"/>
        <w:jc w:val="both"/>
        <w:rPr>
          <w:rFonts w:eastAsia="Times New Roman" w:cs="Times New Roman"/>
          <w:szCs w:val="24"/>
        </w:rPr>
      </w:pPr>
    </w:p>
    <w:p w:rsidR="003A47CB" w:rsidRPr="003A47CB" w:rsidRDefault="003A47CB" w:rsidP="003A47CB">
      <w:pPr>
        <w:ind w:left="1440"/>
        <w:jc w:val="both"/>
        <w:rPr>
          <w:rFonts w:eastAsia="Times New Roman" w:cs="Times New Roman"/>
          <w:szCs w:val="24"/>
        </w:rPr>
      </w:pPr>
      <w:r>
        <w:rPr>
          <w:rFonts w:eastAsia="Times New Roman" w:cs="Times New Roman"/>
          <w:b/>
          <w:szCs w:val="24"/>
        </w:rPr>
        <w:t>i</w:t>
      </w:r>
      <w:r w:rsidRPr="003A47CB">
        <w:rPr>
          <w:rFonts w:eastAsia="Times New Roman" w:cs="Times New Roman"/>
          <w:b/>
          <w:szCs w:val="24"/>
        </w:rPr>
        <w:t>i.</w:t>
      </w:r>
      <w:r w:rsidRPr="003A47CB">
        <w:rPr>
          <w:rFonts w:eastAsia="Times New Roman" w:cs="Times New Roman"/>
          <w:b/>
          <w:szCs w:val="24"/>
        </w:rPr>
        <w:tab/>
        <w:t xml:space="preserve">Seller statements as to racehorse did not constitute an express warranty.  </w:t>
      </w:r>
      <w:r w:rsidRPr="003A47CB">
        <w:rPr>
          <w:rFonts w:eastAsia="Times New Roman" w:cs="Times New Roman"/>
          <w:szCs w:val="24"/>
        </w:rPr>
        <w:t xml:space="preserve">Gary Biszantz (the “Buyer”) purchased a racehorse from Stephens Thoroughbreds (the “Seller”) for $175,000.  The Buyer later discovered a preexisting medical issue with the racehorse.  The Buyer commenced a legal action against the Seller alleging breach of an express warranty under UCC § 2-313 on the </w:t>
      </w:r>
      <w:r w:rsidRPr="003A47CB">
        <w:rPr>
          <w:rFonts w:eastAsia="Times New Roman" w:cs="Times New Roman"/>
          <w:szCs w:val="24"/>
        </w:rPr>
        <w:lastRenderedPageBreak/>
        <w:t xml:space="preserve">basis that the Seller made promises as to the condition of the racehorse.  The court disagreed and held that statement from the seller that he “liked [the racehorse] a lot,” did not create an express warranty under UCC § 2-313 that the racehorse had no significant problem impacting her ability to train or race.  The statements of the Seller were just sales talk or the Seller’s own expression of opinion rather than a positive affirmation commenting on the horse’s physical condition, ability to race and athletic prowess. </w:t>
      </w:r>
      <w:r w:rsidRPr="003A47CB">
        <w:rPr>
          <w:rFonts w:eastAsia="Times New Roman" w:cs="Times New Roman"/>
          <w:i/>
          <w:szCs w:val="24"/>
        </w:rPr>
        <w:t>Biszantz v. Stephens Thoroughbreds</w:t>
      </w:r>
      <w:r w:rsidRPr="003A47CB">
        <w:rPr>
          <w:rFonts w:eastAsia="Times New Roman" w:cs="Times New Roman"/>
          <w:szCs w:val="24"/>
        </w:rPr>
        <w:t>, 620 Fed. Appx. 535 (6th Cir. 2015).</w:t>
      </w:r>
    </w:p>
    <w:p w:rsidR="004338DA" w:rsidRDefault="004338DA" w:rsidP="007C704F">
      <w:pPr>
        <w:ind w:left="1440"/>
        <w:jc w:val="both"/>
        <w:rPr>
          <w:rFonts w:eastAsia="Times New Roman" w:cs="Times New Roman"/>
          <w:szCs w:val="24"/>
        </w:rPr>
      </w:pPr>
    </w:p>
    <w:p w:rsidR="004338DA" w:rsidRPr="00D01F6E" w:rsidRDefault="004338DA" w:rsidP="004338DA">
      <w:pPr>
        <w:ind w:left="1440"/>
        <w:jc w:val="both"/>
        <w:rPr>
          <w:rFonts w:eastAsia="Times New Roman" w:cs="Times New Roman"/>
          <w:b/>
          <w:szCs w:val="24"/>
        </w:rPr>
      </w:pPr>
      <w:r>
        <w:rPr>
          <w:rFonts w:eastAsia="Times New Roman" w:cs="Times New Roman"/>
          <w:b/>
          <w:szCs w:val="24"/>
        </w:rPr>
        <w:t>iii.</w:t>
      </w:r>
      <w:r>
        <w:rPr>
          <w:rFonts w:eastAsia="Times New Roman" w:cs="Times New Roman"/>
          <w:b/>
          <w:szCs w:val="24"/>
        </w:rPr>
        <w:tab/>
        <w:t xml:space="preserve">Disclaimer of implied warranty of merchantability was not ineffective because of failure to explicitly disclaimer; disclaimer of implied warranty of fitness for a particular purpose was conspicuous and effective.  </w:t>
      </w:r>
      <w:r w:rsidRPr="002869F2">
        <w:rPr>
          <w:rFonts w:eastAsia="Times New Roman" w:cs="Times New Roman"/>
          <w:szCs w:val="24"/>
        </w:rPr>
        <w:t>Timothy and Deanna Rorick (the “Buyers”) purchased an agricultural sprayer (the “Sprayer”) manufactured by HARDI (the “Manufacturer”).  The owner’s manual included a disclaimer of any implied warranties.  The rear wheel axle and wheel assembly of the Sprayer broke.  The Buyers commenced a legal action and asserted a breach of the implied warranties of merchantability and fitness for a particular purpose.  The Manufacturer argued that it properly disclaimed any implied warranties.  The Court held: (1) the warranty disclaimer was ineffective to disclaim the implied warranty of merchantability</w:t>
      </w:r>
      <w:r w:rsidRPr="002869F2">
        <w:t xml:space="preserve"> </w:t>
      </w:r>
      <w:r w:rsidRPr="002869F2">
        <w:rPr>
          <w:rFonts w:eastAsia="Times New Roman" w:cs="Times New Roman"/>
          <w:szCs w:val="24"/>
        </w:rPr>
        <w:t xml:space="preserve">under UCC </w:t>
      </w:r>
      <w:r w:rsidR="003A47CB" w:rsidRPr="003A47CB">
        <w:rPr>
          <w:rFonts w:eastAsia="Times New Roman" w:cs="Times New Roman"/>
          <w:szCs w:val="24"/>
        </w:rPr>
        <w:t>§</w:t>
      </w:r>
      <w:r w:rsidR="003A47CB">
        <w:rPr>
          <w:rFonts w:eastAsia="Times New Roman" w:cs="Times New Roman"/>
          <w:szCs w:val="24"/>
        </w:rPr>
        <w:t xml:space="preserve"> </w:t>
      </w:r>
      <w:r w:rsidRPr="002869F2">
        <w:rPr>
          <w:rFonts w:eastAsia="Times New Roman" w:cs="Times New Roman"/>
          <w:szCs w:val="24"/>
        </w:rPr>
        <w:t xml:space="preserve">2-314(2) because the disclaimer in the manual failed to explicitly disclaim “merchantability”; but (2) </w:t>
      </w:r>
      <w:r w:rsidRPr="002869F2">
        <w:t xml:space="preserve">the disclaimer was </w:t>
      </w:r>
      <w:r w:rsidRPr="002869F2">
        <w:rPr>
          <w:rFonts w:eastAsia="Times New Roman" w:cs="Times New Roman"/>
          <w:szCs w:val="24"/>
        </w:rPr>
        <w:t xml:space="preserve">effective under UCC </w:t>
      </w:r>
      <w:r w:rsidR="003A47CB" w:rsidRPr="003A47CB">
        <w:rPr>
          <w:rFonts w:eastAsia="Times New Roman" w:cs="Times New Roman"/>
          <w:szCs w:val="24"/>
        </w:rPr>
        <w:t>§</w:t>
      </w:r>
      <w:r w:rsidR="003A47CB">
        <w:rPr>
          <w:rFonts w:eastAsia="Times New Roman" w:cs="Times New Roman"/>
          <w:szCs w:val="24"/>
        </w:rPr>
        <w:t xml:space="preserve"> </w:t>
      </w:r>
      <w:r w:rsidRPr="002869F2">
        <w:rPr>
          <w:rFonts w:eastAsia="Times New Roman" w:cs="Times New Roman"/>
          <w:szCs w:val="24"/>
        </w:rPr>
        <w:t xml:space="preserve">2-314 to disclaim the implied warranty of fitness for a particular purpose because although the manual consisted of over one hundred pages the disclaimer was still conspicuous for purposes of UCC </w:t>
      </w:r>
      <w:r w:rsidR="003A47CB" w:rsidRPr="003A47CB">
        <w:rPr>
          <w:rFonts w:eastAsia="Times New Roman" w:cs="Times New Roman"/>
          <w:szCs w:val="24"/>
        </w:rPr>
        <w:t>§</w:t>
      </w:r>
      <w:r w:rsidR="003A47CB">
        <w:rPr>
          <w:rFonts w:eastAsia="Times New Roman" w:cs="Times New Roman"/>
          <w:szCs w:val="24"/>
        </w:rPr>
        <w:t xml:space="preserve"> </w:t>
      </w:r>
      <w:r w:rsidRPr="002869F2">
        <w:rPr>
          <w:rFonts w:eastAsia="Times New Roman" w:cs="Times New Roman"/>
          <w:szCs w:val="24"/>
        </w:rPr>
        <w:t xml:space="preserve">2-201.  </w:t>
      </w:r>
      <w:r w:rsidRPr="002869F2">
        <w:rPr>
          <w:rFonts w:eastAsia="Times New Roman" w:cs="Times New Roman"/>
          <w:i/>
          <w:szCs w:val="24"/>
        </w:rPr>
        <w:t>Rorick v. Hardi N. Am. Inc.</w:t>
      </w:r>
      <w:r w:rsidRPr="002869F2">
        <w:rPr>
          <w:rFonts w:eastAsia="Times New Roman" w:cs="Times New Roman"/>
          <w:szCs w:val="24"/>
        </w:rPr>
        <w:t>, 2016 WL 777575 (N.D. Ind. Feb. 29, 2016).</w:t>
      </w:r>
    </w:p>
    <w:p w:rsidR="004338DA" w:rsidRDefault="004338DA" w:rsidP="002869F2">
      <w:pPr>
        <w:ind w:left="720"/>
        <w:jc w:val="both"/>
        <w:rPr>
          <w:rFonts w:eastAsia="Times New Roman" w:cs="Times New Roman"/>
          <w:b/>
          <w:szCs w:val="24"/>
        </w:rPr>
      </w:pPr>
    </w:p>
    <w:p w:rsidR="007C704F" w:rsidRDefault="004338DA" w:rsidP="002869F2">
      <w:pPr>
        <w:ind w:left="720"/>
        <w:jc w:val="both"/>
        <w:rPr>
          <w:rFonts w:eastAsia="Times New Roman" w:cs="Times New Roman"/>
          <w:b/>
          <w:szCs w:val="24"/>
        </w:rPr>
      </w:pPr>
      <w:r>
        <w:rPr>
          <w:rFonts w:eastAsia="Times New Roman" w:cs="Times New Roman"/>
          <w:b/>
          <w:szCs w:val="24"/>
        </w:rPr>
        <w:t>2.</w:t>
      </w:r>
      <w:r>
        <w:rPr>
          <w:rFonts w:eastAsia="Times New Roman" w:cs="Times New Roman"/>
          <w:b/>
          <w:szCs w:val="24"/>
        </w:rPr>
        <w:tab/>
      </w:r>
      <w:r w:rsidR="007C704F">
        <w:rPr>
          <w:rFonts w:eastAsia="Times New Roman" w:cs="Times New Roman"/>
          <w:b/>
          <w:szCs w:val="24"/>
        </w:rPr>
        <w:t xml:space="preserve">Reasonable Notice of </w:t>
      </w:r>
      <w:r>
        <w:rPr>
          <w:rFonts w:eastAsia="Times New Roman" w:cs="Times New Roman"/>
          <w:b/>
          <w:szCs w:val="24"/>
        </w:rPr>
        <w:t>Claim</w:t>
      </w:r>
      <w:r w:rsidR="007C704F">
        <w:rPr>
          <w:rFonts w:eastAsia="Times New Roman" w:cs="Times New Roman"/>
          <w:b/>
          <w:szCs w:val="24"/>
        </w:rPr>
        <w:t>.</w:t>
      </w:r>
    </w:p>
    <w:p w:rsidR="007C704F" w:rsidRDefault="007C704F" w:rsidP="002869F2">
      <w:pPr>
        <w:ind w:left="720"/>
        <w:jc w:val="both"/>
        <w:rPr>
          <w:rFonts w:eastAsia="Times New Roman" w:cs="Times New Roman"/>
          <w:b/>
          <w:szCs w:val="24"/>
        </w:rPr>
      </w:pPr>
    </w:p>
    <w:p w:rsidR="007C704F" w:rsidRDefault="007C704F" w:rsidP="007C704F">
      <w:pPr>
        <w:ind w:left="1440"/>
        <w:jc w:val="both"/>
        <w:rPr>
          <w:rFonts w:eastAsia="Times New Roman" w:cs="Times New Roman"/>
          <w:szCs w:val="24"/>
        </w:rPr>
      </w:pPr>
      <w:r>
        <w:rPr>
          <w:rFonts w:eastAsia="Times New Roman" w:cs="Times New Roman"/>
          <w:b/>
          <w:szCs w:val="24"/>
        </w:rPr>
        <w:t>i.</w:t>
      </w:r>
      <w:r>
        <w:rPr>
          <w:rFonts w:eastAsia="Times New Roman" w:cs="Times New Roman"/>
          <w:b/>
          <w:szCs w:val="24"/>
        </w:rPr>
        <w:tab/>
      </w:r>
      <w:r w:rsidRPr="00670097">
        <w:rPr>
          <w:rFonts w:eastAsia="Times New Roman" w:cs="Times New Roman"/>
          <w:b/>
          <w:szCs w:val="24"/>
        </w:rPr>
        <w:t>Reasonable notice requirement of implied warranties of merchantability and fitness for a particular purpose.</w:t>
      </w:r>
      <w:r>
        <w:rPr>
          <w:rFonts w:eastAsia="Times New Roman" w:cs="Times New Roman"/>
          <w:b/>
          <w:szCs w:val="24"/>
        </w:rPr>
        <w:t xml:space="preserve">  </w:t>
      </w:r>
      <w:r w:rsidRPr="002869F2">
        <w:rPr>
          <w:rFonts w:eastAsia="Times New Roman" w:cs="Times New Roman"/>
          <w:szCs w:val="24"/>
        </w:rPr>
        <w:t xml:space="preserve">Paul Halderson and others (the “Buyers”) </w:t>
      </w:r>
      <w:r w:rsidR="003A47CB">
        <w:rPr>
          <w:rFonts w:eastAsia="Times New Roman" w:cs="Times New Roman"/>
          <w:szCs w:val="24"/>
        </w:rPr>
        <w:t>were</w:t>
      </w:r>
      <w:r w:rsidRPr="002869F2">
        <w:rPr>
          <w:rFonts w:eastAsia="Times New Roman" w:cs="Times New Roman"/>
          <w:szCs w:val="24"/>
        </w:rPr>
        <w:t xml:space="preserve"> dairy farmers and purchased livestock miner</w:t>
      </w:r>
      <w:r w:rsidR="003A47CB">
        <w:rPr>
          <w:rFonts w:eastAsia="Times New Roman" w:cs="Times New Roman"/>
          <w:szCs w:val="24"/>
        </w:rPr>
        <w:t>als from Star Blends, LLC (the “</w:t>
      </w:r>
      <w:r w:rsidRPr="002869F2">
        <w:rPr>
          <w:rFonts w:eastAsia="Times New Roman" w:cs="Times New Roman"/>
          <w:szCs w:val="24"/>
        </w:rPr>
        <w:t xml:space="preserve">Seller”).  The livestock had declining health and test results showed high levels of heavy metals.  The Buyers contacted the Seller by phone.  Buyer </w:t>
      </w:r>
      <w:r w:rsidR="003A47CB">
        <w:rPr>
          <w:rFonts w:eastAsia="Times New Roman" w:cs="Times New Roman"/>
          <w:szCs w:val="24"/>
        </w:rPr>
        <w:t xml:space="preserve">later </w:t>
      </w:r>
      <w:r w:rsidRPr="002869F2">
        <w:rPr>
          <w:rFonts w:eastAsia="Times New Roman" w:cs="Times New Roman"/>
          <w:szCs w:val="24"/>
        </w:rPr>
        <w:t xml:space="preserve">commenced a legal action against the Seller asserting breach of the implied warranties of merchantability and fitness for a particular purpose under UCC </w:t>
      </w:r>
      <w:r w:rsidR="003A47CB" w:rsidRPr="003A47CB">
        <w:rPr>
          <w:rFonts w:eastAsia="Times New Roman" w:cs="Times New Roman"/>
          <w:szCs w:val="24"/>
        </w:rPr>
        <w:t>§</w:t>
      </w:r>
      <w:r w:rsidR="003A47CB">
        <w:rPr>
          <w:rFonts w:eastAsia="Times New Roman" w:cs="Times New Roman"/>
          <w:szCs w:val="24"/>
        </w:rPr>
        <w:t xml:space="preserve"> </w:t>
      </w:r>
      <w:r w:rsidRPr="002869F2">
        <w:rPr>
          <w:rFonts w:eastAsia="Times New Roman" w:cs="Times New Roman"/>
          <w:szCs w:val="24"/>
        </w:rPr>
        <w:t xml:space="preserve">2-607(3).  At issue was whether the Buyers contact with the Seller constituted reasonable notice.  On summary judgment the Court held that a genuine issue of material fact existed as to whether a Buyers’ telephone call to the Seller, in which the Buyers informed the Seller that necropsies of some of the Buyers’ cows had revealed high concentrations of heavy metals in their tissue, and asking if the Seller had retained any samples of the feed to determine if “there was a problem,” was sufficient to satisfy the reasonable notice requirement under UCC </w:t>
      </w:r>
      <w:r w:rsidR="0035404A" w:rsidRPr="0035404A">
        <w:rPr>
          <w:rFonts w:eastAsia="Times New Roman" w:cs="Times New Roman"/>
          <w:szCs w:val="24"/>
        </w:rPr>
        <w:t>§</w:t>
      </w:r>
      <w:r w:rsidR="0035404A">
        <w:rPr>
          <w:rFonts w:eastAsia="Times New Roman" w:cs="Times New Roman"/>
          <w:szCs w:val="24"/>
        </w:rPr>
        <w:t xml:space="preserve"> </w:t>
      </w:r>
      <w:r w:rsidRPr="002869F2">
        <w:rPr>
          <w:rFonts w:eastAsia="Times New Roman" w:cs="Times New Roman"/>
          <w:szCs w:val="24"/>
        </w:rPr>
        <w:t xml:space="preserve">2-607(3).   </w:t>
      </w:r>
      <w:r w:rsidRPr="002869F2">
        <w:rPr>
          <w:rFonts w:eastAsia="Times New Roman" w:cs="Times New Roman"/>
          <w:i/>
          <w:szCs w:val="24"/>
        </w:rPr>
        <w:t>Halderson v. Star Blends, LLC</w:t>
      </w:r>
      <w:r w:rsidRPr="002869F2">
        <w:rPr>
          <w:rFonts w:eastAsia="Times New Roman" w:cs="Times New Roman"/>
          <w:szCs w:val="24"/>
        </w:rPr>
        <w:t>, 876 N.W.2d 179 (Wis. Ct. App. Jan. 12, 2016).</w:t>
      </w:r>
    </w:p>
    <w:p w:rsidR="004338DA" w:rsidRDefault="004338DA" w:rsidP="007C704F">
      <w:pPr>
        <w:ind w:left="1440"/>
        <w:jc w:val="both"/>
        <w:rPr>
          <w:rFonts w:eastAsia="Times New Roman" w:cs="Times New Roman"/>
          <w:szCs w:val="24"/>
        </w:rPr>
      </w:pPr>
    </w:p>
    <w:p w:rsidR="004338DA" w:rsidRDefault="004338DA" w:rsidP="004338DA">
      <w:pPr>
        <w:ind w:left="1440"/>
        <w:jc w:val="both"/>
        <w:rPr>
          <w:rFonts w:eastAsia="Times New Roman" w:cs="Times New Roman"/>
          <w:szCs w:val="24"/>
        </w:rPr>
      </w:pPr>
      <w:r>
        <w:rPr>
          <w:rFonts w:eastAsia="Times New Roman" w:cs="Times New Roman"/>
          <w:b/>
          <w:szCs w:val="24"/>
        </w:rPr>
        <w:lastRenderedPageBreak/>
        <w:t>ii.</w:t>
      </w:r>
      <w:r>
        <w:rPr>
          <w:rFonts w:eastAsia="Times New Roman" w:cs="Times New Roman"/>
          <w:b/>
          <w:szCs w:val="24"/>
        </w:rPr>
        <w:tab/>
      </w:r>
      <w:r w:rsidRPr="00FF561D">
        <w:rPr>
          <w:rFonts w:eastAsia="Times New Roman" w:cs="Times New Roman"/>
          <w:b/>
          <w:szCs w:val="24"/>
        </w:rPr>
        <w:t>Issue of timely notice is a material fact that precludes summary judgment.</w:t>
      </w:r>
      <w:r>
        <w:rPr>
          <w:rFonts w:eastAsia="Times New Roman" w:cs="Times New Roman"/>
          <w:b/>
          <w:szCs w:val="24"/>
        </w:rPr>
        <w:t xml:space="preserve">  </w:t>
      </w:r>
      <w:r w:rsidRPr="00880E64">
        <w:rPr>
          <w:rFonts w:eastAsia="Times New Roman" w:cs="Times New Roman"/>
          <w:szCs w:val="24"/>
        </w:rPr>
        <w:t xml:space="preserve">Steve and Diane Foley dba Rainbow Creek Farms (the “Buyer”) purchased straw bales from Gro-Green Farms, Inc. (the “Seller”).  The Buyer had a barn fire and made </w:t>
      </w:r>
      <w:r w:rsidR="008F6ECD">
        <w:rPr>
          <w:rFonts w:eastAsia="Times New Roman" w:cs="Times New Roman"/>
          <w:szCs w:val="24"/>
        </w:rPr>
        <w:t xml:space="preserve">a </w:t>
      </w:r>
      <w:r w:rsidRPr="00880E64">
        <w:rPr>
          <w:rFonts w:eastAsia="Times New Roman" w:cs="Times New Roman"/>
          <w:szCs w:val="24"/>
        </w:rPr>
        <w:t xml:space="preserve">claim on their insurance policy with Fremont Insurance Company (the “Insurance Underwriter”).  The Insurance Underwriter asserted that spontaneous combustion caused the fire as a result of </w:t>
      </w:r>
      <w:r w:rsidR="0035404A">
        <w:rPr>
          <w:rFonts w:eastAsia="Times New Roman" w:cs="Times New Roman"/>
          <w:szCs w:val="24"/>
        </w:rPr>
        <w:t xml:space="preserve">the </w:t>
      </w:r>
      <w:r w:rsidRPr="00880E64">
        <w:rPr>
          <w:rFonts w:eastAsia="Times New Roman" w:cs="Times New Roman"/>
          <w:szCs w:val="24"/>
        </w:rPr>
        <w:t>defective wet stra</w:t>
      </w:r>
      <w:r w:rsidR="008F6ECD">
        <w:rPr>
          <w:rFonts w:eastAsia="Times New Roman" w:cs="Times New Roman"/>
          <w:szCs w:val="24"/>
        </w:rPr>
        <w:t>e</w:t>
      </w:r>
      <w:r w:rsidRPr="00880E64">
        <w:rPr>
          <w:rFonts w:eastAsia="Times New Roman" w:cs="Times New Roman"/>
          <w:szCs w:val="24"/>
        </w:rPr>
        <w:t xml:space="preserve"> bales </w:t>
      </w:r>
      <w:r w:rsidR="0035404A">
        <w:rPr>
          <w:rFonts w:eastAsia="Times New Roman" w:cs="Times New Roman"/>
          <w:szCs w:val="24"/>
        </w:rPr>
        <w:t xml:space="preserve">provided by the Seller </w:t>
      </w:r>
      <w:r w:rsidRPr="00880E64">
        <w:rPr>
          <w:rFonts w:eastAsia="Times New Roman" w:cs="Times New Roman"/>
          <w:szCs w:val="24"/>
        </w:rPr>
        <w:t>and</w:t>
      </w:r>
      <w:r w:rsidR="0035404A">
        <w:rPr>
          <w:rFonts w:eastAsia="Times New Roman" w:cs="Times New Roman"/>
          <w:szCs w:val="24"/>
        </w:rPr>
        <w:t>,</w:t>
      </w:r>
      <w:r w:rsidRPr="00880E64">
        <w:rPr>
          <w:rFonts w:eastAsia="Times New Roman" w:cs="Times New Roman"/>
          <w:szCs w:val="24"/>
        </w:rPr>
        <w:t xml:space="preserve"> as a result</w:t>
      </w:r>
      <w:r w:rsidR="0035404A">
        <w:rPr>
          <w:rFonts w:eastAsia="Times New Roman" w:cs="Times New Roman"/>
          <w:szCs w:val="24"/>
        </w:rPr>
        <w:t>,</w:t>
      </w:r>
      <w:r w:rsidRPr="00880E64">
        <w:rPr>
          <w:rFonts w:eastAsia="Times New Roman" w:cs="Times New Roman"/>
          <w:szCs w:val="24"/>
        </w:rPr>
        <w:t xml:space="preserve"> the Seller was liable under tort law or, in the alternative, it breached certain implied warranties under the UCC.  The Seller argued that the economic lose doctrine precluded tort liability and</w:t>
      </w:r>
      <w:r w:rsidR="0035404A">
        <w:rPr>
          <w:rFonts w:eastAsia="Times New Roman" w:cs="Times New Roman"/>
          <w:szCs w:val="24"/>
        </w:rPr>
        <w:t>,</w:t>
      </w:r>
      <w:r w:rsidRPr="00880E64">
        <w:rPr>
          <w:rFonts w:eastAsia="Times New Roman" w:cs="Times New Roman"/>
          <w:szCs w:val="24"/>
        </w:rPr>
        <w:t xml:space="preserve"> as to the implied warranty, the Buyer failed to give notice </w:t>
      </w:r>
      <w:r w:rsidR="0035404A">
        <w:rPr>
          <w:rFonts w:eastAsia="Times New Roman" w:cs="Times New Roman"/>
          <w:szCs w:val="24"/>
        </w:rPr>
        <w:t xml:space="preserve">of the claim </w:t>
      </w:r>
      <w:r w:rsidRPr="00880E64">
        <w:rPr>
          <w:rFonts w:eastAsia="Times New Roman" w:cs="Times New Roman"/>
          <w:szCs w:val="24"/>
        </w:rPr>
        <w:t>within a reasonable time</w:t>
      </w:r>
      <w:r w:rsidRPr="00880E64">
        <w:t xml:space="preserve"> </w:t>
      </w:r>
      <w:r w:rsidRPr="00880E64">
        <w:rPr>
          <w:rFonts w:eastAsia="Times New Roman" w:cs="Times New Roman"/>
          <w:szCs w:val="24"/>
        </w:rPr>
        <w:t xml:space="preserve">under UCC </w:t>
      </w:r>
      <w:r w:rsidR="0035404A" w:rsidRPr="0035404A">
        <w:rPr>
          <w:rFonts w:eastAsia="Times New Roman" w:cs="Times New Roman"/>
          <w:szCs w:val="24"/>
        </w:rPr>
        <w:t>§</w:t>
      </w:r>
      <w:r w:rsidR="0035404A">
        <w:rPr>
          <w:rFonts w:eastAsia="Times New Roman" w:cs="Times New Roman"/>
          <w:szCs w:val="24"/>
        </w:rPr>
        <w:t xml:space="preserve"> </w:t>
      </w:r>
      <w:r w:rsidRPr="00880E64">
        <w:rPr>
          <w:rFonts w:eastAsia="Times New Roman" w:cs="Times New Roman"/>
          <w:szCs w:val="24"/>
        </w:rPr>
        <w:t xml:space="preserve">2-607(3).  Just over two weeks passed between delivery </w:t>
      </w:r>
      <w:r w:rsidR="0035404A">
        <w:rPr>
          <w:rFonts w:eastAsia="Times New Roman" w:cs="Times New Roman"/>
          <w:szCs w:val="24"/>
        </w:rPr>
        <w:t xml:space="preserve">of the straw </w:t>
      </w:r>
      <w:r w:rsidRPr="00880E64">
        <w:rPr>
          <w:rFonts w:eastAsia="Times New Roman" w:cs="Times New Roman"/>
          <w:szCs w:val="24"/>
        </w:rPr>
        <w:t xml:space="preserve">and </w:t>
      </w:r>
      <w:r w:rsidR="0035404A">
        <w:rPr>
          <w:rFonts w:eastAsia="Times New Roman" w:cs="Times New Roman"/>
          <w:szCs w:val="24"/>
        </w:rPr>
        <w:t>the Buyers</w:t>
      </w:r>
      <w:r w:rsidRPr="00880E64">
        <w:rPr>
          <w:rFonts w:eastAsia="Times New Roman" w:cs="Times New Roman"/>
          <w:szCs w:val="24"/>
        </w:rPr>
        <w:t xml:space="preserve"> notifying </w:t>
      </w:r>
      <w:r w:rsidR="0035404A">
        <w:rPr>
          <w:rFonts w:eastAsia="Times New Roman" w:cs="Times New Roman"/>
          <w:szCs w:val="24"/>
        </w:rPr>
        <w:t xml:space="preserve">the Seller </w:t>
      </w:r>
      <w:r w:rsidRPr="00880E64">
        <w:rPr>
          <w:rFonts w:eastAsia="Times New Roman" w:cs="Times New Roman"/>
          <w:szCs w:val="24"/>
        </w:rPr>
        <w:t xml:space="preserve">of the alleged breach, whereas just over one week passed between Buyer noticing the wet straw and the notification of the breach. The Court held on summary judgment that the economic lose doctrine did preclude tort liability, but that a material fact existed as to whether the Buyer responded timely after discovering the wet bales and reported the damage caused by the fire.  Given the short amount of time that passed, the nature of the goods in question, and the large amount of product delivered, the court did not agree that Buyers’ notice was unreasonable as a matter of law.  </w:t>
      </w:r>
      <w:r w:rsidRPr="00880E64">
        <w:rPr>
          <w:rFonts w:eastAsia="Times New Roman" w:cs="Times New Roman"/>
          <w:i/>
          <w:szCs w:val="24"/>
        </w:rPr>
        <w:t>Fremont Ins. Co. v. Gro-Green Farms, Inc.</w:t>
      </w:r>
      <w:r w:rsidRPr="00880E64">
        <w:rPr>
          <w:rFonts w:eastAsia="Times New Roman" w:cs="Times New Roman"/>
          <w:szCs w:val="24"/>
        </w:rPr>
        <w:t>, 2016 WL 1072191 (Mich. Ct. App. Mar. 17, 2016).</w:t>
      </w:r>
    </w:p>
    <w:p w:rsidR="007C704F" w:rsidRDefault="007C704F" w:rsidP="007C704F">
      <w:pPr>
        <w:ind w:left="1440"/>
        <w:jc w:val="both"/>
        <w:rPr>
          <w:rFonts w:eastAsia="Times New Roman" w:cs="Times New Roman"/>
          <w:szCs w:val="24"/>
        </w:rPr>
      </w:pPr>
    </w:p>
    <w:p w:rsidR="004338DA" w:rsidRPr="004338DA" w:rsidRDefault="004338DA" w:rsidP="004338DA">
      <w:pPr>
        <w:ind w:left="720"/>
        <w:jc w:val="both"/>
        <w:rPr>
          <w:rFonts w:eastAsia="Times New Roman" w:cs="Times New Roman"/>
          <w:b/>
          <w:szCs w:val="24"/>
        </w:rPr>
      </w:pPr>
      <w:r>
        <w:rPr>
          <w:rFonts w:eastAsia="Times New Roman" w:cs="Times New Roman"/>
          <w:b/>
          <w:szCs w:val="24"/>
        </w:rPr>
        <w:t>3</w:t>
      </w:r>
      <w:r w:rsidRPr="004338DA">
        <w:rPr>
          <w:rFonts w:eastAsia="Times New Roman" w:cs="Times New Roman"/>
          <w:b/>
          <w:szCs w:val="24"/>
        </w:rPr>
        <w:t>.</w:t>
      </w:r>
      <w:r w:rsidRPr="004338DA">
        <w:rPr>
          <w:rFonts w:eastAsia="Times New Roman" w:cs="Times New Roman"/>
          <w:b/>
          <w:szCs w:val="24"/>
        </w:rPr>
        <w:tab/>
        <w:t>Statute of Limitations.</w:t>
      </w:r>
    </w:p>
    <w:p w:rsidR="007C704F" w:rsidRDefault="007C704F" w:rsidP="002869F2">
      <w:pPr>
        <w:ind w:left="720"/>
        <w:jc w:val="both"/>
        <w:rPr>
          <w:rFonts w:eastAsia="Times New Roman" w:cs="Times New Roman"/>
          <w:b/>
          <w:szCs w:val="24"/>
        </w:rPr>
      </w:pPr>
    </w:p>
    <w:p w:rsidR="001E1F5F" w:rsidRDefault="005108E4" w:rsidP="004338DA">
      <w:pPr>
        <w:ind w:left="1440"/>
        <w:jc w:val="both"/>
        <w:rPr>
          <w:rFonts w:eastAsia="Times New Roman" w:cs="Times New Roman"/>
          <w:szCs w:val="24"/>
        </w:rPr>
      </w:pPr>
      <w:r>
        <w:rPr>
          <w:rFonts w:eastAsia="Times New Roman" w:cs="Times New Roman"/>
          <w:b/>
          <w:szCs w:val="24"/>
        </w:rPr>
        <w:t>Four year statute of limitations for breach of implied warranties of merchantability and fitness for a particular purpose claim.</w:t>
      </w:r>
      <w:r w:rsidR="002869F2">
        <w:rPr>
          <w:rFonts w:eastAsia="Times New Roman" w:cs="Times New Roman"/>
          <w:b/>
          <w:szCs w:val="24"/>
        </w:rPr>
        <w:t xml:space="preserve">  </w:t>
      </w:r>
      <w:r w:rsidR="00610AB7" w:rsidRPr="002869F2">
        <w:rPr>
          <w:rFonts w:eastAsia="Times New Roman" w:cs="Times New Roman"/>
          <w:szCs w:val="24"/>
        </w:rPr>
        <w:t xml:space="preserve">DeYoung Farmland (the “Producer”) contracted with Farmer Boy Ag Systems, Inc. (the “Contractor”) to build a hog barn using building trusses manufactured and supplied by Borkholder </w:t>
      </w:r>
      <w:r w:rsidRPr="002869F2">
        <w:rPr>
          <w:rFonts w:eastAsia="Times New Roman" w:cs="Times New Roman"/>
          <w:szCs w:val="24"/>
        </w:rPr>
        <w:t>Buildi</w:t>
      </w:r>
      <w:r w:rsidR="00610AB7" w:rsidRPr="002869F2">
        <w:rPr>
          <w:rFonts w:eastAsia="Times New Roman" w:cs="Times New Roman"/>
          <w:szCs w:val="24"/>
        </w:rPr>
        <w:t>n</w:t>
      </w:r>
      <w:r w:rsidRPr="002869F2">
        <w:rPr>
          <w:rFonts w:eastAsia="Times New Roman" w:cs="Times New Roman"/>
          <w:szCs w:val="24"/>
        </w:rPr>
        <w:t>g</w:t>
      </w:r>
      <w:r w:rsidR="00610AB7" w:rsidRPr="002869F2">
        <w:rPr>
          <w:rFonts w:eastAsia="Times New Roman" w:cs="Times New Roman"/>
          <w:szCs w:val="24"/>
        </w:rPr>
        <w:t xml:space="preserve"> &amp; Supply, LLC (</w:t>
      </w:r>
      <w:r w:rsidR="0035404A">
        <w:rPr>
          <w:rFonts w:eastAsia="Times New Roman" w:cs="Times New Roman"/>
          <w:szCs w:val="24"/>
        </w:rPr>
        <w:t xml:space="preserve">the </w:t>
      </w:r>
      <w:r w:rsidR="00610AB7" w:rsidRPr="002869F2">
        <w:rPr>
          <w:rFonts w:eastAsia="Times New Roman" w:cs="Times New Roman"/>
          <w:szCs w:val="24"/>
        </w:rPr>
        <w:t xml:space="preserve">“Manufacturer”).  The building trusses </w:t>
      </w:r>
      <w:r w:rsidR="0035404A">
        <w:rPr>
          <w:rFonts w:eastAsia="Times New Roman" w:cs="Times New Roman"/>
          <w:szCs w:val="24"/>
        </w:rPr>
        <w:t xml:space="preserve">later </w:t>
      </w:r>
      <w:r w:rsidR="00610AB7" w:rsidRPr="002869F2">
        <w:rPr>
          <w:rFonts w:eastAsia="Times New Roman" w:cs="Times New Roman"/>
          <w:szCs w:val="24"/>
        </w:rPr>
        <w:t xml:space="preserve">failed and the hog barn roof collapsed.  A claim was filed on the Producer’s Farm Bureau Insurance Company of Michigan (the “Insurance Underwriter”) policy.  The Insurance Underwriter paid on the claim and became subrogated to the rights of the Producer.  The Insurance Underwriter commenced a legal action against the Manufacturer </w:t>
      </w:r>
      <w:r w:rsidRPr="002869F2">
        <w:rPr>
          <w:rFonts w:eastAsia="Times New Roman" w:cs="Times New Roman"/>
          <w:szCs w:val="24"/>
        </w:rPr>
        <w:t xml:space="preserve">and asserted both a tort and commercial contract breach of </w:t>
      </w:r>
      <w:r w:rsidR="00610AB7" w:rsidRPr="002869F2">
        <w:rPr>
          <w:rFonts w:eastAsia="Times New Roman" w:cs="Times New Roman"/>
          <w:szCs w:val="24"/>
        </w:rPr>
        <w:t xml:space="preserve">the </w:t>
      </w:r>
      <w:r w:rsidRPr="002869F2">
        <w:rPr>
          <w:rFonts w:eastAsia="Times New Roman" w:cs="Times New Roman"/>
          <w:szCs w:val="24"/>
        </w:rPr>
        <w:t xml:space="preserve">implied warranties of merchantability and fitness for a particular purpose claim under UCC </w:t>
      </w:r>
      <w:r w:rsidR="0035404A" w:rsidRPr="0035404A">
        <w:rPr>
          <w:rFonts w:eastAsia="Times New Roman" w:cs="Times New Roman"/>
          <w:szCs w:val="24"/>
        </w:rPr>
        <w:t>§</w:t>
      </w:r>
      <w:r w:rsidR="0035404A">
        <w:rPr>
          <w:rFonts w:eastAsia="Times New Roman" w:cs="Times New Roman"/>
          <w:szCs w:val="24"/>
        </w:rPr>
        <w:t xml:space="preserve"> </w:t>
      </w:r>
      <w:r w:rsidRPr="002869F2">
        <w:rPr>
          <w:rFonts w:eastAsia="Times New Roman" w:cs="Times New Roman"/>
          <w:szCs w:val="24"/>
        </w:rPr>
        <w:t xml:space="preserve">2-314.  The Manufacturer argued and the Court agreed that the economic loss doctrine precluded the tort claim </w:t>
      </w:r>
      <w:r w:rsidR="0035404A">
        <w:rPr>
          <w:rFonts w:eastAsia="Times New Roman" w:cs="Times New Roman"/>
          <w:szCs w:val="24"/>
        </w:rPr>
        <w:t>because the dama</w:t>
      </w:r>
      <w:r w:rsidR="001E1F5F" w:rsidRPr="002869F2">
        <w:rPr>
          <w:rFonts w:eastAsia="Times New Roman" w:cs="Times New Roman"/>
          <w:szCs w:val="24"/>
        </w:rPr>
        <w:t>ges were sustain</w:t>
      </w:r>
      <w:r w:rsidR="0035404A">
        <w:rPr>
          <w:rFonts w:eastAsia="Times New Roman" w:cs="Times New Roman"/>
          <w:szCs w:val="24"/>
        </w:rPr>
        <w:t xml:space="preserve">ed by a commercial business (hog </w:t>
      </w:r>
      <w:r w:rsidR="001E1F5F" w:rsidRPr="002869F2">
        <w:rPr>
          <w:rFonts w:eastAsia="Times New Roman" w:cs="Times New Roman"/>
          <w:szCs w:val="24"/>
        </w:rPr>
        <w:t>farming)</w:t>
      </w:r>
      <w:r w:rsidR="0035404A">
        <w:rPr>
          <w:rFonts w:eastAsia="Times New Roman" w:cs="Times New Roman"/>
          <w:szCs w:val="24"/>
        </w:rPr>
        <w:t xml:space="preserve">, </w:t>
      </w:r>
      <w:r w:rsidR="001E1F5F" w:rsidRPr="002869F2">
        <w:rPr>
          <w:rFonts w:eastAsia="Times New Roman" w:cs="Times New Roman"/>
          <w:szCs w:val="24"/>
        </w:rPr>
        <w:t xml:space="preserve">the product at issue was purchased for commercial purposes (construction of </w:t>
      </w:r>
      <w:r w:rsidR="0035404A">
        <w:rPr>
          <w:rFonts w:eastAsia="Times New Roman" w:cs="Times New Roman"/>
          <w:szCs w:val="24"/>
        </w:rPr>
        <w:t xml:space="preserve">the hog building), and </w:t>
      </w:r>
      <w:r w:rsidR="001E1F5F" w:rsidRPr="002869F2">
        <w:rPr>
          <w:rFonts w:eastAsia="Times New Roman" w:cs="Times New Roman"/>
          <w:szCs w:val="24"/>
        </w:rPr>
        <w:t>the losses are economic in nature</w:t>
      </w:r>
      <w:r w:rsidR="0035404A">
        <w:rPr>
          <w:rFonts w:eastAsia="Times New Roman" w:cs="Times New Roman"/>
          <w:szCs w:val="24"/>
        </w:rPr>
        <w:t>.  The court further held that t</w:t>
      </w:r>
      <w:r w:rsidR="001E1F5F" w:rsidRPr="002869F2">
        <w:rPr>
          <w:rFonts w:eastAsia="Times New Roman" w:cs="Times New Roman"/>
          <w:szCs w:val="24"/>
        </w:rPr>
        <w:t>he UCC provides the exclusive remedy, including its f</w:t>
      </w:r>
      <w:r w:rsidRPr="002869F2">
        <w:rPr>
          <w:rFonts w:eastAsia="Times New Roman" w:cs="Times New Roman"/>
          <w:szCs w:val="24"/>
        </w:rPr>
        <w:t xml:space="preserve">our-year statute of limitations and, therefore, the claim was time barred.  </w:t>
      </w:r>
      <w:r w:rsidR="001E1F5F" w:rsidRPr="002869F2">
        <w:rPr>
          <w:rFonts w:eastAsia="Times New Roman" w:cs="Times New Roman"/>
          <w:i/>
          <w:szCs w:val="24"/>
        </w:rPr>
        <w:t>Farm Bureau Mut. Ins. Co. of Michigan v. Borkholder Buildings &amp; Supply, LLC</w:t>
      </w:r>
      <w:r w:rsidR="001E1F5F" w:rsidRPr="002869F2">
        <w:rPr>
          <w:rFonts w:eastAsia="Times New Roman" w:cs="Times New Roman"/>
          <w:szCs w:val="24"/>
        </w:rPr>
        <w:t>, 2015 WL 5682729 (W.D. Mich. Sept. 25, 2015)</w:t>
      </w:r>
      <w:r w:rsidRPr="002869F2">
        <w:rPr>
          <w:rFonts w:eastAsia="Times New Roman" w:cs="Times New Roman"/>
          <w:szCs w:val="24"/>
        </w:rPr>
        <w:t>.</w:t>
      </w:r>
    </w:p>
    <w:p w:rsidR="000E1CB3" w:rsidRDefault="000E1CB3" w:rsidP="00ED544E">
      <w:pPr>
        <w:rPr>
          <w:rFonts w:cs="Times New Roman"/>
          <w:b/>
          <w:szCs w:val="24"/>
        </w:rPr>
      </w:pPr>
    </w:p>
    <w:p w:rsidR="005B1D97" w:rsidRDefault="00017026" w:rsidP="005B1D97">
      <w:pPr>
        <w:rPr>
          <w:rFonts w:cs="Times New Roman"/>
          <w:b/>
          <w:szCs w:val="24"/>
        </w:rPr>
      </w:pPr>
      <w:r w:rsidRPr="00017026">
        <w:rPr>
          <w:rFonts w:cs="Times New Roman"/>
          <w:b/>
          <w:szCs w:val="24"/>
        </w:rPr>
        <w:t xml:space="preserve">III.  </w:t>
      </w:r>
      <w:r w:rsidR="00043656">
        <w:rPr>
          <w:rFonts w:cs="Times New Roman"/>
          <w:b/>
          <w:szCs w:val="24"/>
        </w:rPr>
        <w:tab/>
      </w:r>
      <w:r w:rsidR="00994965">
        <w:rPr>
          <w:rFonts w:cs="Times New Roman"/>
          <w:b/>
          <w:szCs w:val="24"/>
        </w:rPr>
        <w:t xml:space="preserve">UCC </w:t>
      </w:r>
      <w:r w:rsidR="001C25F0" w:rsidRPr="00017026">
        <w:rPr>
          <w:rFonts w:cs="Times New Roman"/>
          <w:b/>
          <w:szCs w:val="24"/>
        </w:rPr>
        <w:t>ARTICLE 1.</w:t>
      </w:r>
    </w:p>
    <w:p w:rsidR="005B1D97" w:rsidRDefault="005B1D97" w:rsidP="005B1D97">
      <w:pPr>
        <w:rPr>
          <w:rFonts w:cs="Times New Roman"/>
          <w:b/>
          <w:szCs w:val="24"/>
        </w:rPr>
      </w:pPr>
    </w:p>
    <w:p w:rsidR="002869F2" w:rsidRDefault="002869F2" w:rsidP="002869F2">
      <w:pPr>
        <w:ind w:left="720"/>
      </w:pPr>
      <w:r>
        <w:rPr>
          <w:rFonts w:cs="Times New Roman"/>
          <w:b/>
          <w:szCs w:val="24"/>
        </w:rPr>
        <w:lastRenderedPageBreak/>
        <w:t>1.</w:t>
      </w:r>
      <w:r>
        <w:rPr>
          <w:rFonts w:cs="Times New Roman"/>
          <w:b/>
          <w:szCs w:val="24"/>
        </w:rPr>
        <w:tab/>
        <w:t>Lease distinguished from s</w:t>
      </w:r>
      <w:r w:rsidRPr="008F62FD">
        <w:rPr>
          <w:rFonts w:cs="Times New Roman"/>
          <w:b/>
          <w:szCs w:val="24"/>
        </w:rPr>
        <w:t>ecur</w:t>
      </w:r>
      <w:r>
        <w:rPr>
          <w:rFonts w:cs="Times New Roman"/>
          <w:b/>
          <w:szCs w:val="24"/>
        </w:rPr>
        <w:t xml:space="preserve">ity interest.  </w:t>
      </w:r>
    </w:p>
    <w:p w:rsidR="002869F2" w:rsidRDefault="002869F2" w:rsidP="002869F2">
      <w:pPr>
        <w:ind w:left="2160"/>
        <w:jc w:val="both"/>
      </w:pPr>
    </w:p>
    <w:p w:rsidR="002869F2" w:rsidRPr="002869F2" w:rsidRDefault="002869F2" w:rsidP="002869F2">
      <w:pPr>
        <w:ind w:left="1440"/>
        <w:jc w:val="both"/>
      </w:pPr>
      <w:r w:rsidRPr="0089590B">
        <w:rPr>
          <w:b/>
        </w:rPr>
        <w:t>The Lessor has the factual burden to prove that the replacement cows were purchased from the sale of leased cows for the Lessor to retain an ownership interest in the replacement cows.</w:t>
      </w:r>
      <w:r>
        <w:rPr>
          <w:b/>
        </w:rPr>
        <w:t xml:space="preserve">  </w:t>
      </w:r>
      <w:r w:rsidRPr="002869F2">
        <w:t xml:space="preserve">The debtor Lee Purdy (“Debtor”) was indebted to Citizens First Bank (“Secured Creditor”) and the indebtedness was secured by a security interest in </w:t>
      </w:r>
      <w:r w:rsidR="0035404A">
        <w:t xml:space="preserve">the </w:t>
      </w:r>
      <w:r w:rsidRPr="002869F2">
        <w:t xml:space="preserve">livestock of the Debtor.  The Debtor entered into lease agreements with Sunshine Heifers (“Lessor”) for certain dairy cattle.  The Debtor filed a Chapter 12 bankruptcy and asserts that the leases were not true leases but, instead, a disguised security interests.  The </w:t>
      </w:r>
      <w:r w:rsidR="0035404A">
        <w:t>bankruptcy c</w:t>
      </w:r>
      <w:r w:rsidRPr="002869F2">
        <w:t>ourt agreed and held that the economic life of the dairy cattle fell below the term of the leases and therefore the leases were not true lease</w:t>
      </w:r>
      <w:r w:rsidR="008F6ECD">
        <w:t>s</w:t>
      </w:r>
      <w:r w:rsidRPr="002869F2">
        <w:t>.  The Court found that likely within 36 month</w:t>
      </w:r>
      <w:r w:rsidR="008F6ECD">
        <w:t>s</w:t>
      </w:r>
      <w:r w:rsidRPr="002869F2">
        <w:t xml:space="preserve">, but certainly within 50 months, dairy cows are culled.  Sunshine appealed and the District Court affirmed.  </w:t>
      </w:r>
      <w:r w:rsidRPr="002869F2">
        <w:rPr>
          <w:i/>
        </w:rPr>
        <w:t>Sunshine Heifers, LLC v. Purdy</w:t>
      </w:r>
      <w:r w:rsidRPr="002869F2">
        <w:t xml:space="preserve">, 2013 U.S. Dist. LEXIS 137361 (W.D. Ky. Sept. 25, 2013).  On appeal, the Sixth Circuit </w:t>
      </w:r>
      <w:r w:rsidR="0035404A">
        <w:t xml:space="preserve">reversed and </w:t>
      </w:r>
      <w:r w:rsidRPr="002869F2">
        <w:t xml:space="preserve">held that the leases required that the lessor cull and replace the leased cows and, therefore, the applicable economic life determination is that of the herd and not the original leased dairy cows.  The Sixth Circuit held “it is clear to us that the relevant ‘good’ is the herd of cattle, which has an economic life far greater than the lease term, and not the individual cows originally placed on Purdy's farm. Accordingly, we hold that the contracts flunk the Bright-Line Test and are not </w:t>
      </w:r>
      <w:r w:rsidRPr="0035404A">
        <w:rPr>
          <w:i/>
        </w:rPr>
        <w:t>per se</w:t>
      </w:r>
      <w:r w:rsidRPr="002869F2">
        <w:t xml:space="preserve"> security agreements.”  The Court remanded back for a determination as to what leasehold interest the Lessor had in the remaining dairy cows and young stock in the possession of the Debtor.  </w:t>
      </w:r>
      <w:r w:rsidRPr="002869F2">
        <w:rPr>
          <w:i/>
        </w:rPr>
        <w:t>Sunshine Heifers, LLC v. Citizens First Bank (In re Purdy)</w:t>
      </w:r>
      <w:r w:rsidRPr="002869F2">
        <w:t xml:space="preserve">, 763 F.3d 513 (6th Cir. Aug. 14, 2014).  On remand the </w:t>
      </w:r>
      <w:r w:rsidR="0035404A">
        <w:t>c</w:t>
      </w:r>
      <w:r w:rsidRPr="002869F2">
        <w:t>ourt held that the Lessor could not prove that the cattle were his property because: (i) the Debtor used one bank account to conduct its dairy operations, commingling proceeds of owned cattle with proceeds of leased cattle, and then using those commingled proceeds to acquire replacements for leased cattle culled from the herd; (ii) the Lessor knew that the Debtor was not complying with the terms of the lease obligating the Debtor to notify the Lessor of any sales and remit the proceeds to the Lessor; (iii) the Lessor paid for the cattle after they were delivered to the Debtor; and (iv) the Debtor put the Lessor’s brand on cattle regardless of whether the cattle were acquired with funds from the commingled account or from suppliers paid by the Lessor.  In contrast, the Secured Creditor’s security interest in the Debtor’s existing and after-acquired cattle attach</w:t>
      </w:r>
      <w:r w:rsidR="0035404A">
        <w:t>ed</w:t>
      </w:r>
      <w:r w:rsidRPr="002869F2">
        <w:t xml:space="preserve"> to all </w:t>
      </w:r>
      <w:r w:rsidR="0035404A">
        <w:t xml:space="preserve">of </w:t>
      </w:r>
      <w:r w:rsidRPr="002869F2">
        <w:t xml:space="preserve">the cattle. Consequently, </w:t>
      </w:r>
      <w:r w:rsidR="0035404A">
        <w:t xml:space="preserve">the court held that </w:t>
      </w:r>
      <w:r w:rsidRPr="002869F2">
        <w:t xml:space="preserve">the Secured Creditor, not the Lessor, was entitled to the proceeds of the cattle.  </w:t>
      </w:r>
      <w:r w:rsidRPr="002869F2">
        <w:rPr>
          <w:i/>
        </w:rPr>
        <w:t>In re Purdy</w:t>
      </w:r>
      <w:r w:rsidRPr="002869F2">
        <w:t>, 2015 WL 5176580 (Bankr W.D. Ky. 2015)</w:t>
      </w:r>
      <w:r w:rsidR="00842233">
        <w:t>.</w:t>
      </w:r>
    </w:p>
    <w:p w:rsidR="002869F2" w:rsidRPr="002869F2" w:rsidRDefault="002869F2" w:rsidP="002869F2">
      <w:pPr>
        <w:ind w:left="1440"/>
        <w:jc w:val="both"/>
      </w:pPr>
    </w:p>
    <w:p w:rsidR="002869F2" w:rsidRPr="002869F2" w:rsidRDefault="002869F2" w:rsidP="002869F2">
      <w:pPr>
        <w:ind w:left="1440"/>
        <w:jc w:val="both"/>
      </w:pPr>
      <w:r w:rsidRPr="002869F2">
        <w:rPr>
          <w:i/>
        </w:rPr>
        <w:t>Comment.</w:t>
      </w:r>
      <w:r w:rsidRPr="002869F2">
        <w:t xml:space="preserve">  The Sixth Circuit decision implies that any “good” that the lessee is contractually obligated to replace is not subject to the economic life analysis.  The Sixth Circuit went as far as to state “</w:t>
      </w:r>
      <w:r w:rsidRPr="002869F2">
        <w:rPr>
          <w:u w:val="single"/>
        </w:rPr>
        <w:t>whether the parties adhered to the terms of these leases in all facets, in our view, is irrelevant</w:t>
      </w:r>
      <w:r w:rsidRPr="002869F2">
        <w:t xml:space="preserve"> to determining whether the agreements were true leases or disguised security agreements.”  For drafting </w:t>
      </w:r>
      <w:r w:rsidRPr="002869F2">
        <w:lastRenderedPageBreak/>
        <w:t xml:space="preserve">purposes, any lease for personal property should include a replacement provision to avoid a later economic life analysis.  </w:t>
      </w:r>
    </w:p>
    <w:p w:rsidR="002869F2" w:rsidRPr="002869F2" w:rsidRDefault="002869F2" w:rsidP="002869F2">
      <w:pPr>
        <w:ind w:left="1440"/>
        <w:jc w:val="both"/>
      </w:pPr>
    </w:p>
    <w:p w:rsidR="002869F2" w:rsidRPr="002869F2" w:rsidRDefault="002869F2" w:rsidP="002869F2">
      <w:pPr>
        <w:ind w:left="1440"/>
        <w:jc w:val="both"/>
      </w:pPr>
      <w:r w:rsidRPr="0035404A">
        <w:rPr>
          <w:i/>
        </w:rPr>
        <w:t>Comment.</w:t>
      </w:r>
      <w:r w:rsidRPr="002869F2">
        <w:t xml:space="preserve">  </w:t>
      </w:r>
      <w:r w:rsidRPr="0035404A">
        <w:rPr>
          <w:i/>
        </w:rPr>
        <w:t>See also Sunshine Heifers, LLC v. Moohaven Dairy, LLC</w:t>
      </w:r>
      <w:r w:rsidRPr="002869F2">
        <w:t>, 2014 U.S. Dist. LEXIS 52294 (E.D. Mich. Apr. 16, 2014) (The economic life of a dairy cow is more than 48 months and, therefore, the 48 month lease for dairy cows is a true lease)</w:t>
      </w:r>
      <w:r w:rsidR="0035404A">
        <w:t>.</w:t>
      </w:r>
    </w:p>
    <w:p w:rsidR="00B85801" w:rsidRPr="00017026" w:rsidRDefault="00B85801" w:rsidP="00ED544E">
      <w:pPr>
        <w:rPr>
          <w:rFonts w:cs="Times New Roman"/>
          <w:b/>
          <w:szCs w:val="24"/>
        </w:rPr>
      </w:pPr>
    </w:p>
    <w:p w:rsidR="001C25F0" w:rsidRDefault="001C25F0" w:rsidP="00ED544E">
      <w:pPr>
        <w:jc w:val="both"/>
        <w:rPr>
          <w:rFonts w:cs="Times New Roman"/>
          <w:b/>
          <w:szCs w:val="24"/>
        </w:rPr>
      </w:pPr>
      <w:r w:rsidRPr="00017026">
        <w:rPr>
          <w:rFonts w:cs="Times New Roman"/>
          <w:b/>
          <w:szCs w:val="24"/>
        </w:rPr>
        <w:t>IV.</w:t>
      </w:r>
      <w:r w:rsidR="00017026" w:rsidRPr="00017026">
        <w:rPr>
          <w:rFonts w:cs="Times New Roman"/>
          <w:b/>
          <w:szCs w:val="24"/>
        </w:rPr>
        <w:t xml:space="preserve">  </w:t>
      </w:r>
      <w:r w:rsidRPr="00017026">
        <w:rPr>
          <w:rFonts w:cs="Times New Roman"/>
          <w:b/>
          <w:szCs w:val="24"/>
        </w:rPr>
        <w:t>OTHER STATE LAW.</w:t>
      </w:r>
    </w:p>
    <w:p w:rsidR="00B85801" w:rsidRPr="00017026" w:rsidRDefault="00B85801" w:rsidP="00ED544E">
      <w:pPr>
        <w:jc w:val="both"/>
        <w:rPr>
          <w:rFonts w:cs="Times New Roman"/>
          <w:b/>
          <w:szCs w:val="24"/>
        </w:rPr>
      </w:pPr>
    </w:p>
    <w:p w:rsidR="005B1D97" w:rsidRDefault="00017026" w:rsidP="005B1D97">
      <w:pPr>
        <w:pStyle w:val="ListParagraph"/>
        <w:numPr>
          <w:ilvl w:val="0"/>
          <w:numId w:val="14"/>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Fraudulent Transfer</w:t>
      </w:r>
      <w:r w:rsidR="000D349A">
        <w:rPr>
          <w:rFonts w:ascii="Times New Roman" w:hAnsi="Times New Roman" w:cs="Times New Roman"/>
          <w:b/>
          <w:sz w:val="24"/>
          <w:szCs w:val="24"/>
        </w:rPr>
        <w:t>s</w:t>
      </w:r>
      <w:r w:rsidRPr="00017026">
        <w:rPr>
          <w:rFonts w:ascii="Times New Roman" w:hAnsi="Times New Roman" w:cs="Times New Roman"/>
          <w:b/>
          <w:sz w:val="24"/>
          <w:szCs w:val="24"/>
        </w:rPr>
        <w:t>.</w:t>
      </w:r>
    </w:p>
    <w:p w:rsidR="009B3BC5" w:rsidRPr="00043656" w:rsidRDefault="0034023B" w:rsidP="00043656">
      <w:pPr>
        <w:ind w:left="720"/>
        <w:jc w:val="both"/>
        <w:rPr>
          <w:rFonts w:eastAsia="Times New Roman" w:cs="Times New Roman"/>
          <w:b/>
          <w:szCs w:val="24"/>
        </w:rPr>
      </w:pPr>
      <w:r w:rsidRPr="0034023B">
        <w:rPr>
          <w:rFonts w:eastAsia="Times New Roman" w:cs="Times New Roman"/>
          <w:b/>
          <w:szCs w:val="24"/>
        </w:rPr>
        <w:t xml:space="preserve">Evidentiary burden on creditor to show </w:t>
      </w:r>
      <w:r w:rsidR="00D84D55">
        <w:rPr>
          <w:rFonts w:eastAsia="Times New Roman" w:cs="Times New Roman"/>
          <w:b/>
          <w:szCs w:val="24"/>
        </w:rPr>
        <w:t>“</w:t>
      </w:r>
      <w:r w:rsidRPr="0034023B">
        <w:rPr>
          <w:rFonts w:eastAsia="Times New Roman" w:cs="Times New Roman"/>
          <w:b/>
          <w:szCs w:val="24"/>
        </w:rPr>
        <w:t>alter ego</w:t>
      </w:r>
      <w:r w:rsidR="00D84D55">
        <w:rPr>
          <w:rFonts w:eastAsia="Times New Roman" w:cs="Times New Roman"/>
          <w:b/>
          <w:szCs w:val="24"/>
        </w:rPr>
        <w:t>”</w:t>
      </w:r>
      <w:r w:rsidRPr="0034023B">
        <w:rPr>
          <w:rFonts w:eastAsia="Times New Roman" w:cs="Times New Roman"/>
          <w:b/>
          <w:szCs w:val="24"/>
        </w:rPr>
        <w:t xml:space="preserve"> and actual fraud.</w:t>
      </w:r>
      <w:r w:rsidR="002869F2">
        <w:rPr>
          <w:rFonts w:eastAsia="Times New Roman" w:cs="Times New Roman"/>
          <w:b/>
          <w:szCs w:val="24"/>
        </w:rPr>
        <w:t xml:space="preserve">  </w:t>
      </w:r>
      <w:r w:rsidR="00D13F2E" w:rsidRPr="002869F2">
        <w:rPr>
          <w:rFonts w:eastAsia="Times New Roman" w:cs="Times New Roman"/>
          <w:szCs w:val="24"/>
        </w:rPr>
        <w:t xml:space="preserve">Roger Jones (the “Father”) was indebted to TransPecos Banks (the “Secured Creditor”) under various loans.  The debts were secured by 220 acres of farmland (the “Farmland”) owned by Jodi Strobach (the “Daughter”).  </w:t>
      </w:r>
      <w:r w:rsidR="008F6ECD">
        <w:rPr>
          <w:rFonts w:eastAsia="Times New Roman" w:cs="Times New Roman"/>
          <w:szCs w:val="24"/>
        </w:rPr>
        <w:t>T</w:t>
      </w:r>
      <w:r w:rsidR="00D13F2E" w:rsidRPr="002869F2">
        <w:rPr>
          <w:rFonts w:eastAsia="Times New Roman" w:cs="Times New Roman"/>
          <w:szCs w:val="24"/>
        </w:rPr>
        <w:t xml:space="preserve">o refinance the debt, the Daughter formed a corporation (the “Corporation”) and deeded the mortgaged Farmland to the Corporation.  The Secured Creditor made new loans to the Father and Corporation which continued to be secured by the Farmland.  The Corporation failed to make payment and the Secured Creditor commenced a legal action.  The Secured Creditor alleged the Daughter </w:t>
      </w:r>
      <w:r w:rsidR="00DD4BD8" w:rsidRPr="002869F2">
        <w:rPr>
          <w:rFonts w:eastAsia="Times New Roman" w:cs="Times New Roman"/>
          <w:szCs w:val="24"/>
        </w:rPr>
        <w:t xml:space="preserve">was personally liable </w:t>
      </w:r>
      <w:r w:rsidR="00D13F2E" w:rsidRPr="002869F2">
        <w:rPr>
          <w:rFonts w:eastAsia="Times New Roman" w:cs="Times New Roman"/>
          <w:szCs w:val="24"/>
        </w:rPr>
        <w:t xml:space="preserve">to the Secured Creditor as the “alter ego” of the Corporation; in that the Daughter disregarded the corporate formalities and used the Corporation for her </w:t>
      </w:r>
      <w:r w:rsidRPr="002869F2">
        <w:rPr>
          <w:rFonts w:eastAsia="Times New Roman" w:cs="Times New Roman"/>
          <w:szCs w:val="24"/>
        </w:rPr>
        <w:t>personal use.</w:t>
      </w:r>
      <w:r w:rsidR="00D13F2E" w:rsidRPr="002869F2">
        <w:rPr>
          <w:rFonts w:eastAsia="Times New Roman" w:cs="Times New Roman"/>
          <w:szCs w:val="24"/>
        </w:rPr>
        <w:t xml:space="preserve">  The court disagreed and held that </w:t>
      </w:r>
      <w:r w:rsidR="00DD4BD8" w:rsidRPr="002869F2">
        <w:rPr>
          <w:rFonts w:eastAsia="Times New Roman" w:cs="Times New Roman"/>
          <w:szCs w:val="24"/>
        </w:rPr>
        <w:t xml:space="preserve">the </w:t>
      </w:r>
      <w:r w:rsidR="00D13F2E" w:rsidRPr="002869F2">
        <w:rPr>
          <w:rFonts w:eastAsia="Times New Roman" w:cs="Times New Roman"/>
          <w:szCs w:val="24"/>
        </w:rPr>
        <w:t xml:space="preserve">Secured Creditor </w:t>
      </w:r>
      <w:r w:rsidR="00DD4BD8" w:rsidRPr="002869F2">
        <w:rPr>
          <w:rFonts w:eastAsia="Times New Roman" w:cs="Times New Roman"/>
          <w:szCs w:val="24"/>
        </w:rPr>
        <w:t xml:space="preserve">failed to </w:t>
      </w:r>
      <w:r w:rsidR="00D84D55">
        <w:rPr>
          <w:rFonts w:eastAsia="Times New Roman" w:cs="Times New Roman"/>
          <w:szCs w:val="24"/>
        </w:rPr>
        <w:t xml:space="preserve">assert that the </w:t>
      </w:r>
      <w:r w:rsidR="00D13F2E" w:rsidRPr="002869F2">
        <w:rPr>
          <w:rFonts w:eastAsia="Times New Roman" w:cs="Times New Roman"/>
          <w:szCs w:val="24"/>
        </w:rPr>
        <w:t xml:space="preserve">Daughter </w:t>
      </w:r>
      <w:r w:rsidR="00DD4BD8" w:rsidRPr="002869F2">
        <w:rPr>
          <w:rFonts w:eastAsia="Times New Roman" w:cs="Times New Roman"/>
          <w:szCs w:val="24"/>
        </w:rPr>
        <w:t>committed actual fraud when she obtained th</w:t>
      </w:r>
      <w:r w:rsidR="00D13F2E" w:rsidRPr="002869F2">
        <w:rPr>
          <w:rFonts w:eastAsia="Times New Roman" w:cs="Times New Roman"/>
          <w:szCs w:val="24"/>
        </w:rPr>
        <w:t>e loan on the C</w:t>
      </w:r>
      <w:r w:rsidR="00DD4BD8" w:rsidRPr="002869F2">
        <w:rPr>
          <w:rFonts w:eastAsia="Times New Roman" w:cs="Times New Roman"/>
          <w:szCs w:val="24"/>
        </w:rPr>
        <w:t>orporation’</w:t>
      </w:r>
      <w:r w:rsidRPr="002869F2">
        <w:rPr>
          <w:rFonts w:eastAsia="Times New Roman" w:cs="Times New Roman"/>
          <w:szCs w:val="24"/>
        </w:rPr>
        <w:t>s</w:t>
      </w:r>
      <w:r w:rsidR="00DD4BD8" w:rsidRPr="002869F2">
        <w:rPr>
          <w:rFonts w:eastAsia="Times New Roman" w:cs="Times New Roman"/>
          <w:szCs w:val="24"/>
        </w:rPr>
        <w:t xml:space="preserve"> behalf</w:t>
      </w:r>
      <w:r w:rsidR="00D84D55">
        <w:rPr>
          <w:rFonts w:eastAsia="Times New Roman" w:cs="Times New Roman"/>
          <w:szCs w:val="24"/>
        </w:rPr>
        <w:t xml:space="preserve"> and therefore </w:t>
      </w:r>
      <w:r w:rsidR="008F6ECD">
        <w:rPr>
          <w:rFonts w:eastAsia="Times New Roman" w:cs="Times New Roman"/>
          <w:szCs w:val="24"/>
        </w:rPr>
        <w:t xml:space="preserve">the Secured Creditor </w:t>
      </w:r>
      <w:r w:rsidR="00D84D55">
        <w:rPr>
          <w:rFonts w:eastAsia="Times New Roman" w:cs="Times New Roman"/>
          <w:szCs w:val="24"/>
        </w:rPr>
        <w:t>was precluded from asserting</w:t>
      </w:r>
      <w:r w:rsidR="008F6ECD">
        <w:rPr>
          <w:rFonts w:eastAsia="Times New Roman" w:cs="Times New Roman"/>
          <w:szCs w:val="24"/>
        </w:rPr>
        <w:t xml:space="preserve"> the claim</w:t>
      </w:r>
      <w:r w:rsidR="00DD4BD8" w:rsidRPr="002869F2">
        <w:rPr>
          <w:rFonts w:eastAsia="Times New Roman" w:cs="Times New Roman"/>
          <w:szCs w:val="24"/>
        </w:rPr>
        <w:t xml:space="preserve">. </w:t>
      </w:r>
      <w:r w:rsidR="00D13F2E" w:rsidRPr="002869F2">
        <w:rPr>
          <w:rFonts w:eastAsia="Times New Roman" w:cs="Times New Roman"/>
          <w:szCs w:val="24"/>
        </w:rPr>
        <w:t xml:space="preserve"> </w:t>
      </w:r>
      <w:r w:rsidR="00DD4BD8" w:rsidRPr="002869F2">
        <w:rPr>
          <w:rFonts w:eastAsia="Times New Roman" w:cs="Times New Roman"/>
          <w:i/>
          <w:szCs w:val="24"/>
        </w:rPr>
        <w:t>TransPecos Banks v. Strobach</w:t>
      </w:r>
      <w:r w:rsidR="00DD4BD8" w:rsidRPr="002869F2">
        <w:rPr>
          <w:rFonts w:eastAsia="Times New Roman" w:cs="Times New Roman"/>
          <w:szCs w:val="24"/>
        </w:rPr>
        <w:t>, 487 S.W.3d 722 (Tex. Ct. App. March 23, 2016)</w:t>
      </w:r>
      <w:r w:rsidR="00D13F2E" w:rsidRPr="002869F2">
        <w:rPr>
          <w:rFonts w:eastAsia="Times New Roman" w:cs="Times New Roman"/>
          <w:szCs w:val="24"/>
        </w:rPr>
        <w:t>.</w:t>
      </w:r>
    </w:p>
    <w:p w:rsidR="00B85801" w:rsidRPr="00017026" w:rsidRDefault="00B85801" w:rsidP="00ED544E">
      <w:pPr>
        <w:pStyle w:val="ListParagraph"/>
        <w:spacing w:line="240" w:lineRule="auto"/>
        <w:jc w:val="both"/>
        <w:rPr>
          <w:rFonts w:ascii="Times New Roman" w:hAnsi="Times New Roman" w:cs="Times New Roman"/>
          <w:b/>
          <w:sz w:val="24"/>
          <w:szCs w:val="24"/>
        </w:rPr>
      </w:pPr>
    </w:p>
    <w:p w:rsidR="00017026" w:rsidRDefault="00017026" w:rsidP="00ED544E">
      <w:pPr>
        <w:pStyle w:val="ListParagraph"/>
        <w:numPr>
          <w:ilvl w:val="0"/>
          <w:numId w:val="14"/>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Exemptions.</w:t>
      </w:r>
    </w:p>
    <w:p w:rsidR="00DD4BD8" w:rsidRDefault="00880E64" w:rsidP="002869F2">
      <w:pPr>
        <w:ind w:left="720"/>
        <w:jc w:val="both"/>
        <w:rPr>
          <w:rFonts w:eastAsia="Times New Roman" w:cs="Times New Roman"/>
          <w:szCs w:val="24"/>
        </w:rPr>
      </w:pPr>
      <w:r>
        <w:rPr>
          <w:rFonts w:eastAsia="Times New Roman" w:cs="Times New Roman"/>
          <w:b/>
          <w:szCs w:val="24"/>
        </w:rPr>
        <w:t>1</w:t>
      </w:r>
      <w:r w:rsidR="002869F2">
        <w:rPr>
          <w:rFonts w:eastAsia="Times New Roman" w:cs="Times New Roman"/>
          <w:b/>
          <w:szCs w:val="24"/>
        </w:rPr>
        <w:t>.</w:t>
      </w:r>
      <w:r w:rsidR="002869F2">
        <w:rPr>
          <w:rFonts w:eastAsia="Times New Roman" w:cs="Times New Roman"/>
          <w:b/>
          <w:szCs w:val="24"/>
        </w:rPr>
        <w:tab/>
      </w:r>
      <w:r w:rsidR="003714E4">
        <w:rPr>
          <w:rFonts w:eastAsia="Times New Roman" w:cs="Times New Roman"/>
          <w:b/>
          <w:szCs w:val="24"/>
        </w:rPr>
        <w:t>Leased greenhouse can constitute an exempt homestead for purposes of the Vermont homestead exemption.</w:t>
      </w:r>
      <w:r w:rsidR="002869F2">
        <w:rPr>
          <w:rFonts w:eastAsia="Times New Roman" w:cs="Times New Roman"/>
          <w:b/>
          <w:szCs w:val="24"/>
        </w:rPr>
        <w:t xml:space="preserve">  </w:t>
      </w:r>
      <w:r w:rsidR="003714E4" w:rsidRPr="002869F2">
        <w:rPr>
          <w:rFonts w:eastAsia="Times New Roman" w:cs="Times New Roman"/>
          <w:szCs w:val="24"/>
        </w:rPr>
        <w:t>Richard Rommer (the “Debtor”) filed a Chapter 7 bankruptcy and moved to avoid certain liens on a 3.69 acre parcel that contained his home, a garage and a greenhouse on the basis that the property was his exempt homestead under Vermont law.  A j</w:t>
      </w:r>
      <w:r w:rsidR="00DD4BD8" w:rsidRPr="002869F2">
        <w:rPr>
          <w:rFonts w:eastAsia="Times New Roman" w:cs="Times New Roman"/>
          <w:szCs w:val="24"/>
        </w:rPr>
        <w:t xml:space="preserve">udgment lien </w:t>
      </w:r>
      <w:r w:rsidR="003714E4" w:rsidRPr="002869F2">
        <w:rPr>
          <w:rFonts w:eastAsia="Times New Roman" w:cs="Times New Roman"/>
          <w:szCs w:val="24"/>
        </w:rPr>
        <w:t xml:space="preserve">creditor </w:t>
      </w:r>
      <w:r w:rsidR="00DD4BD8" w:rsidRPr="002869F2">
        <w:rPr>
          <w:rFonts w:eastAsia="Times New Roman" w:cs="Times New Roman"/>
          <w:szCs w:val="24"/>
        </w:rPr>
        <w:t xml:space="preserve">and </w:t>
      </w:r>
      <w:r w:rsidR="003714E4" w:rsidRPr="002869F2">
        <w:rPr>
          <w:rFonts w:eastAsia="Times New Roman" w:cs="Times New Roman"/>
          <w:szCs w:val="24"/>
        </w:rPr>
        <w:t xml:space="preserve">the </w:t>
      </w:r>
      <w:r w:rsidR="00DD4BD8" w:rsidRPr="002869F2">
        <w:rPr>
          <w:rFonts w:eastAsia="Times New Roman" w:cs="Times New Roman"/>
          <w:szCs w:val="24"/>
        </w:rPr>
        <w:t>trustee objected arguing that t</w:t>
      </w:r>
      <w:r w:rsidR="003714E4" w:rsidRPr="002869F2">
        <w:rPr>
          <w:rFonts w:eastAsia="Times New Roman" w:cs="Times New Roman"/>
          <w:szCs w:val="24"/>
        </w:rPr>
        <w:t xml:space="preserve">he greenhouse was leased to a third party to </w:t>
      </w:r>
      <w:r w:rsidR="00DD4BD8" w:rsidRPr="002869F2">
        <w:rPr>
          <w:rFonts w:eastAsia="Times New Roman" w:cs="Times New Roman"/>
          <w:szCs w:val="24"/>
        </w:rPr>
        <w:t xml:space="preserve">operate a wheatgrass business </w:t>
      </w:r>
      <w:r w:rsidR="003714E4" w:rsidRPr="002869F2">
        <w:rPr>
          <w:rFonts w:eastAsia="Times New Roman" w:cs="Times New Roman"/>
          <w:szCs w:val="24"/>
        </w:rPr>
        <w:t xml:space="preserve">and, therefore, </w:t>
      </w:r>
      <w:r w:rsidR="00DD4BD8" w:rsidRPr="002869F2">
        <w:rPr>
          <w:rFonts w:eastAsia="Times New Roman" w:cs="Times New Roman"/>
          <w:szCs w:val="24"/>
        </w:rPr>
        <w:t>cannot be claimed exempt</w:t>
      </w:r>
      <w:r w:rsidR="003714E4" w:rsidRPr="002869F2">
        <w:rPr>
          <w:rFonts w:eastAsia="Times New Roman" w:cs="Times New Roman"/>
          <w:szCs w:val="24"/>
        </w:rPr>
        <w:t xml:space="preserve"> as his homestead</w:t>
      </w:r>
      <w:r w:rsidR="00DD4BD8" w:rsidRPr="002869F2">
        <w:rPr>
          <w:rFonts w:eastAsia="Times New Roman" w:cs="Times New Roman"/>
          <w:szCs w:val="24"/>
        </w:rPr>
        <w:t>.</w:t>
      </w:r>
      <w:r w:rsidR="003714E4" w:rsidRPr="002869F2">
        <w:rPr>
          <w:rFonts w:eastAsia="Times New Roman" w:cs="Times New Roman"/>
          <w:szCs w:val="24"/>
        </w:rPr>
        <w:t xml:space="preserve">  The </w:t>
      </w:r>
      <w:r w:rsidR="00DD4BD8" w:rsidRPr="002869F2">
        <w:rPr>
          <w:rFonts w:eastAsia="Times New Roman" w:cs="Times New Roman"/>
          <w:szCs w:val="24"/>
        </w:rPr>
        <w:t>court disagreed</w:t>
      </w:r>
      <w:r w:rsidR="003714E4" w:rsidRPr="002869F2">
        <w:rPr>
          <w:rFonts w:eastAsia="Times New Roman" w:cs="Times New Roman"/>
          <w:szCs w:val="24"/>
        </w:rPr>
        <w:t xml:space="preserve"> and held that D</w:t>
      </w:r>
      <w:r w:rsidR="00DD4BD8" w:rsidRPr="002869F2">
        <w:rPr>
          <w:rFonts w:eastAsia="Times New Roman" w:cs="Times New Roman"/>
          <w:szCs w:val="24"/>
        </w:rPr>
        <w:t>ebtor’s leasing of detached garage and greenhouse for commercial use did not preclude exemption of that part of the real property under the Vermont homestead exemption, given that the garage and greenhouse were used in connect</w:t>
      </w:r>
      <w:r w:rsidR="003714E4" w:rsidRPr="002869F2">
        <w:rPr>
          <w:rFonts w:eastAsia="Times New Roman" w:cs="Times New Roman"/>
          <w:szCs w:val="24"/>
        </w:rPr>
        <w:t>ion with the homestead and the D</w:t>
      </w:r>
      <w:r w:rsidR="00DD4BD8" w:rsidRPr="002869F2">
        <w:rPr>
          <w:rFonts w:eastAsia="Times New Roman" w:cs="Times New Roman"/>
          <w:szCs w:val="24"/>
        </w:rPr>
        <w:t xml:space="preserve">ebtor’s livelihood was dependent on the </w:t>
      </w:r>
      <w:r w:rsidR="003714E4" w:rsidRPr="002869F2">
        <w:rPr>
          <w:rFonts w:eastAsia="Times New Roman" w:cs="Times New Roman"/>
          <w:szCs w:val="24"/>
        </w:rPr>
        <w:t xml:space="preserve">leasing </w:t>
      </w:r>
      <w:r w:rsidR="00DD4BD8" w:rsidRPr="002869F2">
        <w:rPr>
          <w:rFonts w:eastAsia="Times New Roman" w:cs="Times New Roman"/>
          <w:szCs w:val="24"/>
        </w:rPr>
        <w:t>of the commercial greenhouse, as the greenhouse contained a well that was th</w:t>
      </w:r>
      <w:r w:rsidR="003714E4" w:rsidRPr="002869F2">
        <w:rPr>
          <w:rFonts w:eastAsia="Times New Roman" w:cs="Times New Roman"/>
          <w:szCs w:val="24"/>
        </w:rPr>
        <w:t>e sole source of water for the D</w:t>
      </w:r>
      <w:r w:rsidR="00DD4BD8" w:rsidRPr="002869F2">
        <w:rPr>
          <w:rFonts w:eastAsia="Times New Roman" w:cs="Times New Roman"/>
          <w:szCs w:val="24"/>
        </w:rPr>
        <w:t>ebtor and his dwelling</w:t>
      </w:r>
      <w:r w:rsidR="00D84D55">
        <w:rPr>
          <w:rFonts w:eastAsia="Times New Roman" w:cs="Times New Roman"/>
          <w:szCs w:val="24"/>
        </w:rPr>
        <w:t>,</w:t>
      </w:r>
      <w:r w:rsidR="00DD4BD8" w:rsidRPr="002869F2">
        <w:rPr>
          <w:rFonts w:eastAsia="Times New Roman" w:cs="Times New Roman"/>
          <w:szCs w:val="24"/>
        </w:rPr>
        <w:t xml:space="preserve"> th</w:t>
      </w:r>
      <w:r w:rsidR="003714E4" w:rsidRPr="002869F2">
        <w:rPr>
          <w:rFonts w:eastAsia="Times New Roman" w:cs="Times New Roman"/>
          <w:szCs w:val="24"/>
        </w:rPr>
        <w:t>e greenhouse stored all of the Debtor’s crops and all of D</w:t>
      </w:r>
      <w:r w:rsidR="00DD4BD8" w:rsidRPr="002869F2">
        <w:rPr>
          <w:rFonts w:eastAsia="Times New Roman" w:cs="Times New Roman"/>
          <w:szCs w:val="24"/>
        </w:rPr>
        <w:t xml:space="preserve">ebtor’s earned income </w:t>
      </w:r>
      <w:r w:rsidR="003714E4" w:rsidRPr="002869F2">
        <w:rPr>
          <w:rFonts w:eastAsia="Times New Roman" w:cs="Times New Roman"/>
          <w:szCs w:val="24"/>
        </w:rPr>
        <w:t xml:space="preserve">was </w:t>
      </w:r>
      <w:r w:rsidR="00DD4BD8" w:rsidRPr="002869F2">
        <w:rPr>
          <w:rFonts w:eastAsia="Times New Roman" w:cs="Times New Roman"/>
          <w:szCs w:val="24"/>
        </w:rPr>
        <w:t xml:space="preserve">derived from farming operations conducted at the greenhouse.  </w:t>
      </w:r>
      <w:r w:rsidR="00DD4BD8" w:rsidRPr="002869F2">
        <w:rPr>
          <w:rFonts w:eastAsia="Times New Roman" w:cs="Times New Roman"/>
          <w:i/>
          <w:szCs w:val="24"/>
        </w:rPr>
        <w:t>In re Rommer</w:t>
      </w:r>
      <w:r w:rsidR="00DD4BD8" w:rsidRPr="002869F2">
        <w:rPr>
          <w:rFonts w:eastAsia="Times New Roman" w:cs="Times New Roman"/>
          <w:szCs w:val="24"/>
        </w:rPr>
        <w:t>, 549 B.R. 72 (Bankr. D. Vt. 2016)</w:t>
      </w:r>
      <w:r w:rsidR="003714E4" w:rsidRPr="002869F2">
        <w:rPr>
          <w:rFonts w:eastAsia="Times New Roman" w:cs="Times New Roman"/>
          <w:szCs w:val="24"/>
        </w:rPr>
        <w:t>.</w:t>
      </w:r>
    </w:p>
    <w:p w:rsidR="002869F2" w:rsidRPr="002869F2" w:rsidRDefault="002869F2" w:rsidP="002869F2">
      <w:pPr>
        <w:ind w:left="720"/>
        <w:jc w:val="both"/>
        <w:rPr>
          <w:rFonts w:eastAsia="Times New Roman" w:cs="Times New Roman"/>
          <w:b/>
          <w:szCs w:val="24"/>
        </w:rPr>
      </w:pPr>
    </w:p>
    <w:p w:rsidR="00DD4BD8" w:rsidRPr="001E2739" w:rsidRDefault="00880E64" w:rsidP="002869F2">
      <w:pPr>
        <w:ind w:left="720"/>
        <w:jc w:val="both"/>
        <w:rPr>
          <w:b/>
        </w:rPr>
      </w:pPr>
      <w:r>
        <w:rPr>
          <w:b/>
        </w:rPr>
        <w:lastRenderedPageBreak/>
        <w:t>2</w:t>
      </w:r>
      <w:r w:rsidR="002869F2">
        <w:rPr>
          <w:b/>
        </w:rPr>
        <w:t>.</w:t>
      </w:r>
      <w:r w:rsidR="002869F2">
        <w:rPr>
          <w:b/>
        </w:rPr>
        <w:tab/>
      </w:r>
      <w:r w:rsidR="001E2739" w:rsidRPr="001E2739">
        <w:rPr>
          <w:b/>
        </w:rPr>
        <w:t xml:space="preserve">Leasing of property may </w:t>
      </w:r>
      <w:r w:rsidR="002869F2">
        <w:rPr>
          <w:b/>
        </w:rPr>
        <w:t xml:space="preserve">constitute </w:t>
      </w:r>
      <w:r w:rsidR="008A26B6" w:rsidRPr="001E2739">
        <w:rPr>
          <w:b/>
        </w:rPr>
        <w:t xml:space="preserve">abandonment of property </w:t>
      </w:r>
      <w:r w:rsidR="001E2739" w:rsidRPr="001E2739">
        <w:rPr>
          <w:b/>
        </w:rPr>
        <w:t>for purpose</w:t>
      </w:r>
      <w:r w:rsidR="001E2739">
        <w:rPr>
          <w:b/>
        </w:rPr>
        <w:t>s of the leasing debtor</w:t>
      </w:r>
      <w:r w:rsidR="001E2739" w:rsidRPr="001E2739">
        <w:rPr>
          <w:b/>
        </w:rPr>
        <w:t>’s homestead exemption.</w:t>
      </w:r>
      <w:r w:rsidR="002869F2">
        <w:rPr>
          <w:b/>
        </w:rPr>
        <w:t xml:space="preserve">  </w:t>
      </w:r>
      <w:r w:rsidR="008A26B6" w:rsidRPr="002869F2">
        <w:t>Steven and Melissa Crump (the “Debtors”) owned certain farmland (“Farmland”).  Debtors leased the farmland to a third party.  Debtors filed a Chapter 7 bankruptcy and claimed the Farmland exempt as their homestead.  Chapter 7 trustee objected and argued that by virtue of the long term crop share lease the Debtors had abandoned the Farmland and, therefore, the Farmland could not be claimed as their exempt homestead.  The Court agreed and</w:t>
      </w:r>
      <w:r w:rsidR="001E2739" w:rsidRPr="002869F2">
        <w:t xml:space="preserve"> a</w:t>
      </w:r>
      <w:r w:rsidR="00DD4BD8" w:rsidRPr="002869F2">
        <w:t xml:space="preserve">pplying </w:t>
      </w:r>
      <w:r w:rsidR="001E2739" w:rsidRPr="002869F2">
        <w:t xml:space="preserve">the test under </w:t>
      </w:r>
      <w:r w:rsidR="001E2739" w:rsidRPr="002869F2">
        <w:rPr>
          <w:i/>
        </w:rPr>
        <w:t>In re Perry</w:t>
      </w:r>
      <w:r w:rsidR="001E2739" w:rsidRPr="002869F2">
        <w:t>, 345 F.3d 303, 319 (5th Cir. 2003)</w:t>
      </w:r>
      <w:r w:rsidR="00DD4BD8" w:rsidRPr="002869F2">
        <w:t xml:space="preserve"> </w:t>
      </w:r>
      <w:r w:rsidR="001E2739" w:rsidRPr="002869F2">
        <w:t>the Court held that the Farmland had been abandoned beca</w:t>
      </w:r>
      <w:r w:rsidR="00D84D55">
        <w:t>u</w:t>
      </w:r>
      <w:r w:rsidR="001E2739" w:rsidRPr="002869F2">
        <w:t>se: (i) th</w:t>
      </w:r>
      <w:r w:rsidR="00DD4BD8" w:rsidRPr="002869F2">
        <w:t>e terms of the lease demonstrate</w:t>
      </w:r>
      <w:r w:rsidR="001E2739" w:rsidRPr="002869F2">
        <w:t>d the Debtors’</w:t>
      </w:r>
      <w:r w:rsidR="00DD4BD8" w:rsidRPr="002869F2">
        <w:t xml:space="preserve"> intent </w:t>
      </w:r>
      <w:r w:rsidR="001E2739" w:rsidRPr="002869F2">
        <w:t xml:space="preserve">not </w:t>
      </w:r>
      <w:r w:rsidR="00DD4BD8" w:rsidRPr="002869F2">
        <w:t>to resume control of the property</w:t>
      </w:r>
      <w:r w:rsidR="001E2739" w:rsidRPr="002869F2">
        <w:t>, (ii) the</w:t>
      </w:r>
      <w:r w:rsidR="00DD4BD8" w:rsidRPr="002869F2">
        <w:t xml:space="preserve"> lease provided for significant alteration of the </w:t>
      </w:r>
      <w:r w:rsidR="001E2739" w:rsidRPr="002869F2">
        <w:t>Farmland,  (iii)</w:t>
      </w:r>
      <w:r w:rsidR="00DD4BD8" w:rsidRPr="002869F2">
        <w:t xml:space="preserve"> the nature of the accommodation was for the lessee’s business (not the </w:t>
      </w:r>
      <w:r w:rsidR="001E2739" w:rsidRPr="002869F2">
        <w:t>Debtors</w:t>
      </w:r>
      <w:r w:rsidR="00DD4BD8" w:rsidRPr="002869F2">
        <w:t>’</w:t>
      </w:r>
      <w:r w:rsidR="001E2739" w:rsidRPr="002869F2">
        <w:t xml:space="preserve"> agricultural purposes), (iv) </w:t>
      </w:r>
      <w:r w:rsidR="00DD4BD8" w:rsidRPr="002869F2">
        <w:t xml:space="preserve">the </w:t>
      </w:r>
      <w:r w:rsidR="001E2739" w:rsidRPr="002869F2">
        <w:t xml:space="preserve">Farmland </w:t>
      </w:r>
      <w:r w:rsidR="00DD4BD8" w:rsidRPr="002869F2">
        <w:t xml:space="preserve">was subject to a lengthy </w:t>
      </w:r>
      <w:r w:rsidR="001E2739" w:rsidRPr="002869F2">
        <w:t xml:space="preserve">thirty year </w:t>
      </w:r>
      <w:r w:rsidR="00DD4BD8" w:rsidRPr="002869F2">
        <w:t xml:space="preserve">lease and </w:t>
      </w:r>
      <w:r w:rsidR="001E2739" w:rsidRPr="002869F2">
        <w:t xml:space="preserve">(v) </w:t>
      </w:r>
      <w:r w:rsidR="00DD4BD8" w:rsidRPr="002869F2">
        <w:t>only the lessee had the right to surrender the lease.</w:t>
      </w:r>
      <w:r w:rsidR="001E2739" w:rsidRPr="002869F2">
        <w:t xml:space="preserve">  </w:t>
      </w:r>
      <w:r w:rsidR="00DD4BD8" w:rsidRPr="002869F2">
        <w:rPr>
          <w:rFonts w:eastAsia="Times New Roman" w:cs="Times New Roman"/>
          <w:i/>
          <w:szCs w:val="24"/>
        </w:rPr>
        <w:t>In re Crump</w:t>
      </w:r>
      <w:r w:rsidR="00DD4BD8" w:rsidRPr="002869F2">
        <w:rPr>
          <w:rFonts w:eastAsia="Times New Roman" w:cs="Times New Roman"/>
          <w:szCs w:val="24"/>
        </w:rPr>
        <w:t>, 533 B.R. 567 (Bankr. N.D. Tex. 2015)</w:t>
      </w:r>
      <w:r w:rsidR="001E2739" w:rsidRPr="002869F2">
        <w:rPr>
          <w:rFonts w:eastAsia="Times New Roman" w:cs="Times New Roman"/>
          <w:szCs w:val="24"/>
        </w:rPr>
        <w:t>.</w:t>
      </w:r>
    </w:p>
    <w:p w:rsidR="00DD4BD8" w:rsidRPr="00017026" w:rsidRDefault="00DD4BD8" w:rsidP="00ED544E">
      <w:pPr>
        <w:pStyle w:val="ListParagraph"/>
        <w:spacing w:line="240" w:lineRule="auto"/>
        <w:jc w:val="both"/>
        <w:rPr>
          <w:rFonts w:ascii="Times New Roman" w:hAnsi="Times New Roman" w:cs="Times New Roman"/>
          <w:b/>
          <w:sz w:val="24"/>
          <w:szCs w:val="24"/>
        </w:rPr>
      </w:pPr>
    </w:p>
    <w:p w:rsidR="00880E64" w:rsidRDefault="00017026" w:rsidP="00880E64">
      <w:pPr>
        <w:pStyle w:val="ListParagraph"/>
        <w:numPr>
          <w:ilvl w:val="0"/>
          <w:numId w:val="14"/>
        </w:numPr>
        <w:spacing w:line="240" w:lineRule="auto"/>
        <w:jc w:val="both"/>
        <w:rPr>
          <w:rFonts w:ascii="Times New Roman" w:hAnsi="Times New Roman" w:cs="Times New Roman"/>
          <w:b/>
          <w:sz w:val="24"/>
          <w:szCs w:val="24"/>
        </w:rPr>
      </w:pPr>
      <w:r w:rsidRPr="00017026">
        <w:rPr>
          <w:rFonts w:ascii="Times New Roman" w:hAnsi="Times New Roman" w:cs="Times New Roman"/>
          <w:b/>
          <w:sz w:val="24"/>
          <w:szCs w:val="24"/>
        </w:rPr>
        <w:t>Miscellaneous.</w:t>
      </w:r>
    </w:p>
    <w:p w:rsidR="00880E64" w:rsidRDefault="00880E64" w:rsidP="00880E64">
      <w:pPr>
        <w:pStyle w:val="ListParagraph"/>
        <w:spacing w:line="240" w:lineRule="auto"/>
        <w:jc w:val="both"/>
        <w:rPr>
          <w:rFonts w:ascii="Times New Roman" w:hAnsi="Times New Roman" w:cs="Times New Roman"/>
          <w:b/>
          <w:sz w:val="24"/>
          <w:szCs w:val="24"/>
        </w:rPr>
      </w:pPr>
    </w:p>
    <w:p w:rsidR="009B3BC5" w:rsidRPr="00880E64" w:rsidRDefault="00880E64" w:rsidP="00880E64">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sidR="009B3BC5" w:rsidRPr="00880E64">
        <w:rPr>
          <w:rFonts w:ascii="Times New Roman" w:hAnsi="Times New Roman" w:cs="Times New Roman"/>
          <w:b/>
          <w:sz w:val="24"/>
          <w:szCs w:val="24"/>
        </w:rPr>
        <w:t>Fraud.</w:t>
      </w:r>
    </w:p>
    <w:p w:rsidR="000E1CB3" w:rsidRDefault="00A814F3" w:rsidP="00880E64">
      <w:pPr>
        <w:ind w:left="1440"/>
        <w:jc w:val="both"/>
        <w:rPr>
          <w:rFonts w:eastAsia="Times New Roman" w:cs="Times New Roman"/>
          <w:szCs w:val="24"/>
        </w:rPr>
      </w:pPr>
      <w:r w:rsidRPr="00A814F3">
        <w:rPr>
          <w:rFonts w:eastAsia="Times New Roman" w:cs="Times New Roman"/>
          <w:b/>
          <w:szCs w:val="24"/>
        </w:rPr>
        <w:t>Actions of lender to force “refinancing” of discharged debt co</w:t>
      </w:r>
      <w:r w:rsidR="00880E64">
        <w:rPr>
          <w:rFonts w:eastAsia="Times New Roman" w:cs="Times New Roman"/>
          <w:b/>
          <w:szCs w:val="24"/>
        </w:rPr>
        <w:t xml:space="preserve">nstituted fraudulent inducement.  </w:t>
      </w:r>
      <w:r w:rsidR="00FD7FCE" w:rsidRPr="00880E64">
        <w:rPr>
          <w:rFonts w:eastAsia="Times New Roman" w:cs="Times New Roman"/>
          <w:szCs w:val="24"/>
        </w:rPr>
        <w:t xml:space="preserve">Brad Stabler and Brenda Stabler (the “Debtors”) were indebted to First State Bank of Roscoe (the “Secured Creditor”) under the terms of a guaranty.  The indebtedness was secured by certain real property.  A portion of the collateral was liquidated and approximately $350,000 was owed after sale proceeds were applied against the debt.  The Debtors filed bankruptcy and obtained a discharge order.  The </w:t>
      </w:r>
      <w:r w:rsidR="00FD7FCE" w:rsidRPr="00880E64">
        <w:rPr>
          <w:rFonts w:eastAsia="Times New Roman" w:cs="Times New Roman"/>
          <w:i/>
          <w:szCs w:val="24"/>
        </w:rPr>
        <w:t>in personam</w:t>
      </w:r>
      <w:r w:rsidR="00FD7FCE" w:rsidRPr="00880E64">
        <w:rPr>
          <w:rFonts w:eastAsia="Times New Roman" w:cs="Times New Roman"/>
          <w:szCs w:val="24"/>
        </w:rPr>
        <w:t xml:space="preserve"> debt was discharged, but the </w:t>
      </w:r>
      <w:r w:rsidR="00FD7FCE" w:rsidRPr="00880E64">
        <w:rPr>
          <w:rFonts w:eastAsia="Times New Roman" w:cs="Times New Roman"/>
          <w:i/>
          <w:szCs w:val="24"/>
        </w:rPr>
        <w:t>in rem</w:t>
      </w:r>
      <w:r w:rsidR="00FD7FCE" w:rsidRPr="00880E64">
        <w:rPr>
          <w:rFonts w:eastAsia="Times New Roman" w:cs="Times New Roman"/>
          <w:szCs w:val="24"/>
        </w:rPr>
        <w:t xml:space="preserve"> lien in the real property remained.</w:t>
      </w:r>
      <w:r w:rsidR="000258BF" w:rsidRPr="00880E64">
        <w:rPr>
          <w:rFonts w:eastAsia="Times New Roman" w:cs="Times New Roman"/>
          <w:szCs w:val="24"/>
        </w:rPr>
        <w:t xml:space="preserve">  Subsequent to the bankruptcy discharge, the Secured Creditor proposed and the Debtors and the Debtors’ parents agreed to “refinance” the discharged debts.  The Debtors and the Debtors’ parents later commenced a legal action to compel the discharge of the refinance debt asserting </w:t>
      </w:r>
      <w:r w:rsidR="009B3BC5" w:rsidRPr="00880E64">
        <w:rPr>
          <w:rFonts w:eastAsia="Times New Roman" w:cs="Times New Roman"/>
          <w:szCs w:val="24"/>
        </w:rPr>
        <w:t xml:space="preserve">the </w:t>
      </w:r>
      <w:r w:rsidR="000258BF" w:rsidRPr="00880E64">
        <w:rPr>
          <w:rFonts w:eastAsia="Times New Roman" w:cs="Times New Roman"/>
          <w:szCs w:val="24"/>
        </w:rPr>
        <w:t xml:space="preserve">Secured Creditor </w:t>
      </w:r>
      <w:r w:rsidR="009B3BC5" w:rsidRPr="00880E64">
        <w:rPr>
          <w:rFonts w:eastAsia="Times New Roman" w:cs="Times New Roman"/>
          <w:szCs w:val="24"/>
        </w:rPr>
        <w:t xml:space="preserve">and its president fraudulently induced the </w:t>
      </w:r>
      <w:r w:rsidR="000258BF" w:rsidRPr="00880E64">
        <w:rPr>
          <w:rFonts w:eastAsia="Times New Roman" w:cs="Times New Roman"/>
          <w:szCs w:val="24"/>
        </w:rPr>
        <w:t>Debtors</w:t>
      </w:r>
      <w:r w:rsidR="009B3BC5" w:rsidRPr="00880E64">
        <w:rPr>
          <w:rFonts w:eastAsia="Times New Roman" w:cs="Times New Roman"/>
          <w:szCs w:val="24"/>
        </w:rPr>
        <w:t xml:space="preserve">’ parents to sign a promissory note and collateral real estate mortgage. </w:t>
      </w:r>
      <w:r w:rsidR="000258BF" w:rsidRPr="00880E64">
        <w:rPr>
          <w:rFonts w:eastAsia="Times New Roman" w:cs="Times New Roman"/>
          <w:szCs w:val="24"/>
        </w:rPr>
        <w:t xml:space="preserve"> The trial court agreed and the Secured Creditor </w:t>
      </w:r>
      <w:r w:rsidR="009B3BC5" w:rsidRPr="00880E64">
        <w:rPr>
          <w:rFonts w:eastAsia="Times New Roman" w:cs="Times New Roman"/>
          <w:szCs w:val="24"/>
        </w:rPr>
        <w:t xml:space="preserve">and </w:t>
      </w:r>
      <w:r w:rsidR="000258BF" w:rsidRPr="00880E64">
        <w:rPr>
          <w:rFonts w:eastAsia="Times New Roman" w:cs="Times New Roman"/>
          <w:szCs w:val="24"/>
        </w:rPr>
        <w:t xml:space="preserve">its </w:t>
      </w:r>
      <w:r w:rsidR="009B3BC5" w:rsidRPr="00880E64">
        <w:rPr>
          <w:rFonts w:eastAsia="Times New Roman" w:cs="Times New Roman"/>
          <w:szCs w:val="24"/>
        </w:rPr>
        <w:t>president appealed</w:t>
      </w:r>
      <w:r w:rsidR="000258BF" w:rsidRPr="00880E64">
        <w:rPr>
          <w:rFonts w:eastAsia="Times New Roman" w:cs="Times New Roman"/>
          <w:szCs w:val="24"/>
        </w:rPr>
        <w:t xml:space="preserve"> arguing that: (a) </w:t>
      </w:r>
      <w:r w:rsidR="009B3BC5" w:rsidRPr="00880E64">
        <w:rPr>
          <w:rFonts w:eastAsia="Times New Roman" w:cs="Times New Roman"/>
          <w:szCs w:val="24"/>
        </w:rPr>
        <w:t>any representation made was as to a legal issue and there could not be actionable fraud because</w:t>
      </w:r>
      <w:r w:rsidR="000258BF" w:rsidRPr="00880E64">
        <w:rPr>
          <w:rFonts w:eastAsia="Times New Roman" w:cs="Times New Roman"/>
          <w:szCs w:val="24"/>
        </w:rPr>
        <w:t xml:space="preserve"> </w:t>
      </w:r>
      <w:r w:rsidR="009B3BC5" w:rsidRPr="00880E64">
        <w:rPr>
          <w:rFonts w:eastAsia="Times New Roman" w:cs="Times New Roman"/>
          <w:szCs w:val="24"/>
        </w:rPr>
        <w:t>fraud requires a misrepresentation of fact</w:t>
      </w:r>
      <w:r w:rsidR="000258BF" w:rsidRPr="00880E64">
        <w:rPr>
          <w:rFonts w:eastAsia="Times New Roman" w:cs="Times New Roman"/>
          <w:szCs w:val="24"/>
        </w:rPr>
        <w:t xml:space="preserve">, (b) Debtors should not have been allowed to pursue emotional distress damages as part of the fraud and conspiracy claims, </w:t>
      </w:r>
      <w:r w:rsidRPr="00880E64">
        <w:rPr>
          <w:rFonts w:eastAsia="Times New Roman" w:cs="Times New Roman"/>
          <w:szCs w:val="24"/>
        </w:rPr>
        <w:t xml:space="preserve">and </w:t>
      </w:r>
      <w:r w:rsidR="000258BF" w:rsidRPr="00880E64">
        <w:rPr>
          <w:rFonts w:eastAsia="Times New Roman" w:cs="Times New Roman"/>
          <w:szCs w:val="24"/>
        </w:rPr>
        <w:t>(c) award of exemplary damages should have been allowed.</w:t>
      </w:r>
      <w:r w:rsidRPr="00880E64">
        <w:rPr>
          <w:rFonts w:eastAsia="Times New Roman" w:cs="Times New Roman"/>
          <w:szCs w:val="24"/>
        </w:rPr>
        <w:t xml:space="preserve">  </w:t>
      </w:r>
      <w:r w:rsidR="009B3BC5" w:rsidRPr="00880E64">
        <w:rPr>
          <w:rFonts w:eastAsia="Times New Roman" w:cs="Times New Roman"/>
          <w:szCs w:val="24"/>
        </w:rPr>
        <w:t xml:space="preserve">The </w:t>
      </w:r>
      <w:r w:rsidR="000258BF" w:rsidRPr="00880E64">
        <w:rPr>
          <w:rFonts w:eastAsia="Times New Roman" w:cs="Times New Roman"/>
          <w:szCs w:val="24"/>
        </w:rPr>
        <w:t xml:space="preserve">Supreme Court of South Dakota held that: (a) the Debtors </w:t>
      </w:r>
      <w:r w:rsidR="009B3BC5" w:rsidRPr="00880E64">
        <w:rPr>
          <w:rFonts w:eastAsia="Times New Roman" w:cs="Times New Roman"/>
          <w:szCs w:val="24"/>
        </w:rPr>
        <w:t>were within their rights to pursue a fraud claim under tort law</w:t>
      </w:r>
      <w:r w:rsidR="000258BF" w:rsidRPr="00880E64">
        <w:rPr>
          <w:rFonts w:eastAsia="Times New Roman" w:cs="Times New Roman"/>
          <w:szCs w:val="24"/>
        </w:rPr>
        <w:t xml:space="preserve">, (b) although </w:t>
      </w:r>
      <w:r w:rsidR="009B3BC5" w:rsidRPr="00880E64">
        <w:rPr>
          <w:rFonts w:eastAsia="Times New Roman" w:cs="Times New Roman"/>
          <w:szCs w:val="24"/>
        </w:rPr>
        <w:t xml:space="preserve">emotional distress damages </w:t>
      </w:r>
      <w:r w:rsidR="000258BF" w:rsidRPr="00880E64">
        <w:rPr>
          <w:rFonts w:eastAsia="Times New Roman" w:cs="Times New Roman"/>
          <w:szCs w:val="24"/>
        </w:rPr>
        <w:t xml:space="preserve">are allowed in </w:t>
      </w:r>
      <w:r w:rsidR="009B3BC5" w:rsidRPr="00880E64">
        <w:rPr>
          <w:rFonts w:eastAsia="Times New Roman" w:cs="Times New Roman"/>
          <w:szCs w:val="24"/>
        </w:rPr>
        <w:t xml:space="preserve">tort actions, </w:t>
      </w:r>
      <w:r w:rsidR="000258BF" w:rsidRPr="00880E64">
        <w:rPr>
          <w:rFonts w:eastAsia="Times New Roman" w:cs="Times New Roman"/>
          <w:szCs w:val="24"/>
        </w:rPr>
        <w:t xml:space="preserve">the Debtors </w:t>
      </w:r>
      <w:r w:rsidR="009B3BC5" w:rsidRPr="00880E64">
        <w:rPr>
          <w:rFonts w:eastAsia="Times New Roman" w:cs="Times New Roman"/>
          <w:szCs w:val="24"/>
        </w:rPr>
        <w:t xml:space="preserve">did not offer </w:t>
      </w:r>
      <w:r w:rsidR="000258BF" w:rsidRPr="00880E64">
        <w:rPr>
          <w:rFonts w:eastAsia="Times New Roman" w:cs="Times New Roman"/>
          <w:szCs w:val="24"/>
        </w:rPr>
        <w:t xml:space="preserve">any evidence of </w:t>
      </w:r>
      <w:r w:rsidR="009B3BC5" w:rsidRPr="00880E64">
        <w:rPr>
          <w:rFonts w:eastAsia="Times New Roman" w:cs="Times New Roman"/>
          <w:szCs w:val="24"/>
        </w:rPr>
        <w:t>either intentional or negligent infliction of emotional distress</w:t>
      </w:r>
      <w:r w:rsidR="000258BF" w:rsidRPr="00880E64">
        <w:rPr>
          <w:rFonts w:eastAsia="Times New Roman" w:cs="Times New Roman"/>
          <w:szCs w:val="24"/>
        </w:rPr>
        <w:t xml:space="preserve"> </w:t>
      </w:r>
      <w:r w:rsidRPr="00880E64">
        <w:rPr>
          <w:rFonts w:eastAsia="Times New Roman" w:cs="Times New Roman"/>
          <w:szCs w:val="24"/>
        </w:rPr>
        <w:t xml:space="preserve">and </w:t>
      </w:r>
      <w:r w:rsidR="000258BF" w:rsidRPr="00880E64">
        <w:rPr>
          <w:rFonts w:eastAsia="Times New Roman" w:cs="Times New Roman"/>
          <w:szCs w:val="24"/>
        </w:rPr>
        <w:t xml:space="preserve">(c) </w:t>
      </w:r>
      <w:r w:rsidR="009B3BC5" w:rsidRPr="00880E64">
        <w:rPr>
          <w:rFonts w:eastAsia="Times New Roman" w:cs="Times New Roman"/>
          <w:szCs w:val="24"/>
        </w:rPr>
        <w:t xml:space="preserve">exemplary damages </w:t>
      </w:r>
      <w:r w:rsidR="000258BF" w:rsidRPr="00880E64">
        <w:rPr>
          <w:rFonts w:eastAsia="Times New Roman" w:cs="Times New Roman"/>
          <w:szCs w:val="24"/>
        </w:rPr>
        <w:t>were warranted because</w:t>
      </w:r>
      <w:r w:rsidRPr="00880E64">
        <w:rPr>
          <w:rFonts w:eastAsia="Times New Roman" w:cs="Times New Roman"/>
          <w:szCs w:val="24"/>
        </w:rPr>
        <w:t xml:space="preserve"> of the </w:t>
      </w:r>
      <w:r w:rsidR="009B3BC5" w:rsidRPr="00880E64">
        <w:rPr>
          <w:rFonts w:eastAsia="Times New Roman" w:cs="Times New Roman"/>
          <w:szCs w:val="24"/>
        </w:rPr>
        <w:t xml:space="preserve">fraudulently </w:t>
      </w:r>
      <w:r w:rsidRPr="00880E64">
        <w:rPr>
          <w:rFonts w:eastAsia="Times New Roman" w:cs="Times New Roman"/>
          <w:szCs w:val="24"/>
        </w:rPr>
        <w:t xml:space="preserve">inducement by the Secured Creditor. </w:t>
      </w:r>
      <w:r w:rsidR="009B3BC5" w:rsidRPr="00880E64">
        <w:rPr>
          <w:rFonts w:eastAsia="Times New Roman" w:cs="Times New Roman"/>
          <w:i/>
          <w:szCs w:val="24"/>
        </w:rPr>
        <w:t>Stabler v. First State Bank of Roscoe</w:t>
      </w:r>
      <w:r w:rsidR="009B3BC5" w:rsidRPr="00880E64">
        <w:rPr>
          <w:rFonts w:eastAsia="Times New Roman" w:cs="Times New Roman"/>
          <w:szCs w:val="24"/>
        </w:rPr>
        <w:t>,</w:t>
      </w:r>
      <w:r w:rsidR="009B3BC5" w:rsidRPr="00880E64">
        <w:t xml:space="preserve"> </w:t>
      </w:r>
      <w:r w:rsidR="009B3BC5" w:rsidRPr="00880E64">
        <w:rPr>
          <w:rFonts w:eastAsia="Times New Roman" w:cs="Times New Roman"/>
          <w:szCs w:val="24"/>
        </w:rPr>
        <w:t>865 N.W.2d 466 (S.D. 2015)</w:t>
      </w:r>
      <w:r w:rsidRPr="00880E64">
        <w:rPr>
          <w:rFonts w:eastAsia="Times New Roman" w:cs="Times New Roman"/>
          <w:szCs w:val="24"/>
        </w:rPr>
        <w:t>.</w:t>
      </w:r>
    </w:p>
    <w:p w:rsidR="00880E64" w:rsidRDefault="00880E64" w:rsidP="00880E64">
      <w:pPr>
        <w:ind w:left="720"/>
        <w:rPr>
          <w:rFonts w:eastAsia="Times New Roman" w:cs="Times New Roman"/>
          <w:b/>
          <w:szCs w:val="24"/>
        </w:rPr>
      </w:pPr>
    </w:p>
    <w:p w:rsidR="00DD4BD8" w:rsidRPr="00880E64" w:rsidRDefault="00880E64" w:rsidP="00880E64">
      <w:pPr>
        <w:rPr>
          <w:rFonts w:eastAsia="Times New Roman" w:cs="Times New Roman"/>
          <w:b/>
          <w:szCs w:val="24"/>
        </w:rPr>
      </w:pPr>
      <w:r>
        <w:rPr>
          <w:rFonts w:eastAsia="Times New Roman" w:cs="Times New Roman"/>
          <w:b/>
          <w:szCs w:val="24"/>
        </w:rPr>
        <w:tab/>
        <w:t>2.</w:t>
      </w:r>
      <w:r>
        <w:rPr>
          <w:rFonts w:eastAsia="Times New Roman" w:cs="Times New Roman"/>
          <w:b/>
          <w:szCs w:val="24"/>
        </w:rPr>
        <w:tab/>
      </w:r>
      <w:r w:rsidR="00DD4BD8">
        <w:rPr>
          <w:rFonts w:cs="Times New Roman"/>
          <w:b/>
          <w:szCs w:val="24"/>
        </w:rPr>
        <w:t>Credit Agreements.</w:t>
      </w:r>
    </w:p>
    <w:p w:rsidR="00880E64" w:rsidRDefault="00880E64" w:rsidP="00DD4BD8">
      <w:pPr>
        <w:rPr>
          <w:rFonts w:eastAsia="Times New Roman" w:cs="Times New Roman"/>
          <w:b/>
          <w:szCs w:val="24"/>
        </w:rPr>
      </w:pPr>
    </w:p>
    <w:p w:rsidR="00DD4BD8" w:rsidRPr="00880E64" w:rsidRDefault="00880E64" w:rsidP="00880E64">
      <w:pPr>
        <w:ind w:left="1440"/>
        <w:jc w:val="both"/>
        <w:rPr>
          <w:rFonts w:eastAsia="Times New Roman" w:cs="Times New Roman"/>
          <w:szCs w:val="24"/>
        </w:rPr>
      </w:pPr>
      <w:r>
        <w:rPr>
          <w:rFonts w:eastAsia="Times New Roman" w:cs="Times New Roman"/>
          <w:b/>
          <w:szCs w:val="24"/>
        </w:rPr>
        <w:t>i.</w:t>
      </w:r>
      <w:r>
        <w:rPr>
          <w:rFonts w:eastAsia="Times New Roman" w:cs="Times New Roman"/>
          <w:b/>
          <w:szCs w:val="24"/>
        </w:rPr>
        <w:tab/>
      </w:r>
      <w:r w:rsidR="00D927CC" w:rsidRPr="004A7D40">
        <w:rPr>
          <w:rFonts w:eastAsia="Times New Roman" w:cs="Times New Roman"/>
          <w:b/>
          <w:szCs w:val="24"/>
        </w:rPr>
        <w:t xml:space="preserve">Agreement to forgive debt must be memorialized in written agreement to be enforceable. </w:t>
      </w:r>
      <w:r>
        <w:rPr>
          <w:rFonts w:eastAsia="Times New Roman" w:cs="Times New Roman"/>
          <w:b/>
          <w:szCs w:val="24"/>
        </w:rPr>
        <w:t xml:space="preserve"> </w:t>
      </w:r>
      <w:r w:rsidR="00D927CC" w:rsidRPr="00880E64">
        <w:rPr>
          <w:rFonts w:eastAsia="Times New Roman" w:cs="Times New Roman"/>
          <w:szCs w:val="24"/>
        </w:rPr>
        <w:t>The Araz Group, Inc. (the “Debtor”) was indebted to NJK Holding Corporation (the “Creditor”).  For tax purposes, the Creditor wrote off the debt as uncollectible in 2001.  The loan matured in 2002.</w:t>
      </w:r>
      <w:r w:rsidR="004A7D40" w:rsidRPr="00880E64">
        <w:rPr>
          <w:rFonts w:eastAsia="Times New Roman" w:cs="Times New Roman"/>
          <w:szCs w:val="24"/>
        </w:rPr>
        <w:t xml:space="preserve">  Sporadic payments were subsequently made by the Debtor.</w:t>
      </w:r>
      <w:r w:rsidR="00D927CC" w:rsidRPr="00880E64">
        <w:rPr>
          <w:rFonts w:eastAsia="Times New Roman" w:cs="Times New Roman"/>
          <w:szCs w:val="24"/>
        </w:rPr>
        <w:t xml:space="preserve">  In 2012 the Creditor commenced a legal action to collect the debt.  The Debtor argued that, by its actions, the Creditor had forgiven the debt obligation.  The court disagreed and held that,</w:t>
      </w:r>
      <w:r w:rsidR="004A7D40" w:rsidRPr="00880E64">
        <w:rPr>
          <w:rFonts w:eastAsia="Times New Roman" w:cs="Times New Roman"/>
          <w:szCs w:val="24"/>
        </w:rPr>
        <w:t xml:space="preserve"> under Minn. Stat. </w:t>
      </w:r>
      <w:r w:rsidR="00D84D55" w:rsidRPr="00D84D55">
        <w:rPr>
          <w:rFonts w:eastAsia="Times New Roman" w:cs="Times New Roman"/>
          <w:szCs w:val="24"/>
        </w:rPr>
        <w:t>§</w:t>
      </w:r>
      <w:r w:rsidR="00D84D55">
        <w:rPr>
          <w:rFonts w:eastAsia="Times New Roman" w:cs="Times New Roman"/>
          <w:szCs w:val="24"/>
        </w:rPr>
        <w:t xml:space="preserve"> </w:t>
      </w:r>
      <w:r w:rsidR="004A7D40" w:rsidRPr="00880E64">
        <w:rPr>
          <w:rFonts w:eastAsia="Times New Roman" w:cs="Times New Roman"/>
          <w:szCs w:val="24"/>
        </w:rPr>
        <w:t xml:space="preserve">513.33, </w:t>
      </w:r>
      <w:r w:rsidR="00D927CC" w:rsidRPr="00880E64">
        <w:rPr>
          <w:rFonts w:eastAsia="Times New Roman" w:cs="Times New Roman"/>
          <w:szCs w:val="24"/>
        </w:rPr>
        <w:t>any debt forgiveness was required to be memorialized in a written agreement</w:t>
      </w:r>
      <w:r w:rsidR="004A7D40" w:rsidRPr="00880E64">
        <w:rPr>
          <w:rFonts w:eastAsia="Times New Roman" w:cs="Times New Roman"/>
          <w:szCs w:val="24"/>
        </w:rPr>
        <w:t xml:space="preserve"> to be enforceable</w:t>
      </w:r>
      <w:r w:rsidR="00D927CC" w:rsidRPr="00880E64">
        <w:rPr>
          <w:rFonts w:eastAsia="Times New Roman" w:cs="Times New Roman"/>
          <w:szCs w:val="24"/>
        </w:rPr>
        <w:t>.</w:t>
      </w:r>
      <w:r w:rsidR="004A7D40" w:rsidRPr="00880E64">
        <w:rPr>
          <w:rFonts w:eastAsia="Times New Roman" w:cs="Times New Roman"/>
          <w:szCs w:val="24"/>
        </w:rPr>
        <w:t xml:space="preserve">  Although Minn. Stat. </w:t>
      </w:r>
      <w:r w:rsidR="00D84D55" w:rsidRPr="00D84D55">
        <w:rPr>
          <w:rFonts w:eastAsia="Times New Roman" w:cs="Times New Roman"/>
          <w:szCs w:val="24"/>
        </w:rPr>
        <w:t>§</w:t>
      </w:r>
      <w:r w:rsidR="00D84D55">
        <w:rPr>
          <w:rFonts w:eastAsia="Times New Roman" w:cs="Times New Roman"/>
          <w:szCs w:val="24"/>
        </w:rPr>
        <w:t xml:space="preserve"> </w:t>
      </w:r>
      <w:r w:rsidR="004A7D40" w:rsidRPr="00880E64">
        <w:rPr>
          <w:rFonts w:eastAsia="Times New Roman" w:cs="Times New Roman"/>
          <w:szCs w:val="24"/>
        </w:rPr>
        <w:t>513.33</w:t>
      </w:r>
      <w:r w:rsidR="00D927CC" w:rsidRPr="00880E64">
        <w:rPr>
          <w:rFonts w:eastAsia="Times New Roman" w:cs="Times New Roman"/>
          <w:szCs w:val="24"/>
        </w:rPr>
        <w:t xml:space="preserve"> </w:t>
      </w:r>
      <w:r w:rsidR="004A7D40" w:rsidRPr="00880E64">
        <w:rPr>
          <w:rFonts w:eastAsia="Times New Roman" w:cs="Times New Roman"/>
          <w:szCs w:val="24"/>
        </w:rPr>
        <w:t>only references the modification of a debt</w:t>
      </w:r>
      <w:r w:rsidR="00D84D55">
        <w:rPr>
          <w:rFonts w:eastAsia="Times New Roman" w:cs="Times New Roman"/>
          <w:szCs w:val="24"/>
        </w:rPr>
        <w:t>,</w:t>
      </w:r>
      <w:r w:rsidR="004A7D40" w:rsidRPr="00880E64">
        <w:rPr>
          <w:rFonts w:eastAsia="Times New Roman" w:cs="Times New Roman"/>
          <w:szCs w:val="24"/>
        </w:rPr>
        <w:t xml:space="preserve"> the scope of the statute is broad enough to include the agreed forgiveness of debt as well.  </w:t>
      </w:r>
      <w:r w:rsidR="00DD4BD8" w:rsidRPr="00880E64">
        <w:rPr>
          <w:rFonts w:eastAsia="Times New Roman" w:cs="Times New Roman"/>
          <w:i/>
          <w:szCs w:val="24"/>
        </w:rPr>
        <w:t>NJK Holding Corp. v. Araz Group, Inc.</w:t>
      </w:r>
      <w:r w:rsidR="00DD4BD8" w:rsidRPr="00880E64">
        <w:rPr>
          <w:rFonts w:eastAsia="Times New Roman" w:cs="Times New Roman"/>
          <w:szCs w:val="24"/>
        </w:rPr>
        <w:t>, 878 N.W.2d 515 (Minn. Ct. App. May 2, 2016)</w:t>
      </w:r>
      <w:r w:rsidR="004A7D40" w:rsidRPr="00880E64">
        <w:rPr>
          <w:rFonts w:eastAsia="Times New Roman" w:cs="Times New Roman"/>
          <w:szCs w:val="24"/>
        </w:rPr>
        <w:t>.</w:t>
      </w:r>
    </w:p>
    <w:p w:rsidR="00811A9A" w:rsidRDefault="00811A9A" w:rsidP="00880E64">
      <w:pPr>
        <w:ind w:left="1440"/>
        <w:jc w:val="both"/>
        <w:rPr>
          <w:rFonts w:eastAsia="Times New Roman" w:cs="Times New Roman"/>
          <w:b/>
          <w:szCs w:val="24"/>
        </w:rPr>
      </w:pPr>
    </w:p>
    <w:p w:rsidR="00AA2968" w:rsidRPr="00880E64" w:rsidRDefault="00880E64" w:rsidP="009B3BC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AA2968">
        <w:rPr>
          <w:rFonts w:ascii="Times New Roman" w:hAnsi="Times New Roman" w:cs="Times New Roman"/>
          <w:b/>
          <w:sz w:val="24"/>
          <w:szCs w:val="24"/>
        </w:rPr>
        <w:t xml:space="preserve">Filing IRS Form 1099-C </w:t>
      </w:r>
      <w:r w:rsidR="000B001F">
        <w:rPr>
          <w:rFonts w:ascii="Times New Roman" w:hAnsi="Times New Roman" w:cs="Times New Roman"/>
          <w:b/>
          <w:sz w:val="24"/>
          <w:szCs w:val="24"/>
        </w:rPr>
        <w:t xml:space="preserve">[Cancellation of Debt] </w:t>
      </w:r>
      <w:r w:rsidR="00AA2968">
        <w:rPr>
          <w:rFonts w:ascii="Times New Roman" w:hAnsi="Times New Roman" w:cs="Times New Roman"/>
          <w:b/>
          <w:sz w:val="24"/>
          <w:szCs w:val="24"/>
        </w:rPr>
        <w:t xml:space="preserve">creates a material fact </w:t>
      </w:r>
      <w:r w:rsidR="000B001F">
        <w:rPr>
          <w:rFonts w:ascii="Times New Roman" w:hAnsi="Times New Roman" w:cs="Times New Roman"/>
          <w:b/>
          <w:sz w:val="24"/>
          <w:szCs w:val="24"/>
        </w:rPr>
        <w:t xml:space="preserve">for trial </w:t>
      </w:r>
      <w:r w:rsidR="00AA2968">
        <w:rPr>
          <w:rFonts w:ascii="Times New Roman" w:hAnsi="Times New Roman" w:cs="Times New Roman"/>
          <w:b/>
          <w:sz w:val="24"/>
          <w:szCs w:val="24"/>
        </w:rPr>
        <w:t xml:space="preserve">as to whether the debt </w:t>
      </w:r>
      <w:r w:rsidR="005E74A2">
        <w:rPr>
          <w:rFonts w:ascii="Times New Roman" w:hAnsi="Times New Roman" w:cs="Times New Roman"/>
          <w:b/>
          <w:sz w:val="24"/>
          <w:szCs w:val="24"/>
        </w:rPr>
        <w:t>w</w:t>
      </w:r>
      <w:r w:rsidR="00AA2968">
        <w:rPr>
          <w:rFonts w:ascii="Times New Roman" w:hAnsi="Times New Roman" w:cs="Times New Roman"/>
          <w:b/>
          <w:sz w:val="24"/>
          <w:szCs w:val="24"/>
        </w:rPr>
        <w:t xml:space="preserve">as released by </w:t>
      </w:r>
      <w:r w:rsidR="000B001F">
        <w:rPr>
          <w:rFonts w:ascii="Times New Roman" w:hAnsi="Times New Roman" w:cs="Times New Roman"/>
          <w:b/>
          <w:sz w:val="24"/>
          <w:szCs w:val="24"/>
        </w:rPr>
        <w:t xml:space="preserve">the </w:t>
      </w:r>
      <w:r w:rsidR="00AA2968">
        <w:rPr>
          <w:rFonts w:ascii="Times New Roman" w:hAnsi="Times New Roman" w:cs="Times New Roman"/>
          <w:b/>
          <w:sz w:val="24"/>
          <w:szCs w:val="24"/>
        </w:rPr>
        <w:t>creditor.</w:t>
      </w:r>
      <w:r>
        <w:rPr>
          <w:rFonts w:ascii="Times New Roman" w:hAnsi="Times New Roman" w:cs="Times New Roman"/>
          <w:b/>
          <w:sz w:val="24"/>
          <w:szCs w:val="24"/>
        </w:rPr>
        <w:t xml:space="preserve">  </w:t>
      </w:r>
      <w:r w:rsidR="00AA2968" w:rsidRPr="00880E64">
        <w:rPr>
          <w:rFonts w:ascii="Times New Roman" w:hAnsi="Times New Roman" w:cs="Times New Roman"/>
          <w:sz w:val="24"/>
          <w:szCs w:val="24"/>
        </w:rPr>
        <w:t xml:space="preserve">James Hofer (the “Debtor”) was indebted to </w:t>
      </w:r>
      <w:r w:rsidR="000B001F" w:rsidRPr="00880E64">
        <w:rPr>
          <w:rFonts w:ascii="Times New Roman" w:hAnsi="Times New Roman" w:cs="Times New Roman"/>
          <w:sz w:val="24"/>
          <w:szCs w:val="24"/>
        </w:rPr>
        <w:t>Reynolds State Bank</w:t>
      </w:r>
      <w:r w:rsidR="00AA2968" w:rsidRPr="00880E64">
        <w:rPr>
          <w:rFonts w:ascii="Times New Roman" w:hAnsi="Times New Roman" w:cs="Times New Roman"/>
          <w:sz w:val="24"/>
          <w:szCs w:val="24"/>
        </w:rPr>
        <w:t xml:space="preserve"> (the “Creditor”).</w:t>
      </w:r>
      <w:r w:rsidR="00645A68" w:rsidRPr="00880E64">
        <w:rPr>
          <w:rFonts w:ascii="Times New Roman" w:hAnsi="Times New Roman" w:cs="Times New Roman"/>
          <w:sz w:val="24"/>
          <w:szCs w:val="24"/>
        </w:rPr>
        <w:t xml:space="preserve">  The parties discussed the cancellation of the debt.</w:t>
      </w:r>
      <w:r w:rsidR="00AA2968" w:rsidRPr="00880E64">
        <w:rPr>
          <w:rFonts w:ascii="Times New Roman" w:hAnsi="Times New Roman" w:cs="Times New Roman"/>
          <w:sz w:val="24"/>
          <w:szCs w:val="24"/>
        </w:rPr>
        <w:t xml:space="preserve">  </w:t>
      </w:r>
      <w:r w:rsidR="00645A68" w:rsidRPr="00880E64">
        <w:rPr>
          <w:rFonts w:ascii="Times New Roman" w:hAnsi="Times New Roman" w:cs="Times New Roman"/>
          <w:sz w:val="24"/>
          <w:szCs w:val="24"/>
        </w:rPr>
        <w:t>Subsequently t</w:t>
      </w:r>
      <w:r w:rsidR="000B001F" w:rsidRPr="00880E64">
        <w:rPr>
          <w:rFonts w:ascii="Times New Roman" w:hAnsi="Times New Roman" w:cs="Times New Roman"/>
          <w:sz w:val="24"/>
          <w:szCs w:val="24"/>
        </w:rPr>
        <w:t xml:space="preserve">he Creditor </w:t>
      </w:r>
      <w:r w:rsidR="00645A68" w:rsidRPr="00880E64">
        <w:rPr>
          <w:rFonts w:ascii="Times New Roman" w:hAnsi="Times New Roman" w:cs="Times New Roman"/>
          <w:sz w:val="24"/>
          <w:szCs w:val="24"/>
        </w:rPr>
        <w:t xml:space="preserve">issued an </w:t>
      </w:r>
      <w:r w:rsidR="00AA2968" w:rsidRPr="00880E64">
        <w:rPr>
          <w:rFonts w:ascii="Times New Roman" w:hAnsi="Times New Roman" w:cs="Times New Roman"/>
          <w:sz w:val="24"/>
          <w:szCs w:val="24"/>
        </w:rPr>
        <w:t>IRS Form 1099-C</w:t>
      </w:r>
      <w:r w:rsidR="000B001F" w:rsidRPr="00880E64">
        <w:rPr>
          <w:rFonts w:ascii="Times New Roman" w:hAnsi="Times New Roman" w:cs="Times New Roman"/>
          <w:sz w:val="24"/>
          <w:szCs w:val="24"/>
        </w:rPr>
        <w:t xml:space="preserve"> [Cancellation of Debt]</w:t>
      </w:r>
      <w:r w:rsidR="00645A68" w:rsidRPr="00880E64">
        <w:rPr>
          <w:rFonts w:ascii="Times New Roman" w:hAnsi="Times New Roman" w:cs="Times New Roman"/>
          <w:sz w:val="24"/>
          <w:szCs w:val="24"/>
        </w:rPr>
        <w:t xml:space="preserve"> and </w:t>
      </w:r>
      <w:r w:rsidR="00D84D55">
        <w:rPr>
          <w:rFonts w:ascii="Times New Roman" w:hAnsi="Times New Roman" w:cs="Times New Roman"/>
          <w:sz w:val="24"/>
          <w:szCs w:val="24"/>
        </w:rPr>
        <w:t xml:space="preserve">sent a copy of the IRS form </w:t>
      </w:r>
      <w:r w:rsidR="00645A68" w:rsidRPr="00880E64">
        <w:rPr>
          <w:rFonts w:ascii="Times New Roman" w:hAnsi="Times New Roman" w:cs="Times New Roman"/>
          <w:sz w:val="24"/>
          <w:szCs w:val="24"/>
        </w:rPr>
        <w:t>to the Debtor</w:t>
      </w:r>
      <w:r w:rsidR="000B001F" w:rsidRPr="00880E64">
        <w:rPr>
          <w:rFonts w:ascii="Times New Roman" w:hAnsi="Times New Roman" w:cs="Times New Roman"/>
          <w:sz w:val="24"/>
          <w:szCs w:val="24"/>
        </w:rPr>
        <w:t>.</w:t>
      </w:r>
      <w:r w:rsidR="00645A68" w:rsidRPr="00880E64">
        <w:rPr>
          <w:rFonts w:ascii="Times New Roman" w:hAnsi="Times New Roman" w:cs="Times New Roman"/>
          <w:sz w:val="24"/>
          <w:szCs w:val="24"/>
        </w:rPr>
        <w:t xml:space="preserve">  In reliance on the IRS </w:t>
      </w:r>
      <w:r w:rsidR="00D84D55">
        <w:rPr>
          <w:rFonts w:ascii="Times New Roman" w:hAnsi="Times New Roman" w:cs="Times New Roman"/>
          <w:sz w:val="24"/>
          <w:szCs w:val="24"/>
        </w:rPr>
        <w:t>f</w:t>
      </w:r>
      <w:r w:rsidR="00645A68" w:rsidRPr="00880E64">
        <w:rPr>
          <w:rFonts w:ascii="Times New Roman" w:hAnsi="Times New Roman" w:cs="Times New Roman"/>
          <w:sz w:val="24"/>
          <w:szCs w:val="24"/>
        </w:rPr>
        <w:t>o</w:t>
      </w:r>
      <w:r w:rsidR="00D84D55">
        <w:rPr>
          <w:rFonts w:ascii="Times New Roman" w:hAnsi="Times New Roman" w:cs="Times New Roman"/>
          <w:sz w:val="24"/>
          <w:szCs w:val="24"/>
        </w:rPr>
        <w:t>rm</w:t>
      </w:r>
      <w:r w:rsidR="00645A68" w:rsidRPr="00880E64">
        <w:rPr>
          <w:rFonts w:ascii="Times New Roman" w:hAnsi="Times New Roman" w:cs="Times New Roman"/>
          <w:sz w:val="24"/>
          <w:szCs w:val="24"/>
        </w:rPr>
        <w:t xml:space="preserve">, the Debtor included the cancelled amount in his taxes as additional income.  </w:t>
      </w:r>
      <w:r w:rsidR="000B001F" w:rsidRPr="00880E64">
        <w:rPr>
          <w:rFonts w:ascii="Times New Roman" w:hAnsi="Times New Roman" w:cs="Times New Roman"/>
          <w:sz w:val="24"/>
          <w:szCs w:val="24"/>
        </w:rPr>
        <w:t>The Debtor died.</w:t>
      </w:r>
      <w:r w:rsidR="00645A68" w:rsidRPr="00880E64">
        <w:rPr>
          <w:rFonts w:ascii="Times New Roman" w:hAnsi="Times New Roman" w:cs="Times New Roman"/>
          <w:sz w:val="24"/>
          <w:szCs w:val="24"/>
        </w:rPr>
        <w:t xml:space="preserve">  The Creditor filed a probate claim.  The Debtor’s estate object</w:t>
      </w:r>
      <w:r w:rsidR="00D84D55">
        <w:rPr>
          <w:rFonts w:ascii="Times New Roman" w:hAnsi="Times New Roman" w:cs="Times New Roman"/>
          <w:sz w:val="24"/>
          <w:szCs w:val="24"/>
        </w:rPr>
        <w:t>ed</w:t>
      </w:r>
      <w:r w:rsidR="00645A68" w:rsidRPr="00880E64">
        <w:rPr>
          <w:rFonts w:ascii="Times New Roman" w:hAnsi="Times New Roman" w:cs="Times New Roman"/>
          <w:sz w:val="24"/>
          <w:szCs w:val="24"/>
        </w:rPr>
        <w:t xml:space="preserve"> to the claim arguing that the debt had been cancelled and that the issuance of the IRS Form 1099-C evidenced the cancellation of debt.  The Creditor argued that it made a clerical error, that the debt had not been cancelled, and that it was entitled to a probate claim.  The court held that the issuance of the </w:t>
      </w:r>
      <w:r w:rsidR="00D84D55">
        <w:rPr>
          <w:rFonts w:ascii="Times New Roman" w:hAnsi="Times New Roman" w:cs="Times New Roman"/>
          <w:sz w:val="24"/>
          <w:szCs w:val="24"/>
        </w:rPr>
        <w:t xml:space="preserve">IRS </w:t>
      </w:r>
      <w:r w:rsidR="00645A68" w:rsidRPr="00880E64">
        <w:rPr>
          <w:rFonts w:ascii="Times New Roman" w:hAnsi="Times New Roman" w:cs="Times New Roman"/>
          <w:sz w:val="24"/>
          <w:szCs w:val="24"/>
        </w:rPr>
        <w:t xml:space="preserve">form </w:t>
      </w:r>
      <w:r w:rsidR="00D84D55">
        <w:rPr>
          <w:rFonts w:ascii="Times New Roman" w:hAnsi="Times New Roman" w:cs="Times New Roman"/>
          <w:sz w:val="24"/>
          <w:szCs w:val="24"/>
        </w:rPr>
        <w:t xml:space="preserve">was not, alone, the </w:t>
      </w:r>
      <w:r w:rsidR="00645A68" w:rsidRPr="00880E64">
        <w:rPr>
          <w:rFonts w:ascii="Times New Roman" w:hAnsi="Times New Roman" w:cs="Times New Roman"/>
          <w:sz w:val="24"/>
          <w:szCs w:val="24"/>
        </w:rPr>
        <w:t xml:space="preserve">release of </w:t>
      </w:r>
      <w:r w:rsidR="00D84D55">
        <w:rPr>
          <w:rFonts w:ascii="Times New Roman" w:hAnsi="Times New Roman" w:cs="Times New Roman"/>
          <w:sz w:val="24"/>
          <w:szCs w:val="24"/>
        </w:rPr>
        <w:t xml:space="preserve">the </w:t>
      </w:r>
      <w:r w:rsidR="00645A68" w:rsidRPr="00880E64">
        <w:rPr>
          <w:rFonts w:ascii="Times New Roman" w:hAnsi="Times New Roman" w:cs="Times New Roman"/>
          <w:sz w:val="24"/>
          <w:szCs w:val="24"/>
        </w:rPr>
        <w:t xml:space="preserve">debt and that whether the debt had been cancelled was an issue of material fact for trial.  </w:t>
      </w:r>
      <w:r w:rsidR="00645A68" w:rsidRPr="00880E64">
        <w:rPr>
          <w:rFonts w:ascii="Times New Roman" w:hAnsi="Times New Roman" w:cs="Times New Roman"/>
          <w:i/>
          <w:sz w:val="24"/>
          <w:szCs w:val="24"/>
        </w:rPr>
        <w:t>In re Estate of Hofer</w:t>
      </w:r>
      <w:r w:rsidR="00645A68" w:rsidRPr="00880E64">
        <w:rPr>
          <w:rFonts w:ascii="Times New Roman" w:hAnsi="Times New Roman" w:cs="Times New Roman"/>
          <w:sz w:val="24"/>
          <w:szCs w:val="24"/>
        </w:rPr>
        <w:t xml:space="preserve">, 42 N.E. 3d 480 (Ill App. 2015).   </w:t>
      </w:r>
      <w:r w:rsidR="000B001F" w:rsidRPr="00880E64">
        <w:rPr>
          <w:rFonts w:ascii="Times New Roman" w:hAnsi="Times New Roman" w:cs="Times New Roman"/>
          <w:sz w:val="24"/>
          <w:szCs w:val="24"/>
        </w:rPr>
        <w:t xml:space="preserve">    </w:t>
      </w:r>
      <w:r w:rsidR="00AA2968" w:rsidRPr="00880E64">
        <w:rPr>
          <w:rFonts w:ascii="Times New Roman" w:hAnsi="Times New Roman" w:cs="Times New Roman"/>
          <w:sz w:val="24"/>
          <w:szCs w:val="24"/>
        </w:rPr>
        <w:t xml:space="preserve">  </w:t>
      </w:r>
    </w:p>
    <w:p w:rsidR="00AA2968" w:rsidRPr="00880E64" w:rsidRDefault="00AA2968" w:rsidP="009B3BC5">
      <w:pPr>
        <w:pStyle w:val="ListParagraph"/>
        <w:spacing w:line="240" w:lineRule="auto"/>
        <w:ind w:left="1440"/>
        <w:jc w:val="both"/>
        <w:rPr>
          <w:rFonts w:ascii="Times New Roman" w:hAnsi="Times New Roman" w:cs="Times New Roman"/>
          <w:sz w:val="24"/>
          <w:szCs w:val="24"/>
        </w:rPr>
      </w:pPr>
    </w:p>
    <w:p w:rsidR="00880E64" w:rsidRDefault="005E74A2" w:rsidP="00880E64">
      <w:pPr>
        <w:pStyle w:val="ListParagraph"/>
        <w:spacing w:line="240" w:lineRule="auto"/>
        <w:ind w:left="1440"/>
        <w:jc w:val="both"/>
        <w:rPr>
          <w:rFonts w:ascii="Times New Roman" w:hAnsi="Times New Roman" w:cs="Times New Roman"/>
          <w:sz w:val="24"/>
          <w:szCs w:val="24"/>
        </w:rPr>
      </w:pPr>
      <w:r w:rsidRPr="00880E64">
        <w:rPr>
          <w:rFonts w:ascii="Times New Roman" w:hAnsi="Times New Roman" w:cs="Times New Roman"/>
          <w:sz w:val="24"/>
          <w:szCs w:val="24"/>
        </w:rPr>
        <w:t xml:space="preserve">Comment.  It is unclear whether </w:t>
      </w:r>
      <w:r w:rsidR="00B773BD" w:rsidRPr="00880E64">
        <w:rPr>
          <w:rFonts w:ascii="Times New Roman" w:hAnsi="Times New Roman" w:cs="Times New Roman"/>
          <w:sz w:val="24"/>
          <w:szCs w:val="24"/>
        </w:rPr>
        <w:t>the Illinois Credit Agreements Act (815 ILCS 160/2) is a defense to the claims of the Debtor</w:t>
      </w:r>
      <w:r w:rsidRPr="00880E64">
        <w:rPr>
          <w:rFonts w:ascii="Times New Roman" w:hAnsi="Times New Roman" w:cs="Times New Roman"/>
          <w:sz w:val="24"/>
          <w:szCs w:val="24"/>
        </w:rPr>
        <w:t xml:space="preserve">.  Consistent with the NJK case summarized above, </w:t>
      </w:r>
      <w:r w:rsidR="00B773BD" w:rsidRPr="00880E64">
        <w:rPr>
          <w:rFonts w:ascii="Times New Roman" w:hAnsi="Times New Roman" w:cs="Times New Roman"/>
          <w:sz w:val="24"/>
          <w:szCs w:val="24"/>
        </w:rPr>
        <w:t xml:space="preserve">under most state credit agreement acts </w:t>
      </w:r>
      <w:r w:rsidRPr="00880E64">
        <w:rPr>
          <w:rFonts w:ascii="Times New Roman" w:hAnsi="Times New Roman" w:cs="Times New Roman"/>
          <w:sz w:val="24"/>
          <w:szCs w:val="24"/>
        </w:rPr>
        <w:t xml:space="preserve">any </w:t>
      </w:r>
      <w:r w:rsidR="00B773BD" w:rsidRPr="00880E64">
        <w:rPr>
          <w:rFonts w:ascii="Times New Roman" w:hAnsi="Times New Roman" w:cs="Times New Roman"/>
          <w:sz w:val="24"/>
          <w:szCs w:val="24"/>
        </w:rPr>
        <w:t xml:space="preserve">agreement to </w:t>
      </w:r>
      <w:r w:rsidRPr="00880E64">
        <w:rPr>
          <w:rFonts w:ascii="Times New Roman" w:hAnsi="Times New Roman" w:cs="Times New Roman"/>
          <w:sz w:val="24"/>
          <w:szCs w:val="24"/>
        </w:rPr>
        <w:t>cancel debt require</w:t>
      </w:r>
      <w:r w:rsidR="00B773BD" w:rsidRPr="00880E64">
        <w:rPr>
          <w:rFonts w:ascii="Times New Roman" w:hAnsi="Times New Roman" w:cs="Times New Roman"/>
          <w:sz w:val="24"/>
          <w:szCs w:val="24"/>
        </w:rPr>
        <w:t>s</w:t>
      </w:r>
      <w:r w:rsidRPr="00880E64">
        <w:rPr>
          <w:rFonts w:ascii="Times New Roman" w:hAnsi="Times New Roman" w:cs="Times New Roman"/>
          <w:sz w:val="24"/>
          <w:szCs w:val="24"/>
        </w:rPr>
        <w:t xml:space="preserve"> a wri</w:t>
      </w:r>
      <w:r w:rsidR="00D84D55">
        <w:rPr>
          <w:rFonts w:ascii="Times New Roman" w:hAnsi="Times New Roman" w:cs="Times New Roman"/>
          <w:sz w:val="24"/>
          <w:szCs w:val="24"/>
        </w:rPr>
        <w:t>tten agreement of the parties.</w:t>
      </w:r>
    </w:p>
    <w:p w:rsidR="00D84D55" w:rsidRDefault="00D84D55" w:rsidP="00880E64">
      <w:pPr>
        <w:pStyle w:val="ListParagraph"/>
        <w:spacing w:line="240" w:lineRule="auto"/>
        <w:ind w:left="1440"/>
        <w:jc w:val="both"/>
        <w:rPr>
          <w:rFonts w:ascii="Times New Roman" w:hAnsi="Times New Roman" w:cs="Times New Roman"/>
          <w:sz w:val="24"/>
          <w:szCs w:val="24"/>
        </w:rPr>
      </w:pPr>
    </w:p>
    <w:p w:rsidR="00D84D55" w:rsidRPr="00880E64" w:rsidRDefault="00D84D55" w:rsidP="00880E64">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i</w:t>
      </w:r>
      <w:r w:rsidRPr="00D84D55">
        <w:rPr>
          <w:rFonts w:ascii="Times New Roman" w:hAnsi="Times New Roman" w:cs="Times New Roman"/>
          <w:b/>
          <w:sz w:val="24"/>
          <w:szCs w:val="24"/>
        </w:rPr>
        <w:t>ii.</w:t>
      </w:r>
      <w:r w:rsidRPr="00D84D55">
        <w:rPr>
          <w:rFonts w:ascii="Times New Roman" w:hAnsi="Times New Roman" w:cs="Times New Roman"/>
          <w:b/>
          <w:sz w:val="24"/>
          <w:szCs w:val="24"/>
        </w:rPr>
        <w:tab/>
        <w:t xml:space="preserve">Illinois Credit Agreements Act does not bar economic duress claims.  </w:t>
      </w:r>
      <w:r w:rsidRPr="00D84D55">
        <w:rPr>
          <w:rFonts w:ascii="Times New Roman" w:hAnsi="Times New Roman" w:cs="Times New Roman"/>
          <w:sz w:val="24"/>
          <w:szCs w:val="24"/>
        </w:rPr>
        <w:t>Royalty Properties, LLC (the “Debtor”) intended to buy a 400 acre horse farm for $19,350,000.  The Debtor applied for</w:t>
      </w:r>
      <w:r w:rsidR="008F6ECD">
        <w:rPr>
          <w:rFonts w:ascii="Times New Roman" w:hAnsi="Times New Roman" w:cs="Times New Roman"/>
          <w:sz w:val="24"/>
          <w:szCs w:val="24"/>
        </w:rPr>
        <w:t>,</w:t>
      </w:r>
      <w:r w:rsidRPr="00D84D55">
        <w:rPr>
          <w:rFonts w:ascii="Times New Roman" w:hAnsi="Times New Roman" w:cs="Times New Roman"/>
          <w:sz w:val="24"/>
          <w:szCs w:val="24"/>
        </w:rPr>
        <w:t xml:space="preserve"> and Amcore Bank, N.A. (the “Secured Creditor”) tentatively approved</w:t>
      </w:r>
      <w:r w:rsidR="008F6ECD">
        <w:rPr>
          <w:rFonts w:ascii="Times New Roman" w:hAnsi="Times New Roman" w:cs="Times New Roman"/>
          <w:sz w:val="24"/>
          <w:szCs w:val="24"/>
        </w:rPr>
        <w:t>,</w:t>
      </w:r>
      <w:r w:rsidRPr="00D84D55">
        <w:rPr>
          <w:rFonts w:ascii="Times New Roman" w:hAnsi="Times New Roman" w:cs="Times New Roman"/>
          <w:sz w:val="24"/>
          <w:szCs w:val="24"/>
        </w:rPr>
        <w:t xml:space="preserve"> the </w:t>
      </w:r>
      <w:r>
        <w:rPr>
          <w:rFonts w:ascii="Times New Roman" w:hAnsi="Times New Roman" w:cs="Times New Roman"/>
          <w:sz w:val="24"/>
          <w:szCs w:val="24"/>
        </w:rPr>
        <w:t xml:space="preserve">loan </w:t>
      </w:r>
      <w:r w:rsidRPr="00D84D55">
        <w:rPr>
          <w:rFonts w:ascii="Times New Roman" w:hAnsi="Times New Roman" w:cs="Times New Roman"/>
          <w:sz w:val="24"/>
          <w:szCs w:val="24"/>
        </w:rPr>
        <w:t>application.  In reliance, the Debtor escrowed $1,935,000 as a security deposit.  The Secured Creditor was slow to finalize the loan document</w:t>
      </w:r>
      <w:r w:rsidR="008F6ECD">
        <w:rPr>
          <w:rFonts w:ascii="Times New Roman" w:hAnsi="Times New Roman" w:cs="Times New Roman"/>
          <w:sz w:val="24"/>
          <w:szCs w:val="24"/>
        </w:rPr>
        <w:t>s</w:t>
      </w:r>
      <w:r w:rsidRPr="00D84D55">
        <w:rPr>
          <w:rFonts w:ascii="Times New Roman" w:hAnsi="Times New Roman" w:cs="Times New Roman"/>
          <w:sz w:val="24"/>
          <w:szCs w:val="24"/>
        </w:rPr>
        <w:t xml:space="preserve">.  By the time the Secured Creditor finalized the loan documents, the Debtor’s argued that they had little leverage to negotiate the terms and accepted the terms to avoid losing its security deposit.  The debt was secured by a mortgage on the 400 acre horse farm.  The Debtor defaulted on the loan and the Secured Creditor commenced a foreclosure action.  The Debtor contested and argued that the Debtor executed the loan documents under economic duress.  The </w:t>
      </w:r>
      <w:r w:rsidRPr="00D84D55">
        <w:rPr>
          <w:rFonts w:ascii="Times New Roman" w:hAnsi="Times New Roman" w:cs="Times New Roman"/>
          <w:sz w:val="24"/>
          <w:szCs w:val="24"/>
        </w:rPr>
        <w:lastRenderedPageBreak/>
        <w:t xml:space="preserve">Secured Creditor argued that the debt was for commercial purposes and the Illinois Credit Agreements Act (815 ILCS 160/2) bars economic duress claims.  The court disagreed and held that even if the loan was for commercial purposes, the Illinois Credit Agreements Act does not bar economic duress claims.  </w:t>
      </w:r>
      <w:r w:rsidRPr="00D84D55">
        <w:rPr>
          <w:rFonts w:ascii="Times New Roman" w:hAnsi="Times New Roman" w:cs="Times New Roman"/>
          <w:i/>
          <w:sz w:val="24"/>
          <w:szCs w:val="24"/>
        </w:rPr>
        <w:t>BMO Harris Bank, N.A. v. Royalty Properties, LLC</w:t>
      </w:r>
      <w:r w:rsidRPr="00D84D55">
        <w:rPr>
          <w:rFonts w:ascii="Times New Roman" w:hAnsi="Times New Roman" w:cs="Times New Roman"/>
          <w:sz w:val="24"/>
          <w:szCs w:val="24"/>
        </w:rPr>
        <w:t>, 2016 IL App 151338-U (2016).</w:t>
      </w:r>
    </w:p>
    <w:p w:rsidR="00880E64" w:rsidRDefault="00880E64" w:rsidP="00880E64">
      <w:pPr>
        <w:pStyle w:val="ListParagraph"/>
        <w:spacing w:line="240" w:lineRule="auto"/>
        <w:ind w:left="1440"/>
        <w:jc w:val="both"/>
        <w:rPr>
          <w:rFonts w:ascii="Times New Roman" w:hAnsi="Times New Roman" w:cs="Times New Roman"/>
          <w:b/>
          <w:sz w:val="24"/>
          <w:szCs w:val="24"/>
        </w:rPr>
      </w:pPr>
    </w:p>
    <w:p w:rsidR="00DD4BD8" w:rsidRDefault="00880E64" w:rsidP="00880E6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ab/>
        <w:t>3.</w:t>
      </w:r>
      <w:r>
        <w:rPr>
          <w:rFonts w:ascii="Times New Roman" w:hAnsi="Times New Roman" w:cs="Times New Roman"/>
          <w:b/>
          <w:sz w:val="24"/>
          <w:szCs w:val="24"/>
        </w:rPr>
        <w:tab/>
      </w:r>
      <w:r w:rsidR="00DD4BD8">
        <w:rPr>
          <w:rFonts w:ascii="Times New Roman" w:hAnsi="Times New Roman" w:cs="Times New Roman"/>
          <w:b/>
          <w:sz w:val="24"/>
          <w:szCs w:val="24"/>
        </w:rPr>
        <w:t>Grain Dealer Statutes.</w:t>
      </w:r>
    </w:p>
    <w:p w:rsidR="00DD4BD8" w:rsidRPr="005A0F6E" w:rsidRDefault="00CF428C" w:rsidP="005A0F6E">
      <w:pPr>
        <w:ind w:left="1440"/>
        <w:jc w:val="both"/>
        <w:rPr>
          <w:rFonts w:eastAsia="Times New Roman" w:cs="Times New Roman"/>
          <w:b/>
          <w:szCs w:val="24"/>
        </w:rPr>
      </w:pPr>
      <w:r w:rsidRPr="00CF428C">
        <w:rPr>
          <w:rFonts w:eastAsia="Times New Roman" w:cs="Times New Roman"/>
          <w:b/>
          <w:szCs w:val="24"/>
        </w:rPr>
        <w:t>Jurisdiction and related claims under Nebraska Nebraska Grain Warehouse Act and the Grain Dealer Act.</w:t>
      </w:r>
      <w:r w:rsidR="00880E64">
        <w:rPr>
          <w:rFonts w:eastAsia="Times New Roman" w:cs="Times New Roman"/>
          <w:b/>
          <w:szCs w:val="24"/>
        </w:rPr>
        <w:t xml:space="preserve">  </w:t>
      </w:r>
      <w:r w:rsidR="00D9243D" w:rsidRPr="00880E64">
        <w:rPr>
          <w:rFonts w:eastAsia="Times New Roman" w:cs="Times New Roman"/>
          <w:szCs w:val="24"/>
        </w:rPr>
        <w:t xml:space="preserve">Pierce Elevator (the “Elevator”) operated a grain elevator in Pierce, Randolph and Foster, Nebraska.  The Elevator was indebted to Citizens State Bank (the “Creditor”).  The Creditor conditionally extended a line of credit to the Elevator in reliance on financials provided </w:t>
      </w:r>
      <w:r w:rsidR="00D57816">
        <w:rPr>
          <w:rFonts w:eastAsia="Times New Roman" w:cs="Times New Roman"/>
          <w:szCs w:val="24"/>
        </w:rPr>
        <w:t xml:space="preserve">by </w:t>
      </w:r>
      <w:r w:rsidR="00D9243D" w:rsidRPr="00880E64">
        <w:rPr>
          <w:rFonts w:eastAsia="Times New Roman" w:cs="Times New Roman"/>
          <w:szCs w:val="24"/>
        </w:rPr>
        <w:t xml:space="preserve">the Elevator.  The Creditor elected to not renew the line of credit and the Elevator went insolvent.  The Nebraska Public Service Commission (the “Commission”) commenced a legal action to determine claims under the Nebraska Grain Warehouse Act and the Grain Dealer Act.  Producers with stored grain with the Elevator filed </w:t>
      </w:r>
      <w:r w:rsidR="00DD4BD8" w:rsidRPr="00880E64">
        <w:rPr>
          <w:rFonts w:eastAsia="Times New Roman" w:cs="Times New Roman"/>
          <w:szCs w:val="24"/>
        </w:rPr>
        <w:t xml:space="preserve">claims under the </w:t>
      </w:r>
      <w:r w:rsidR="00D9243D" w:rsidRPr="00880E64">
        <w:rPr>
          <w:rFonts w:eastAsia="Times New Roman" w:cs="Times New Roman"/>
          <w:szCs w:val="24"/>
        </w:rPr>
        <w:t xml:space="preserve">Nebraska </w:t>
      </w:r>
      <w:r w:rsidR="00DD4BD8" w:rsidRPr="00880E64">
        <w:rPr>
          <w:rFonts w:eastAsia="Times New Roman" w:cs="Times New Roman"/>
          <w:szCs w:val="24"/>
        </w:rPr>
        <w:t xml:space="preserve">Grain Warehouse Act </w:t>
      </w:r>
      <w:r w:rsidR="00D9243D" w:rsidRPr="00880E64">
        <w:rPr>
          <w:rFonts w:eastAsia="Times New Roman" w:cs="Times New Roman"/>
          <w:szCs w:val="24"/>
        </w:rPr>
        <w:t xml:space="preserve">(Neb. Rev. Stat. </w:t>
      </w:r>
      <w:r w:rsidR="00D57816" w:rsidRPr="00D57816">
        <w:rPr>
          <w:rFonts w:eastAsia="Times New Roman" w:cs="Times New Roman"/>
          <w:szCs w:val="24"/>
        </w:rPr>
        <w:t>§</w:t>
      </w:r>
      <w:r w:rsidR="00D57816">
        <w:rPr>
          <w:rFonts w:eastAsia="Times New Roman" w:cs="Times New Roman"/>
          <w:szCs w:val="24"/>
        </w:rPr>
        <w:t xml:space="preserve"> </w:t>
      </w:r>
      <w:r w:rsidR="00D9243D" w:rsidRPr="00880E64">
        <w:rPr>
          <w:rFonts w:eastAsia="Times New Roman" w:cs="Times New Roman"/>
          <w:szCs w:val="24"/>
        </w:rPr>
        <w:t xml:space="preserve">88-526) </w:t>
      </w:r>
      <w:r w:rsidR="00DD4BD8" w:rsidRPr="00880E64">
        <w:rPr>
          <w:rFonts w:eastAsia="Times New Roman" w:cs="Times New Roman"/>
          <w:szCs w:val="24"/>
        </w:rPr>
        <w:t>and the Grain Dealer Act.</w:t>
      </w:r>
      <w:r w:rsidR="00D9243D" w:rsidRPr="00880E64">
        <w:rPr>
          <w:rFonts w:eastAsia="Times New Roman" w:cs="Times New Roman"/>
          <w:szCs w:val="24"/>
        </w:rPr>
        <w:t xml:space="preserve">  Sufficient grain was in storage to pay off stored grain claims.  </w:t>
      </w:r>
      <w:r w:rsidRPr="00880E64">
        <w:rPr>
          <w:rFonts w:eastAsia="Times New Roman" w:cs="Times New Roman"/>
          <w:szCs w:val="24"/>
        </w:rPr>
        <w:t>The Commission sough to resolve claimed related to other business transaction including loans made to the Elevator, delayed price contracts, and sold grain for which the sale proceeds had not yet been delivered to the producer or for which were not honored by the Elevator.  T</w:t>
      </w:r>
      <w:r w:rsidR="00DD4BD8" w:rsidRPr="00880E64">
        <w:rPr>
          <w:rFonts w:eastAsia="Times New Roman" w:cs="Times New Roman"/>
          <w:szCs w:val="24"/>
        </w:rPr>
        <w:t xml:space="preserve">he court held that </w:t>
      </w:r>
      <w:r w:rsidRPr="00880E64">
        <w:rPr>
          <w:rFonts w:eastAsia="Times New Roman" w:cs="Times New Roman"/>
          <w:szCs w:val="24"/>
        </w:rPr>
        <w:t xml:space="preserve">(1) the Commission </w:t>
      </w:r>
      <w:r w:rsidR="00DD4BD8" w:rsidRPr="00880E64">
        <w:rPr>
          <w:rFonts w:eastAsia="Times New Roman" w:cs="Times New Roman"/>
          <w:szCs w:val="24"/>
        </w:rPr>
        <w:t>did not have jurisdiction to address claimant’s equitable claim that he was fraudulently induced into executing a delayed-price contract to sell grain</w:t>
      </w:r>
      <w:r w:rsidRPr="00880E64">
        <w:rPr>
          <w:rFonts w:eastAsia="Times New Roman" w:cs="Times New Roman"/>
          <w:szCs w:val="24"/>
        </w:rPr>
        <w:t xml:space="preserve">; (2) </w:t>
      </w:r>
      <w:r w:rsidR="00DD4BD8" w:rsidRPr="00880E64">
        <w:rPr>
          <w:rFonts w:eastAsia="Times New Roman" w:cs="Times New Roman"/>
          <w:szCs w:val="24"/>
        </w:rPr>
        <w:t>the “issuance” of check triggering five-day recovery period under Grain Warehouse Act means first delivery of check by the maker or drawer</w:t>
      </w:r>
      <w:r w:rsidRPr="00880E64">
        <w:rPr>
          <w:rFonts w:eastAsia="Times New Roman" w:cs="Times New Roman"/>
          <w:szCs w:val="24"/>
        </w:rPr>
        <w:t xml:space="preserve">; (3) </w:t>
      </w:r>
      <w:r w:rsidR="00DD4BD8" w:rsidRPr="00880E64">
        <w:rPr>
          <w:rFonts w:eastAsia="Times New Roman" w:cs="Times New Roman"/>
          <w:szCs w:val="24"/>
        </w:rPr>
        <w:t>a delayed-price contract for sale of grain transferred title when contract was signed</w:t>
      </w:r>
      <w:r w:rsidRPr="00880E64">
        <w:rPr>
          <w:rFonts w:eastAsia="Times New Roman" w:cs="Times New Roman"/>
          <w:szCs w:val="24"/>
        </w:rPr>
        <w:t xml:space="preserve">; (4) </w:t>
      </w:r>
      <w:r w:rsidR="00DD4BD8" w:rsidRPr="00880E64">
        <w:rPr>
          <w:rFonts w:eastAsia="Times New Roman" w:cs="Times New Roman"/>
          <w:szCs w:val="24"/>
        </w:rPr>
        <w:t>a customer could recover as an owner of grain in storage for grain in third-party grain terminals</w:t>
      </w:r>
      <w:r w:rsidRPr="00880E64">
        <w:rPr>
          <w:rFonts w:eastAsia="Times New Roman" w:cs="Times New Roman"/>
          <w:szCs w:val="24"/>
        </w:rPr>
        <w:t xml:space="preserve">; (5) </w:t>
      </w:r>
      <w:r w:rsidR="00DD4BD8" w:rsidRPr="00880E64">
        <w:rPr>
          <w:rFonts w:eastAsia="Times New Roman" w:cs="Times New Roman"/>
          <w:szCs w:val="24"/>
        </w:rPr>
        <w:t>undelivered checks did not confer status of “qualified check holder” entitled to protection under Grain Warehouse Act</w:t>
      </w:r>
      <w:r w:rsidRPr="00880E64">
        <w:rPr>
          <w:rFonts w:eastAsia="Times New Roman" w:cs="Times New Roman"/>
          <w:szCs w:val="24"/>
        </w:rPr>
        <w:t xml:space="preserve">; and (6) </w:t>
      </w:r>
      <w:r w:rsidR="00DD4BD8" w:rsidRPr="00880E64">
        <w:rPr>
          <w:rFonts w:eastAsia="Times New Roman" w:cs="Times New Roman"/>
          <w:szCs w:val="24"/>
        </w:rPr>
        <w:t xml:space="preserve">customers lacked standing to argue that a loan to the warehouseman should not have been classified as a sale or forward contract giving rise to a right to recovery under Grain Dealer Act.  </w:t>
      </w:r>
      <w:r w:rsidR="00DD4BD8" w:rsidRPr="00880E64">
        <w:rPr>
          <w:rFonts w:eastAsia="Times New Roman" w:cs="Times New Roman"/>
          <w:i/>
          <w:szCs w:val="24"/>
        </w:rPr>
        <w:t>In re Claims Against Pierce Elevator</w:t>
      </w:r>
      <w:r w:rsidR="00DD4BD8" w:rsidRPr="00880E64">
        <w:rPr>
          <w:rFonts w:eastAsia="Times New Roman" w:cs="Times New Roman"/>
          <w:szCs w:val="24"/>
        </w:rPr>
        <w:t>, 868 N.W.2d 781 (Neb. 2015)</w:t>
      </w:r>
      <w:r w:rsidRPr="00880E64">
        <w:rPr>
          <w:rFonts w:eastAsia="Times New Roman" w:cs="Times New Roman"/>
          <w:szCs w:val="24"/>
        </w:rPr>
        <w:t>.</w:t>
      </w:r>
    </w:p>
    <w:p w:rsidR="002B192A" w:rsidRDefault="002B192A" w:rsidP="00ED544E">
      <w:pPr>
        <w:jc w:val="both"/>
        <w:rPr>
          <w:rFonts w:cs="Times New Roman"/>
          <w:b/>
          <w:szCs w:val="24"/>
        </w:rPr>
      </w:pPr>
    </w:p>
    <w:p w:rsidR="002B192A" w:rsidRDefault="00880E64" w:rsidP="00043656">
      <w:pPr>
        <w:tabs>
          <w:tab w:val="left" w:pos="0"/>
        </w:tabs>
        <w:ind w:left="720"/>
        <w:rPr>
          <w:rFonts w:cs="Times New Roman"/>
          <w:b/>
          <w:szCs w:val="24"/>
        </w:rPr>
      </w:pPr>
      <w:r>
        <w:rPr>
          <w:rFonts w:cs="Times New Roman"/>
          <w:b/>
          <w:szCs w:val="24"/>
        </w:rPr>
        <w:t>4</w:t>
      </w:r>
      <w:r w:rsidR="002B192A">
        <w:rPr>
          <w:rFonts w:cs="Times New Roman"/>
          <w:b/>
          <w:szCs w:val="24"/>
        </w:rPr>
        <w:t>.</w:t>
      </w:r>
      <w:r w:rsidR="002B192A">
        <w:rPr>
          <w:rFonts w:cs="Times New Roman"/>
          <w:b/>
          <w:szCs w:val="24"/>
        </w:rPr>
        <w:tab/>
      </w:r>
      <w:r>
        <w:rPr>
          <w:rFonts w:cs="Times New Roman"/>
          <w:b/>
          <w:szCs w:val="24"/>
        </w:rPr>
        <w:t>Equitable Relief</w:t>
      </w:r>
      <w:r w:rsidR="002B192A">
        <w:rPr>
          <w:rFonts w:cs="Times New Roman"/>
          <w:b/>
          <w:szCs w:val="24"/>
        </w:rPr>
        <w:t xml:space="preserve">.  </w:t>
      </w:r>
    </w:p>
    <w:p w:rsidR="002B192A" w:rsidRDefault="002B192A" w:rsidP="00043656">
      <w:pPr>
        <w:tabs>
          <w:tab w:val="left" w:pos="0"/>
        </w:tabs>
        <w:ind w:left="1440"/>
        <w:rPr>
          <w:rFonts w:cs="Times New Roman"/>
          <w:b/>
          <w:szCs w:val="24"/>
        </w:rPr>
      </w:pPr>
    </w:p>
    <w:p w:rsidR="00880E64" w:rsidRPr="00880E64" w:rsidRDefault="00880E64" w:rsidP="00043656">
      <w:pPr>
        <w:ind w:left="1440"/>
        <w:jc w:val="both"/>
        <w:rPr>
          <w:rFonts w:eastAsia="Times New Roman" w:cs="Times New Roman"/>
          <w:szCs w:val="24"/>
        </w:rPr>
      </w:pPr>
      <w:r>
        <w:rPr>
          <w:rFonts w:eastAsia="Times New Roman" w:cs="Times New Roman"/>
          <w:b/>
          <w:szCs w:val="24"/>
        </w:rPr>
        <w:t>i.</w:t>
      </w:r>
      <w:r>
        <w:rPr>
          <w:rFonts w:eastAsia="Times New Roman" w:cs="Times New Roman"/>
          <w:b/>
          <w:szCs w:val="24"/>
        </w:rPr>
        <w:tab/>
        <w:t xml:space="preserve">Relying on defective preliminary title commitment does not warrant equitable subordination of senior mortgage lien.  </w:t>
      </w:r>
      <w:r w:rsidRPr="00880E64">
        <w:rPr>
          <w:rFonts w:eastAsia="Times New Roman" w:cs="Times New Roman"/>
          <w:szCs w:val="24"/>
        </w:rPr>
        <w:t xml:space="preserve">Christian and Deana Bussmann (the “Debtors”) were indebted to Sterling Savings Bank (“First Loan”).  The Sterling Bank Loan was secured by a mortgage on their home and 10 1/2 acres of cranberry bogs (the “Real Estate A”).  The Debtors subsequently borrowed funds from the USDA, FSA (“FSA”) (the “Second Loan”).  The FSA Second Loan was secured by a second mortgage on Real Estate A and a first mortgage on an additional 54 acres of real estate (“Real Estate B”).  The F.J. Boresek Trust (the </w:t>
      </w:r>
      <w:r w:rsidRPr="00880E64">
        <w:rPr>
          <w:rFonts w:eastAsia="Times New Roman" w:cs="Times New Roman"/>
          <w:szCs w:val="24"/>
        </w:rPr>
        <w:lastRenderedPageBreak/>
        <w:t>“Trust”) purchased the Sterling Bank loan and, in doing so, borrowed additional funds to the Debtors secured by Real Estate A and Real Estate B (the “Third Loan”).  Due to a defective preliminary title report</w:t>
      </w:r>
      <w:r w:rsidR="00D57816">
        <w:rPr>
          <w:rFonts w:eastAsia="Times New Roman" w:cs="Times New Roman"/>
          <w:szCs w:val="24"/>
        </w:rPr>
        <w:t>,</w:t>
      </w:r>
      <w:r w:rsidRPr="00880E64">
        <w:rPr>
          <w:rFonts w:eastAsia="Times New Roman" w:cs="Times New Roman"/>
          <w:szCs w:val="24"/>
        </w:rPr>
        <w:t xml:space="preserve"> the Trust was not aware of the FSA Second Loan when the additional funds were borrowed.  The Trust believed that it had a first mortgage on Real Estate A and Real Estate B.  The Debtors failed to make payment and defaulted on the loans.  The Trust argued that</w:t>
      </w:r>
      <w:r w:rsidR="00D57816">
        <w:rPr>
          <w:rFonts w:eastAsia="Times New Roman" w:cs="Times New Roman"/>
          <w:szCs w:val="24"/>
        </w:rPr>
        <w:t>,</w:t>
      </w:r>
      <w:r w:rsidRPr="00880E64">
        <w:rPr>
          <w:rFonts w:eastAsia="Times New Roman" w:cs="Times New Roman"/>
          <w:szCs w:val="24"/>
        </w:rPr>
        <w:t xml:space="preserve"> under Oregon law</w:t>
      </w:r>
      <w:r w:rsidR="00D57816">
        <w:rPr>
          <w:rFonts w:eastAsia="Times New Roman" w:cs="Times New Roman"/>
          <w:szCs w:val="24"/>
        </w:rPr>
        <w:t>,</w:t>
      </w:r>
      <w:r w:rsidRPr="00880E64">
        <w:rPr>
          <w:rFonts w:eastAsia="Times New Roman" w:cs="Times New Roman"/>
          <w:szCs w:val="24"/>
        </w:rPr>
        <w:t xml:space="preserve"> the FSA Second Loan should be equitably subordinated to the Third Loan because the Trust reliance on the preliminary title report was commercial reasonable and excusable negligence.  The court disagreed and held that upon payoff of the First Loan, the FSA Second Loan took priority over that of the Trust Third Loan.  The Trust’s ignorance of the FSA Second Loan was due to inexcusable negligence.  The reliance on a defective preliminary title report was not commercially reasonable</w:t>
      </w:r>
      <w:r w:rsidR="00D57816">
        <w:rPr>
          <w:rFonts w:eastAsia="Times New Roman" w:cs="Times New Roman"/>
          <w:szCs w:val="24"/>
        </w:rPr>
        <w:t xml:space="preserve"> and e</w:t>
      </w:r>
      <w:r w:rsidRPr="00880E64">
        <w:rPr>
          <w:rFonts w:eastAsia="Times New Roman" w:cs="Times New Roman"/>
          <w:szCs w:val="24"/>
        </w:rPr>
        <w:t xml:space="preserve">quitable subrogation would unfairly prejudice the FSA.  </w:t>
      </w:r>
      <w:r w:rsidRPr="00880E64">
        <w:rPr>
          <w:rFonts w:eastAsia="Times New Roman" w:cs="Times New Roman"/>
          <w:i/>
          <w:szCs w:val="24"/>
        </w:rPr>
        <w:t>Boresek v. U.S. Dept. of Agric.</w:t>
      </w:r>
      <w:r w:rsidRPr="00880E64">
        <w:rPr>
          <w:rFonts w:eastAsia="Times New Roman" w:cs="Times New Roman"/>
          <w:szCs w:val="24"/>
        </w:rPr>
        <w:t>, 109 F. Supp. 3d 1338 (D. Or. June 9, 2015).</w:t>
      </w:r>
    </w:p>
    <w:p w:rsidR="00880E64" w:rsidRPr="00880E64" w:rsidRDefault="00880E64" w:rsidP="00043656">
      <w:pPr>
        <w:ind w:left="720"/>
        <w:jc w:val="both"/>
        <w:rPr>
          <w:rFonts w:eastAsia="Times New Roman" w:cs="Times New Roman"/>
          <w:szCs w:val="24"/>
        </w:rPr>
      </w:pPr>
    </w:p>
    <w:p w:rsidR="00880E64" w:rsidRDefault="00880E64" w:rsidP="00043656">
      <w:pPr>
        <w:tabs>
          <w:tab w:val="left" w:pos="0"/>
        </w:tabs>
        <w:ind w:left="1440"/>
        <w:jc w:val="both"/>
        <w:rPr>
          <w:rFonts w:cs="Times New Roman"/>
          <w:b/>
          <w:szCs w:val="24"/>
        </w:rPr>
      </w:pPr>
      <w:r w:rsidRPr="00880E64">
        <w:rPr>
          <w:rFonts w:eastAsia="Times New Roman" w:cs="Times New Roman"/>
          <w:i/>
          <w:szCs w:val="24"/>
        </w:rPr>
        <w:t xml:space="preserve">Comment. </w:t>
      </w:r>
      <w:r w:rsidRPr="00880E64">
        <w:rPr>
          <w:rFonts w:eastAsia="Times New Roman" w:cs="Times New Roman"/>
          <w:szCs w:val="24"/>
        </w:rPr>
        <w:t xml:space="preserve"> Any other conclusion by the court would have had a ripple effect in real estate financing.  Although the Court does not address, it appears: (1) the Trust did not argue that the Third Loan was a renewal of the First Loan so as to allow the Trust the step into the first mortgage up to the amount of the original principal amount of the first mortgage and (2) that the Trust did not have a lender’s title policy issued when it extended the Third Loan.  A lender’s title policy would have provided the Trust a remedy against the title company. </w:t>
      </w:r>
      <w:r w:rsidRPr="00CD4BA1">
        <w:rPr>
          <w:rFonts w:eastAsia="Times New Roman" w:cs="Times New Roman"/>
          <w:b/>
          <w:szCs w:val="24"/>
        </w:rPr>
        <w:t xml:space="preserve"> </w:t>
      </w:r>
    </w:p>
    <w:p w:rsidR="00880E64" w:rsidRDefault="00880E64" w:rsidP="00043656">
      <w:pPr>
        <w:tabs>
          <w:tab w:val="left" w:pos="0"/>
        </w:tabs>
        <w:ind w:left="720"/>
        <w:jc w:val="both"/>
        <w:rPr>
          <w:rFonts w:cs="Times New Roman"/>
          <w:b/>
          <w:szCs w:val="24"/>
        </w:rPr>
      </w:pPr>
    </w:p>
    <w:p w:rsidR="002B192A" w:rsidRPr="00880E64" w:rsidRDefault="00880E64" w:rsidP="00043656">
      <w:pPr>
        <w:tabs>
          <w:tab w:val="left" w:pos="0"/>
        </w:tabs>
        <w:ind w:left="1440"/>
        <w:jc w:val="both"/>
        <w:rPr>
          <w:rFonts w:cs="Times New Roman"/>
          <w:szCs w:val="24"/>
        </w:rPr>
      </w:pPr>
      <w:r>
        <w:rPr>
          <w:rFonts w:cs="Times New Roman"/>
          <w:b/>
          <w:szCs w:val="24"/>
        </w:rPr>
        <w:t>ii.</w:t>
      </w:r>
      <w:r>
        <w:rPr>
          <w:rFonts w:cs="Times New Roman"/>
          <w:b/>
          <w:szCs w:val="24"/>
        </w:rPr>
        <w:tab/>
      </w:r>
      <w:r w:rsidR="002B192A">
        <w:rPr>
          <w:rFonts w:cs="Times New Roman"/>
          <w:b/>
          <w:szCs w:val="24"/>
        </w:rPr>
        <w:t>Marshaling requires two sources of recovery by the senior secured creditor and the failure to object to the liquidated and application of the proceeds from one source defeats the later marshaling argument.</w:t>
      </w:r>
      <w:r>
        <w:rPr>
          <w:rFonts w:cs="Times New Roman"/>
          <w:b/>
          <w:szCs w:val="24"/>
        </w:rPr>
        <w:t xml:space="preserve">  </w:t>
      </w:r>
      <w:r w:rsidR="002B192A" w:rsidRPr="00880E64">
        <w:rPr>
          <w:rFonts w:cs="Times New Roman"/>
          <w:szCs w:val="24"/>
        </w:rPr>
        <w:t xml:space="preserve">Jerry and Julie Ferguson (the “Debtor”) were indebted to First Community Bank (“Senior Secured Creditor”) and West Central FS, Inc. (“Junior Secured Creditor”).  The indebtedness owed to the Senior Secured Creditor was secured by a mortgage on certain farmland (the “Farmland”) and a security interest in the equipment and crops of the Debtors (the “Equipment/Crops”).  The indebtedness owed to the Junior Secured Creditor was only secured by a security interest in the Equipment/Crops.  The Debtors filed a Chapter 12 bankruptcy and sold the Equipment/Crops.  The Junior Secured Creditor argued that the court should marshal Farmland lien and apply the Equipment/Crop proceeds against the Junior Secured Creditor.  The bankruptcy court disagreed and allowed the proceeds to be applied against the Senior Secured Creditor debt.  The Debtors later converted from Chapter 12 to Chapter 7.  The Debtors moved to sell the Farmland, pay off the Senior Secured Creditor and distribute the excess to the unsecured creditors.   The Junior Secured Creditor (now without a lien claim) argued that the court should impose an equitable lien on the Farmland.  The court agreed on the basis that its earlier order was interlocutory as to the distribution of the Equipment/Crops to the Senior Secured Creditor and marshaled the assets by imposing an equitable lien on the Farmland.  The District Court disagreed and held that marshaling was not appropriate because: (1) at the time marshaling was ordered, the Equipment/Crops </w:t>
      </w:r>
      <w:r w:rsidR="002B192A" w:rsidRPr="00880E64">
        <w:rPr>
          <w:rFonts w:cs="Times New Roman"/>
          <w:szCs w:val="24"/>
        </w:rPr>
        <w:lastRenderedPageBreak/>
        <w:t xml:space="preserve">had already been sold, leaving only one source of recovery to the Senior Secured Creditor; and (2) at the time of the marshaling the claim of the Junior Secured Creditor was an unsecured.  </w:t>
      </w:r>
      <w:r w:rsidR="002B192A" w:rsidRPr="00880E64">
        <w:rPr>
          <w:rFonts w:eastAsia="Times New Roman" w:cs="Times New Roman"/>
          <w:i/>
          <w:szCs w:val="24"/>
        </w:rPr>
        <w:t>Ferguson v. W. Cent. FS, Inc.</w:t>
      </w:r>
      <w:r w:rsidR="002B192A" w:rsidRPr="00880E64">
        <w:rPr>
          <w:rFonts w:eastAsia="Times New Roman" w:cs="Times New Roman"/>
          <w:szCs w:val="24"/>
        </w:rPr>
        <w:t>, 2015 WL 5315612 (C.D. Ill. Sept. 11, 2015).</w:t>
      </w:r>
    </w:p>
    <w:p w:rsidR="002B192A" w:rsidRPr="00880E64" w:rsidRDefault="002B192A" w:rsidP="00043656">
      <w:pPr>
        <w:tabs>
          <w:tab w:val="left" w:pos="0"/>
        </w:tabs>
        <w:ind w:left="1440"/>
        <w:jc w:val="both"/>
        <w:rPr>
          <w:rFonts w:eastAsia="Times New Roman" w:cs="Times New Roman"/>
          <w:szCs w:val="24"/>
        </w:rPr>
      </w:pPr>
    </w:p>
    <w:p w:rsidR="002B192A" w:rsidRPr="002B192A" w:rsidRDefault="002B192A" w:rsidP="00043656">
      <w:pPr>
        <w:tabs>
          <w:tab w:val="left" w:pos="0"/>
        </w:tabs>
        <w:ind w:left="1440"/>
        <w:jc w:val="both"/>
        <w:rPr>
          <w:rFonts w:eastAsia="Times New Roman" w:cs="Times New Roman"/>
          <w:b/>
          <w:szCs w:val="24"/>
        </w:rPr>
      </w:pPr>
      <w:r w:rsidRPr="00880E64">
        <w:rPr>
          <w:rFonts w:eastAsia="Times New Roman" w:cs="Times New Roman"/>
          <w:i/>
          <w:szCs w:val="24"/>
        </w:rPr>
        <w:t xml:space="preserve">Comment. </w:t>
      </w:r>
      <w:r w:rsidRPr="00880E64">
        <w:rPr>
          <w:rFonts w:eastAsia="Times New Roman" w:cs="Times New Roman"/>
          <w:szCs w:val="24"/>
        </w:rPr>
        <w:t xml:space="preserve"> The critical issue is that the Junior Secured Creditor did not object to the distribution of the Equipment/Crops proceeds to the Senior Secured Creditor.  By not objecting, the Junior Secured Creditor effectively consented to the distribution and removal of the proceeds out of the bankruptcy estate.  Had the funds been retained by the bankruptcy estate, the marshaling argument may have been justified.  </w:t>
      </w:r>
      <w:r w:rsidRPr="002B192A">
        <w:rPr>
          <w:rFonts w:eastAsia="Times New Roman" w:cs="Times New Roman"/>
          <w:b/>
          <w:szCs w:val="24"/>
        </w:rPr>
        <w:t xml:space="preserve"> </w:t>
      </w:r>
    </w:p>
    <w:p w:rsidR="002B192A" w:rsidRDefault="002B192A" w:rsidP="00ED544E">
      <w:pPr>
        <w:jc w:val="both"/>
        <w:rPr>
          <w:rFonts w:cs="Times New Roman"/>
          <w:b/>
          <w:szCs w:val="24"/>
        </w:rPr>
      </w:pPr>
    </w:p>
    <w:p w:rsidR="00043656" w:rsidRDefault="00043656" w:rsidP="00043656">
      <w:pPr>
        <w:ind w:left="720"/>
        <w:rPr>
          <w:rFonts w:eastAsia="Times New Roman" w:cs="Times New Roman"/>
          <w:b/>
          <w:szCs w:val="24"/>
        </w:rPr>
      </w:pPr>
      <w:r>
        <w:rPr>
          <w:rFonts w:eastAsia="Times New Roman" w:cs="Times New Roman"/>
          <w:b/>
          <w:szCs w:val="24"/>
        </w:rPr>
        <w:t>5.</w:t>
      </w:r>
      <w:r>
        <w:rPr>
          <w:rFonts w:eastAsia="Times New Roman" w:cs="Times New Roman"/>
          <w:b/>
          <w:szCs w:val="24"/>
        </w:rPr>
        <w:tab/>
        <w:t xml:space="preserve">Statute of Limitations.  </w:t>
      </w:r>
    </w:p>
    <w:p w:rsidR="00043656" w:rsidRDefault="00043656" w:rsidP="00043656">
      <w:pPr>
        <w:ind w:left="720"/>
        <w:rPr>
          <w:rFonts w:eastAsia="Times New Roman" w:cs="Times New Roman"/>
          <w:b/>
          <w:szCs w:val="24"/>
        </w:rPr>
      </w:pPr>
    </w:p>
    <w:p w:rsidR="005A0F6E" w:rsidRDefault="005A0F6E" w:rsidP="005A0F6E">
      <w:pPr>
        <w:pStyle w:val="ListParagraph"/>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sidRPr="00124976">
        <w:rPr>
          <w:rFonts w:ascii="Times New Roman" w:hAnsi="Times New Roman" w:cs="Times New Roman"/>
          <w:sz w:val="24"/>
          <w:szCs w:val="24"/>
        </w:rPr>
        <w:t>N</w:t>
      </w:r>
      <w:r w:rsidRPr="005B1D97">
        <w:rPr>
          <w:rFonts w:ascii="Times New Roman" w:hAnsi="Times New Roman" w:cs="Times New Roman"/>
          <w:sz w:val="24"/>
          <w:szCs w:val="24"/>
        </w:rPr>
        <w:t xml:space="preserve">o </w:t>
      </w:r>
      <w:r>
        <w:rPr>
          <w:rFonts w:ascii="Times New Roman" w:hAnsi="Times New Roman" w:cs="Times New Roman"/>
          <w:sz w:val="24"/>
          <w:szCs w:val="24"/>
        </w:rPr>
        <w:t>updates</w:t>
      </w:r>
      <w:r w:rsidRPr="005B1D97">
        <w:rPr>
          <w:rFonts w:ascii="Times New Roman" w:hAnsi="Times New Roman" w:cs="Times New Roman"/>
          <w:sz w:val="24"/>
          <w:szCs w:val="24"/>
        </w:rPr>
        <w:t>.</w:t>
      </w:r>
    </w:p>
    <w:p w:rsidR="00043656" w:rsidRDefault="00043656" w:rsidP="00ED544E">
      <w:pPr>
        <w:jc w:val="both"/>
        <w:rPr>
          <w:rFonts w:cs="Times New Roman"/>
          <w:b/>
          <w:szCs w:val="24"/>
        </w:rPr>
      </w:pPr>
    </w:p>
    <w:p w:rsidR="00B85801" w:rsidRDefault="001C25F0" w:rsidP="00ED544E">
      <w:pPr>
        <w:jc w:val="both"/>
        <w:rPr>
          <w:rFonts w:cs="Times New Roman"/>
          <w:b/>
          <w:szCs w:val="24"/>
        </w:rPr>
      </w:pPr>
      <w:r w:rsidRPr="00017026">
        <w:rPr>
          <w:rFonts w:cs="Times New Roman"/>
          <w:b/>
          <w:szCs w:val="24"/>
        </w:rPr>
        <w:t>V.</w:t>
      </w:r>
      <w:r w:rsidR="00017026" w:rsidRPr="00017026">
        <w:rPr>
          <w:rFonts w:cs="Times New Roman"/>
          <w:b/>
          <w:szCs w:val="24"/>
        </w:rPr>
        <w:t xml:space="preserve">  </w:t>
      </w:r>
      <w:r w:rsidRPr="00017026">
        <w:rPr>
          <w:rFonts w:cs="Times New Roman"/>
          <w:b/>
          <w:szCs w:val="24"/>
        </w:rPr>
        <w:t>BANKRUPTCY.</w:t>
      </w:r>
    </w:p>
    <w:p w:rsidR="00B85801" w:rsidRPr="00017026" w:rsidRDefault="00B85801" w:rsidP="00ED544E">
      <w:pPr>
        <w:jc w:val="both"/>
        <w:rPr>
          <w:rFonts w:cs="Times New Roman"/>
          <w:b/>
          <w:szCs w:val="24"/>
        </w:rPr>
      </w:pPr>
    </w:p>
    <w:p w:rsidR="00017026" w:rsidRDefault="00017026" w:rsidP="00ED544E">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General.</w:t>
      </w:r>
    </w:p>
    <w:p w:rsidR="00B85801" w:rsidRDefault="00B85801" w:rsidP="00ED544E">
      <w:pPr>
        <w:pStyle w:val="ListParagraph"/>
        <w:spacing w:line="240" w:lineRule="auto"/>
        <w:jc w:val="both"/>
        <w:rPr>
          <w:rFonts w:ascii="Times New Roman" w:hAnsi="Times New Roman" w:cs="Times New Roman"/>
          <w:b/>
          <w:sz w:val="24"/>
          <w:szCs w:val="24"/>
        </w:rPr>
      </w:pPr>
    </w:p>
    <w:p w:rsidR="005B1D97" w:rsidRDefault="005B1D97" w:rsidP="00ED544E">
      <w:pPr>
        <w:pStyle w:val="ListParagraph"/>
        <w:spacing w:line="240" w:lineRule="auto"/>
        <w:jc w:val="both"/>
        <w:rPr>
          <w:rFonts w:ascii="Times New Roman" w:hAnsi="Times New Roman" w:cs="Times New Roman"/>
          <w:b/>
          <w:sz w:val="24"/>
          <w:szCs w:val="24"/>
        </w:rPr>
      </w:pPr>
      <w:r w:rsidRPr="00124976">
        <w:rPr>
          <w:rFonts w:ascii="Times New Roman" w:hAnsi="Times New Roman" w:cs="Times New Roman"/>
          <w:sz w:val="24"/>
          <w:szCs w:val="24"/>
        </w:rPr>
        <w:t>N</w:t>
      </w:r>
      <w:r w:rsidRPr="005B1D97">
        <w:rPr>
          <w:rFonts w:ascii="Times New Roman" w:hAnsi="Times New Roman" w:cs="Times New Roman"/>
          <w:sz w:val="24"/>
          <w:szCs w:val="24"/>
        </w:rPr>
        <w:t xml:space="preserve">o </w:t>
      </w:r>
      <w:r w:rsidR="00880E64">
        <w:rPr>
          <w:rFonts w:ascii="Times New Roman" w:hAnsi="Times New Roman" w:cs="Times New Roman"/>
          <w:sz w:val="24"/>
          <w:szCs w:val="24"/>
        </w:rPr>
        <w:t>updates</w:t>
      </w:r>
      <w:r w:rsidRPr="005B1D97">
        <w:rPr>
          <w:rFonts w:ascii="Times New Roman" w:hAnsi="Times New Roman" w:cs="Times New Roman"/>
          <w:sz w:val="24"/>
          <w:szCs w:val="24"/>
        </w:rPr>
        <w:t>.</w:t>
      </w:r>
    </w:p>
    <w:p w:rsidR="005B1D97" w:rsidRDefault="005B1D97" w:rsidP="00ED544E">
      <w:pPr>
        <w:pStyle w:val="ListParagraph"/>
        <w:spacing w:line="240" w:lineRule="auto"/>
        <w:jc w:val="both"/>
        <w:rPr>
          <w:rFonts w:ascii="Times New Roman" w:hAnsi="Times New Roman" w:cs="Times New Roman"/>
          <w:b/>
          <w:sz w:val="24"/>
          <w:szCs w:val="24"/>
        </w:rPr>
      </w:pPr>
    </w:p>
    <w:p w:rsidR="00850133" w:rsidRDefault="00017026" w:rsidP="00850133">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Case Administration.</w:t>
      </w:r>
    </w:p>
    <w:p w:rsidR="00DD4BD8" w:rsidRPr="00880E64" w:rsidRDefault="0029293C" w:rsidP="00880E64">
      <w:pPr>
        <w:ind w:left="720"/>
        <w:jc w:val="both"/>
        <w:rPr>
          <w:rFonts w:eastAsia="Times New Roman" w:cs="Times New Roman"/>
          <w:szCs w:val="24"/>
        </w:rPr>
      </w:pPr>
      <w:r>
        <w:rPr>
          <w:rFonts w:eastAsia="Times New Roman" w:cs="Times New Roman"/>
          <w:b/>
          <w:szCs w:val="24"/>
        </w:rPr>
        <w:t>Preventing a dairy herd from going “dry” provided a quantifiable benefit to secured c</w:t>
      </w:r>
      <w:r w:rsidRPr="0029293C">
        <w:rPr>
          <w:rFonts w:eastAsia="Times New Roman" w:cs="Times New Roman"/>
          <w:b/>
          <w:szCs w:val="24"/>
        </w:rPr>
        <w:t>reditors</w:t>
      </w:r>
      <w:r>
        <w:rPr>
          <w:rFonts w:eastAsia="Times New Roman" w:cs="Times New Roman"/>
          <w:b/>
          <w:szCs w:val="24"/>
        </w:rPr>
        <w:t xml:space="preserve"> and justified a surcharge to the lien claims of the secured creditors.</w:t>
      </w:r>
      <w:r w:rsidR="00880E64">
        <w:rPr>
          <w:rFonts w:eastAsia="Times New Roman" w:cs="Times New Roman"/>
          <w:b/>
          <w:szCs w:val="24"/>
        </w:rPr>
        <w:t xml:space="preserve">  </w:t>
      </w:r>
      <w:r w:rsidR="007F3D7E" w:rsidRPr="00880E64">
        <w:rPr>
          <w:rFonts w:eastAsia="Times New Roman" w:cs="Times New Roman"/>
          <w:szCs w:val="24"/>
        </w:rPr>
        <w:t>The debtors Tollenaar Holsteins, Friendly Pastures and T Bar M Ranch (the “Debtors”)</w:t>
      </w:r>
      <w:r w:rsidRPr="00880E64">
        <w:rPr>
          <w:rFonts w:eastAsia="Times New Roman" w:cs="Times New Roman"/>
          <w:szCs w:val="24"/>
        </w:rPr>
        <w:t xml:space="preserve"> are related dairy producers who </w:t>
      </w:r>
      <w:r w:rsidR="007F3D7E" w:rsidRPr="00880E64">
        <w:rPr>
          <w:rFonts w:eastAsia="Times New Roman" w:cs="Times New Roman"/>
          <w:szCs w:val="24"/>
        </w:rPr>
        <w:t>filed Chapter 11 bankruptcy petitions</w:t>
      </w:r>
      <w:r w:rsidRPr="00880E64">
        <w:rPr>
          <w:rFonts w:eastAsia="Times New Roman" w:cs="Times New Roman"/>
          <w:szCs w:val="24"/>
        </w:rPr>
        <w:t xml:space="preserve">.  The </w:t>
      </w:r>
      <w:r w:rsidR="007F3D7E" w:rsidRPr="00880E64">
        <w:rPr>
          <w:rFonts w:eastAsia="Times New Roman" w:cs="Times New Roman"/>
          <w:szCs w:val="24"/>
        </w:rPr>
        <w:t>cases were administr</w:t>
      </w:r>
      <w:r w:rsidR="003D3B97">
        <w:rPr>
          <w:rFonts w:eastAsia="Times New Roman" w:cs="Times New Roman"/>
          <w:szCs w:val="24"/>
        </w:rPr>
        <w:t>atively c</w:t>
      </w:r>
      <w:r w:rsidR="007F3D7E" w:rsidRPr="00880E64">
        <w:rPr>
          <w:rFonts w:eastAsia="Times New Roman" w:cs="Times New Roman"/>
          <w:szCs w:val="24"/>
        </w:rPr>
        <w:t>onsolidated. The Debtors were indebted to Bank of the West and Hartford Accidental and Life Insurance Company (the “Secured Creditors”) and the de</w:t>
      </w:r>
      <w:r w:rsidRPr="00880E64">
        <w:rPr>
          <w:rFonts w:eastAsia="Times New Roman" w:cs="Times New Roman"/>
          <w:szCs w:val="24"/>
        </w:rPr>
        <w:t xml:space="preserve">bts were secured by the assets </w:t>
      </w:r>
      <w:r w:rsidR="007F3D7E" w:rsidRPr="00880E64">
        <w:rPr>
          <w:rFonts w:eastAsia="Times New Roman" w:cs="Times New Roman"/>
          <w:szCs w:val="24"/>
        </w:rPr>
        <w:t>o</w:t>
      </w:r>
      <w:r w:rsidRPr="00880E64">
        <w:rPr>
          <w:rFonts w:eastAsia="Times New Roman" w:cs="Times New Roman"/>
          <w:szCs w:val="24"/>
        </w:rPr>
        <w:t>f</w:t>
      </w:r>
      <w:r w:rsidR="007F3D7E" w:rsidRPr="00880E64">
        <w:rPr>
          <w:rFonts w:eastAsia="Times New Roman" w:cs="Times New Roman"/>
          <w:szCs w:val="24"/>
        </w:rPr>
        <w:t xml:space="preserve"> the Debtors.</w:t>
      </w:r>
      <w:r w:rsidRPr="00880E64">
        <w:rPr>
          <w:rFonts w:eastAsia="Times New Roman" w:cs="Times New Roman"/>
          <w:szCs w:val="24"/>
        </w:rPr>
        <w:t xml:space="preserve">  The trustee requested a surcharge of the collateral of the Secured Creditors to pay the reasonable and necessary expenses incurred in preserving the estate under 11 </w:t>
      </w:r>
      <w:r w:rsidR="00007AE5">
        <w:rPr>
          <w:rFonts w:eastAsia="Times New Roman" w:cs="Times New Roman"/>
          <w:szCs w:val="24"/>
        </w:rPr>
        <w:t>U.S.C.</w:t>
      </w:r>
      <w:r w:rsidRPr="00880E64">
        <w:rPr>
          <w:rFonts w:eastAsia="Times New Roman" w:cs="Times New Roman"/>
          <w:szCs w:val="24"/>
        </w:rPr>
        <w:t xml:space="preserve"> </w:t>
      </w:r>
      <w:r w:rsidR="008F6ECD" w:rsidRPr="008F6ECD">
        <w:rPr>
          <w:rFonts w:eastAsia="Times New Roman" w:cs="Times New Roman"/>
          <w:szCs w:val="24"/>
        </w:rPr>
        <w:t xml:space="preserve">§ </w:t>
      </w:r>
      <w:r w:rsidRPr="00880E64">
        <w:rPr>
          <w:rFonts w:eastAsia="Times New Roman" w:cs="Times New Roman"/>
          <w:szCs w:val="24"/>
        </w:rPr>
        <w:t>506(c)</w:t>
      </w:r>
      <w:r w:rsidR="003D3B97">
        <w:rPr>
          <w:rFonts w:eastAsia="Times New Roman" w:cs="Times New Roman"/>
          <w:szCs w:val="24"/>
        </w:rPr>
        <w:t>,</w:t>
      </w:r>
      <w:r w:rsidRPr="00880E64">
        <w:rPr>
          <w:rFonts w:eastAsia="Times New Roman" w:cs="Times New Roman"/>
          <w:szCs w:val="24"/>
        </w:rPr>
        <w:t xml:space="preserve"> specifically, </w:t>
      </w:r>
      <w:r w:rsidR="00DD4BD8" w:rsidRPr="00880E64">
        <w:rPr>
          <w:rFonts w:eastAsia="Times New Roman" w:cs="Times New Roman"/>
          <w:szCs w:val="24"/>
        </w:rPr>
        <w:t>for expenses incurred in keeping the debtors’ dairy herd “wet” before the herd was sold</w:t>
      </w:r>
      <w:r w:rsidRPr="00880E64">
        <w:rPr>
          <w:rFonts w:eastAsia="Times New Roman" w:cs="Times New Roman"/>
          <w:szCs w:val="24"/>
        </w:rPr>
        <w:t>.  The Secured Creditors objected on the basis that the surcharge would not provide a quantifiable benefit to the Secured Creditors</w:t>
      </w:r>
      <w:r w:rsidR="003D3B97">
        <w:rPr>
          <w:rFonts w:eastAsia="Times New Roman" w:cs="Times New Roman"/>
          <w:szCs w:val="24"/>
        </w:rPr>
        <w:t>,</w:t>
      </w:r>
      <w:r w:rsidRPr="00880E64">
        <w:rPr>
          <w:rFonts w:eastAsia="Times New Roman" w:cs="Times New Roman"/>
          <w:szCs w:val="24"/>
        </w:rPr>
        <w:t xml:space="preserve"> the applicable test under 11 </w:t>
      </w:r>
      <w:r w:rsidR="00007AE5">
        <w:rPr>
          <w:rFonts w:eastAsia="Times New Roman" w:cs="Times New Roman"/>
          <w:szCs w:val="24"/>
        </w:rPr>
        <w:t>U.S.C.</w:t>
      </w:r>
      <w:r w:rsidRPr="00880E64">
        <w:rPr>
          <w:rFonts w:eastAsia="Times New Roman" w:cs="Times New Roman"/>
          <w:szCs w:val="24"/>
        </w:rPr>
        <w:t xml:space="preserve"> </w:t>
      </w:r>
      <w:r w:rsidR="008F6ECD" w:rsidRPr="008F6ECD">
        <w:rPr>
          <w:rFonts w:eastAsia="Times New Roman" w:cs="Times New Roman"/>
          <w:szCs w:val="24"/>
        </w:rPr>
        <w:t xml:space="preserve">§ </w:t>
      </w:r>
      <w:r w:rsidRPr="00880E64">
        <w:rPr>
          <w:rFonts w:eastAsia="Times New Roman" w:cs="Times New Roman"/>
          <w:szCs w:val="24"/>
        </w:rPr>
        <w:t>506(c).  The Court disagreed and held that the payment of these expenses would prevent the loss of valuable permits if the dairy cows went dry.</w:t>
      </w:r>
      <w:r w:rsidR="00DD4BD8" w:rsidRPr="00880E64">
        <w:rPr>
          <w:rFonts w:eastAsia="Times New Roman" w:cs="Times New Roman"/>
          <w:szCs w:val="24"/>
        </w:rPr>
        <w:t xml:space="preserve">  </w:t>
      </w:r>
      <w:r w:rsidR="00DD4BD8" w:rsidRPr="00880E64">
        <w:rPr>
          <w:rFonts w:eastAsia="Times New Roman" w:cs="Times New Roman"/>
          <w:i/>
          <w:szCs w:val="24"/>
        </w:rPr>
        <w:t>In re Tollenaar Holsteins</w:t>
      </w:r>
      <w:r w:rsidR="00DD4BD8" w:rsidRPr="00880E64">
        <w:rPr>
          <w:rFonts w:eastAsia="Times New Roman" w:cs="Times New Roman"/>
          <w:szCs w:val="24"/>
        </w:rPr>
        <w:t>, 538 B.R. 830 (Bankr. E.D. Cal. 2015)</w:t>
      </w:r>
      <w:r w:rsidRPr="00880E64">
        <w:rPr>
          <w:rFonts w:eastAsia="Times New Roman" w:cs="Times New Roman"/>
          <w:szCs w:val="24"/>
        </w:rPr>
        <w:t>.</w:t>
      </w:r>
    </w:p>
    <w:p w:rsidR="00007AE5" w:rsidRDefault="00007AE5">
      <w:pPr>
        <w:spacing w:after="200" w:line="276" w:lineRule="auto"/>
        <w:rPr>
          <w:rFonts w:cs="Times New Roman"/>
          <w:b/>
          <w:szCs w:val="24"/>
        </w:rPr>
      </w:pPr>
      <w:r>
        <w:rPr>
          <w:rFonts w:cs="Times New Roman"/>
          <w:b/>
          <w:szCs w:val="24"/>
        </w:rPr>
        <w:br w:type="page"/>
      </w:r>
    </w:p>
    <w:p w:rsidR="008676F6" w:rsidRDefault="008676F6" w:rsidP="00850133">
      <w:pPr>
        <w:pStyle w:val="ListParagraph"/>
        <w:spacing w:line="240" w:lineRule="auto"/>
        <w:jc w:val="both"/>
        <w:rPr>
          <w:rFonts w:ascii="Times New Roman" w:hAnsi="Times New Roman" w:cs="Times New Roman"/>
          <w:b/>
          <w:sz w:val="24"/>
          <w:szCs w:val="24"/>
        </w:rPr>
      </w:pPr>
    </w:p>
    <w:p w:rsidR="00017026" w:rsidRPr="00850133" w:rsidRDefault="00850133" w:rsidP="00850133">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Creditors, Debtors and the </w:t>
      </w:r>
      <w:r w:rsidR="00017026" w:rsidRPr="00850133">
        <w:rPr>
          <w:rFonts w:ascii="Times New Roman" w:hAnsi="Times New Roman" w:cs="Times New Roman"/>
          <w:b/>
          <w:sz w:val="24"/>
          <w:szCs w:val="24"/>
        </w:rPr>
        <w:t>Bankruptcy Estate.</w:t>
      </w:r>
    </w:p>
    <w:p w:rsidR="00B85801" w:rsidRDefault="00B85801" w:rsidP="00ED544E">
      <w:pPr>
        <w:pStyle w:val="ListParagraph"/>
        <w:spacing w:line="240" w:lineRule="auto"/>
        <w:jc w:val="both"/>
        <w:rPr>
          <w:rFonts w:ascii="Times New Roman" w:hAnsi="Times New Roman" w:cs="Times New Roman"/>
          <w:b/>
          <w:sz w:val="24"/>
          <w:szCs w:val="24"/>
        </w:rPr>
      </w:pPr>
    </w:p>
    <w:p w:rsidR="00B93B9A" w:rsidRPr="00B93B9A" w:rsidRDefault="00017026" w:rsidP="00ED544E">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Property of the Bankruptcy Estate.</w:t>
      </w:r>
    </w:p>
    <w:p w:rsidR="00850133" w:rsidRDefault="00043656" w:rsidP="00ED544E">
      <w:pPr>
        <w:ind w:left="1440"/>
        <w:jc w:val="both"/>
        <w:rPr>
          <w:rFonts w:cs="Times New Roman"/>
          <w:szCs w:val="24"/>
        </w:rPr>
      </w:pPr>
      <w:r>
        <w:rPr>
          <w:rFonts w:cs="Times New Roman"/>
          <w:szCs w:val="24"/>
        </w:rPr>
        <w:t>No updates.</w:t>
      </w:r>
    </w:p>
    <w:p w:rsidR="00043656" w:rsidRDefault="00043656" w:rsidP="00ED544E">
      <w:pPr>
        <w:ind w:left="1440"/>
        <w:jc w:val="both"/>
        <w:rPr>
          <w:rFonts w:cs="Times New Roman"/>
          <w:szCs w:val="24"/>
        </w:rPr>
      </w:pPr>
    </w:p>
    <w:p w:rsidR="00850133" w:rsidRPr="00B93B9A" w:rsidRDefault="00850133" w:rsidP="00850133">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Administrative Claims.</w:t>
      </w:r>
    </w:p>
    <w:p w:rsidR="00850133" w:rsidRDefault="00043656" w:rsidP="00850133">
      <w:pPr>
        <w:ind w:left="1440"/>
        <w:jc w:val="both"/>
        <w:rPr>
          <w:rFonts w:cs="Times New Roman"/>
          <w:szCs w:val="24"/>
        </w:rPr>
      </w:pPr>
      <w:r>
        <w:rPr>
          <w:rFonts w:cs="Times New Roman"/>
          <w:szCs w:val="24"/>
        </w:rPr>
        <w:t xml:space="preserve">No updates. </w:t>
      </w:r>
    </w:p>
    <w:p w:rsidR="00043656" w:rsidRDefault="00043656" w:rsidP="00850133">
      <w:pPr>
        <w:ind w:left="1440"/>
        <w:jc w:val="both"/>
        <w:rPr>
          <w:rFonts w:cs="Times New Roman"/>
          <w:szCs w:val="24"/>
        </w:rPr>
      </w:pPr>
    </w:p>
    <w:p w:rsidR="005B1D97" w:rsidRDefault="005B1D97" w:rsidP="00850133">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Federal Exemptions.</w:t>
      </w:r>
    </w:p>
    <w:p w:rsidR="005B1D97" w:rsidRDefault="005B1D97" w:rsidP="005B1D97">
      <w:pPr>
        <w:pStyle w:val="ListParagraph"/>
        <w:spacing w:line="240" w:lineRule="auto"/>
        <w:ind w:left="1440"/>
        <w:jc w:val="both"/>
        <w:rPr>
          <w:rFonts w:ascii="Times New Roman" w:hAnsi="Times New Roman" w:cs="Times New Roman"/>
          <w:b/>
          <w:sz w:val="24"/>
          <w:szCs w:val="24"/>
        </w:rPr>
      </w:pPr>
    </w:p>
    <w:p w:rsidR="00043656" w:rsidRPr="00043656" w:rsidRDefault="00043656" w:rsidP="005B1D97">
      <w:pPr>
        <w:pStyle w:val="ListParagraph"/>
        <w:spacing w:line="240" w:lineRule="auto"/>
        <w:ind w:left="1440"/>
        <w:jc w:val="both"/>
        <w:rPr>
          <w:rFonts w:ascii="Times New Roman" w:hAnsi="Times New Roman" w:cs="Times New Roman"/>
          <w:sz w:val="24"/>
          <w:szCs w:val="24"/>
        </w:rPr>
      </w:pPr>
      <w:r w:rsidRPr="00043656">
        <w:rPr>
          <w:rFonts w:ascii="Times New Roman" w:hAnsi="Times New Roman" w:cs="Times New Roman"/>
          <w:sz w:val="24"/>
          <w:szCs w:val="24"/>
        </w:rPr>
        <w:t>No updates.</w:t>
      </w:r>
    </w:p>
    <w:p w:rsidR="00043656" w:rsidRDefault="00043656" w:rsidP="005B1D97">
      <w:pPr>
        <w:pStyle w:val="ListParagraph"/>
        <w:spacing w:line="240" w:lineRule="auto"/>
        <w:ind w:left="1440"/>
        <w:jc w:val="both"/>
        <w:rPr>
          <w:rFonts w:ascii="Times New Roman" w:hAnsi="Times New Roman" w:cs="Times New Roman"/>
          <w:b/>
          <w:sz w:val="24"/>
          <w:szCs w:val="24"/>
        </w:rPr>
      </w:pPr>
    </w:p>
    <w:p w:rsidR="00DD4BD8" w:rsidRPr="00043656" w:rsidRDefault="00850133" w:rsidP="00850133">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Non-dischargeability actions.</w:t>
      </w:r>
    </w:p>
    <w:p w:rsidR="008676F6" w:rsidRPr="00B52CE6" w:rsidRDefault="00880E64" w:rsidP="00880E64">
      <w:pPr>
        <w:ind w:left="1440"/>
        <w:jc w:val="both"/>
        <w:rPr>
          <w:rFonts w:eastAsia="Times New Roman" w:cs="Times New Roman"/>
          <w:b/>
          <w:szCs w:val="24"/>
        </w:rPr>
      </w:pPr>
      <w:r>
        <w:rPr>
          <w:rFonts w:eastAsia="Times New Roman" w:cs="Times New Roman"/>
          <w:b/>
          <w:szCs w:val="24"/>
        </w:rPr>
        <w:t>i.</w:t>
      </w:r>
      <w:r>
        <w:rPr>
          <w:rFonts w:eastAsia="Times New Roman" w:cs="Times New Roman"/>
          <w:b/>
          <w:szCs w:val="24"/>
        </w:rPr>
        <w:tab/>
      </w:r>
      <w:r w:rsidR="00F33240">
        <w:rPr>
          <w:rFonts w:eastAsia="Times New Roman" w:cs="Times New Roman"/>
          <w:b/>
          <w:szCs w:val="24"/>
        </w:rPr>
        <w:t xml:space="preserve">Sale of collateral without consent of secured creditor does not constitute </w:t>
      </w:r>
      <w:r w:rsidR="00F33240" w:rsidRPr="00F33240">
        <w:rPr>
          <w:rFonts w:eastAsia="Times New Roman" w:cs="Times New Roman"/>
          <w:b/>
          <w:szCs w:val="24"/>
        </w:rPr>
        <w:t xml:space="preserve">larceny </w:t>
      </w:r>
      <w:r w:rsidR="00F33240">
        <w:rPr>
          <w:rFonts w:eastAsia="Times New Roman" w:cs="Times New Roman"/>
          <w:b/>
          <w:szCs w:val="24"/>
        </w:rPr>
        <w:t xml:space="preserve">or </w:t>
      </w:r>
      <w:r w:rsidR="00F33240" w:rsidRPr="00F33240">
        <w:rPr>
          <w:rFonts w:eastAsia="Times New Roman" w:cs="Times New Roman"/>
          <w:b/>
          <w:szCs w:val="24"/>
        </w:rPr>
        <w:t>embezzlement</w:t>
      </w:r>
      <w:r w:rsidR="00F33240">
        <w:rPr>
          <w:rFonts w:eastAsia="Times New Roman" w:cs="Times New Roman"/>
          <w:b/>
          <w:szCs w:val="24"/>
        </w:rPr>
        <w:t xml:space="preserve">; may constitute </w:t>
      </w:r>
      <w:r w:rsidR="00F33240" w:rsidRPr="00F33240">
        <w:rPr>
          <w:rFonts w:eastAsia="Times New Roman" w:cs="Times New Roman"/>
          <w:b/>
          <w:szCs w:val="24"/>
        </w:rPr>
        <w:t>willful and malicious injury</w:t>
      </w:r>
      <w:r w:rsidR="00F33240">
        <w:rPr>
          <w:rFonts w:eastAsia="Times New Roman" w:cs="Times New Roman"/>
          <w:b/>
          <w:szCs w:val="24"/>
        </w:rPr>
        <w:t>.</w:t>
      </w:r>
      <w:r>
        <w:rPr>
          <w:rFonts w:eastAsia="Times New Roman" w:cs="Times New Roman"/>
          <w:b/>
          <w:szCs w:val="24"/>
        </w:rPr>
        <w:t xml:space="preserve"> </w:t>
      </w:r>
      <w:r w:rsidRPr="00880E64">
        <w:rPr>
          <w:rFonts w:eastAsia="Times New Roman" w:cs="Times New Roman"/>
          <w:szCs w:val="24"/>
        </w:rPr>
        <w:t xml:space="preserve"> </w:t>
      </w:r>
      <w:r w:rsidR="00C72471" w:rsidRPr="00880E64">
        <w:rPr>
          <w:rFonts w:eastAsia="Times New Roman" w:cs="Times New Roman"/>
          <w:szCs w:val="24"/>
        </w:rPr>
        <w:t xml:space="preserve">David and Kristen Pitz (the “Debtors”) owned and operated a crop farm.  The Debtors were indebted to Peoples Savings Bank (the “Secured Creditor”).  The debt was secured by a security interest in the crops of the Debtors.  The Debtors sold the crops and did not apply the crop proceeds against the loan.  The Debtors filed bankruptcy.  The Secured Creditor filed an adversary action asserting that the sale of crops constituted </w:t>
      </w:r>
      <w:r w:rsidR="008676F6" w:rsidRPr="00880E64">
        <w:rPr>
          <w:rFonts w:eastAsia="Times New Roman" w:cs="Times New Roman"/>
          <w:szCs w:val="24"/>
        </w:rPr>
        <w:t>larceny, embezzlement, or a w</w:t>
      </w:r>
      <w:r w:rsidR="00C72471" w:rsidRPr="00880E64">
        <w:rPr>
          <w:rFonts w:eastAsia="Times New Roman" w:cs="Times New Roman"/>
          <w:szCs w:val="24"/>
        </w:rPr>
        <w:t xml:space="preserve">illful and malicious injury and, therefore, the debt should be non-dischargeable under </w:t>
      </w:r>
      <w:r w:rsidR="008676F6" w:rsidRPr="00880E64">
        <w:rPr>
          <w:rFonts w:eastAsia="Times New Roman" w:cs="Times New Roman"/>
          <w:szCs w:val="24"/>
        </w:rPr>
        <w:t>11 U.S.C. § 523(a)(4) and (6).</w:t>
      </w:r>
      <w:r w:rsidR="00C72471" w:rsidRPr="00880E64">
        <w:rPr>
          <w:rFonts w:eastAsia="Times New Roman" w:cs="Times New Roman"/>
          <w:szCs w:val="24"/>
        </w:rPr>
        <w:t xml:space="preserve">  The court dismissed the </w:t>
      </w:r>
      <w:r w:rsidR="008676F6" w:rsidRPr="00880E64">
        <w:rPr>
          <w:rFonts w:eastAsia="Times New Roman" w:cs="Times New Roman"/>
          <w:szCs w:val="24"/>
        </w:rPr>
        <w:t xml:space="preserve">larceny and embezzlement </w:t>
      </w:r>
      <w:r w:rsidR="00C72471" w:rsidRPr="00880E64">
        <w:rPr>
          <w:rFonts w:eastAsia="Times New Roman" w:cs="Times New Roman"/>
          <w:szCs w:val="24"/>
        </w:rPr>
        <w:t>claim</w:t>
      </w:r>
      <w:r w:rsidR="008676F6" w:rsidRPr="00880E64">
        <w:rPr>
          <w:rFonts w:eastAsia="Times New Roman" w:cs="Times New Roman"/>
          <w:szCs w:val="24"/>
        </w:rPr>
        <w:t>s under § 523(a)(4)</w:t>
      </w:r>
      <w:r w:rsidR="00C72471" w:rsidRPr="00880E64">
        <w:rPr>
          <w:rFonts w:eastAsia="Times New Roman" w:cs="Times New Roman"/>
          <w:szCs w:val="24"/>
        </w:rPr>
        <w:t xml:space="preserve"> because a </w:t>
      </w:r>
      <w:r w:rsidR="008676F6" w:rsidRPr="00880E64">
        <w:rPr>
          <w:rFonts w:eastAsia="Times New Roman" w:cs="Times New Roman"/>
          <w:szCs w:val="24"/>
        </w:rPr>
        <w:t>security interest</w:t>
      </w:r>
      <w:r w:rsidR="00C72471" w:rsidRPr="00880E64">
        <w:rPr>
          <w:rFonts w:eastAsia="Times New Roman" w:cs="Times New Roman"/>
          <w:szCs w:val="24"/>
        </w:rPr>
        <w:t xml:space="preserve"> is </w:t>
      </w:r>
      <w:r w:rsidR="008676F6" w:rsidRPr="00880E64">
        <w:rPr>
          <w:rFonts w:eastAsia="Times New Roman" w:cs="Times New Roman"/>
          <w:szCs w:val="24"/>
        </w:rPr>
        <w:t>not the property of another.</w:t>
      </w:r>
      <w:r w:rsidR="00C72471" w:rsidRPr="00880E64">
        <w:rPr>
          <w:rFonts w:eastAsia="Times New Roman" w:cs="Times New Roman"/>
          <w:szCs w:val="24"/>
        </w:rPr>
        <w:t xml:space="preserve">  The court held there was sufficient legal basis to proceed to trial on the </w:t>
      </w:r>
      <w:r w:rsidR="008676F6" w:rsidRPr="00880E64">
        <w:rPr>
          <w:rFonts w:eastAsia="Times New Roman" w:cs="Times New Roman"/>
          <w:szCs w:val="24"/>
        </w:rPr>
        <w:t xml:space="preserve">willful and malicious injury </w:t>
      </w:r>
      <w:r w:rsidR="00C72471" w:rsidRPr="00880E64">
        <w:rPr>
          <w:rFonts w:eastAsia="Times New Roman" w:cs="Times New Roman"/>
          <w:szCs w:val="24"/>
        </w:rPr>
        <w:t xml:space="preserve">claim </w:t>
      </w:r>
      <w:r w:rsidR="008676F6" w:rsidRPr="00880E64">
        <w:rPr>
          <w:rFonts w:eastAsia="Times New Roman" w:cs="Times New Roman"/>
          <w:szCs w:val="24"/>
        </w:rPr>
        <w:t>under § 523(a)(6) because the</w:t>
      </w:r>
      <w:r w:rsidR="00C72471" w:rsidRPr="00880E64">
        <w:rPr>
          <w:rFonts w:eastAsia="Times New Roman" w:cs="Times New Roman"/>
          <w:szCs w:val="24"/>
        </w:rPr>
        <w:t>re was a factual issue as to whether the Debtors intended to defraud the Secured Creditor.</w:t>
      </w:r>
      <w:r w:rsidR="00F33240" w:rsidRPr="00880E64">
        <w:rPr>
          <w:rFonts w:eastAsia="Times New Roman" w:cs="Times New Roman"/>
          <w:szCs w:val="24"/>
        </w:rPr>
        <w:t xml:space="preserve">  </w:t>
      </w:r>
      <w:r w:rsidR="008676F6" w:rsidRPr="00880E64">
        <w:rPr>
          <w:rFonts w:eastAsia="Times New Roman" w:cs="Times New Roman"/>
          <w:i/>
          <w:szCs w:val="24"/>
        </w:rPr>
        <w:t>In re Pitz</w:t>
      </w:r>
      <w:r w:rsidR="008676F6" w:rsidRPr="00880E64">
        <w:rPr>
          <w:rFonts w:eastAsia="Times New Roman" w:cs="Times New Roman"/>
          <w:szCs w:val="24"/>
        </w:rPr>
        <w:t>, 2016 WL 1530003 (Bankr. N.D. Iowa 2016)</w:t>
      </w:r>
      <w:r w:rsidR="00F33240" w:rsidRPr="00880E64">
        <w:rPr>
          <w:rFonts w:eastAsia="Times New Roman" w:cs="Times New Roman"/>
          <w:szCs w:val="24"/>
        </w:rPr>
        <w:t>.</w:t>
      </w:r>
    </w:p>
    <w:p w:rsidR="008676F6" w:rsidRDefault="008676F6" w:rsidP="00880E64">
      <w:pPr>
        <w:ind w:left="2160"/>
        <w:jc w:val="both"/>
        <w:rPr>
          <w:rFonts w:cs="Times New Roman"/>
          <w:szCs w:val="24"/>
        </w:rPr>
      </w:pPr>
    </w:p>
    <w:p w:rsidR="008676F6" w:rsidRPr="00121F2C" w:rsidRDefault="00880E64" w:rsidP="00850133">
      <w:pPr>
        <w:ind w:left="1440"/>
        <w:jc w:val="both"/>
        <w:rPr>
          <w:rFonts w:cs="Times New Roman"/>
          <w:b/>
          <w:szCs w:val="24"/>
        </w:rPr>
      </w:pPr>
      <w:r>
        <w:rPr>
          <w:b/>
        </w:rPr>
        <w:t>ii.</w:t>
      </w:r>
      <w:r>
        <w:rPr>
          <w:b/>
        </w:rPr>
        <w:tab/>
      </w:r>
      <w:r w:rsidR="008F6ECD">
        <w:rPr>
          <w:b/>
        </w:rPr>
        <w:t>Misinformation used in the s</w:t>
      </w:r>
      <w:r w:rsidR="00176605" w:rsidRPr="00176605">
        <w:rPr>
          <w:b/>
        </w:rPr>
        <w:t>olicitation of investors constituted fraud</w:t>
      </w:r>
      <w:r w:rsidR="000656A7">
        <w:rPr>
          <w:b/>
        </w:rPr>
        <w:t>; not embezzlement, larceny or willful and malicious injury</w:t>
      </w:r>
      <w:r w:rsidR="00176605" w:rsidRPr="00176605">
        <w:rPr>
          <w:b/>
        </w:rPr>
        <w:t>.</w:t>
      </w:r>
      <w:r>
        <w:rPr>
          <w:b/>
        </w:rPr>
        <w:t xml:space="preserve">  </w:t>
      </w:r>
      <w:r w:rsidR="00B7148F" w:rsidRPr="00880E64">
        <w:t>California Farms, Inc. and California Organics, LLC (the “Companies”) sold gourmet organic salads to grocery stores.  J</w:t>
      </w:r>
      <w:r w:rsidR="00A962D0" w:rsidRPr="00880E64">
        <w:t xml:space="preserve">ames Roberts (the “Debtor”) </w:t>
      </w:r>
      <w:r w:rsidR="00B7148F" w:rsidRPr="00880E64">
        <w:t xml:space="preserve">formed and marketed the Companies to investors.  </w:t>
      </w:r>
      <w:r w:rsidR="00A962D0" w:rsidRPr="00880E64">
        <w:t xml:space="preserve">Michael Barnes and California Farm Investors LLC (the “Investors”) were investors of </w:t>
      </w:r>
      <w:r w:rsidR="00B7148F" w:rsidRPr="00880E64">
        <w:t xml:space="preserve">the Companies.  The Debtor filed a Chapter 7 bankruptcy.  The </w:t>
      </w:r>
      <w:r w:rsidR="008676F6" w:rsidRPr="00880E64">
        <w:t xml:space="preserve">Investors brought </w:t>
      </w:r>
      <w:r w:rsidR="00B7148F" w:rsidRPr="00880E64">
        <w:t xml:space="preserve">an </w:t>
      </w:r>
      <w:r w:rsidR="008676F6" w:rsidRPr="00880E64">
        <w:t xml:space="preserve">adversary proceeding to except </w:t>
      </w:r>
      <w:r w:rsidR="00B7148F" w:rsidRPr="00880E64">
        <w:t>from discharge the investments made by the Investors on account of the alleged f</w:t>
      </w:r>
      <w:r w:rsidR="008676F6" w:rsidRPr="00880E64">
        <w:t>raud</w:t>
      </w:r>
      <w:r w:rsidR="00B7148F" w:rsidRPr="00880E64">
        <w:t>,</w:t>
      </w:r>
      <w:r w:rsidR="00176605" w:rsidRPr="00880E64">
        <w:t xml:space="preserve"> embezzlement, larceny and willful and malicious injury c</w:t>
      </w:r>
      <w:r w:rsidR="00B7148F" w:rsidRPr="00880E64">
        <w:t>ommitted by the Debtor</w:t>
      </w:r>
      <w:r w:rsidR="00176605" w:rsidRPr="00880E64">
        <w:t xml:space="preserve"> in soliciting investors</w:t>
      </w:r>
      <w:r w:rsidR="00B7148F" w:rsidRPr="00880E64">
        <w:t>.  The court agreed, in part, and held that: (a) the D</w:t>
      </w:r>
      <w:r w:rsidR="008676F6" w:rsidRPr="00880E64">
        <w:t xml:space="preserve">ebtor’s conduct, when soliciting investors in </w:t>
      </w:r>
      <w:r w:rsidR="00B7148F" w:rsidRPr="00880E64">
        <w:t>the Companies</w:t>
      </w:r>
      <w:r w:rsidR="008676F6" w:rsidRPr="00880E64">
        <w:t xml:space="preserve">, in failing to disclose that </w:t>
      </w:r>
      <w:r w:rsidR="00B7148F" w:rsidRPr="00880E64">
        <w:t>the Companies</w:t>
      </w:r>
      <w:r w:rsidR="008676F6" w:rsidRPr="00880E64">
        <w:t xml:space="preserve">’ executive manager was </w:t>
      </w:r>
      <w:r w:rsidR="000656A7">
        <w:t xml:space="preserve">a </w:t>
      </w:r>
      <w:r w:rsidR="008676F6" w:rsidRPr="00880E64">
        <w:t xml:space="preserve">disbarred California attorney who had been convicted of mail and wire fraud, was in nature of false representation, that he made </w:t>
      </w:r>
      <w:r w:rsidR="008676F6" w:rsidRPr="00880E64">
        <w:lastRenderedPageBreak/>
        <w:t>with fraudulent intent, and on which investors justifiably relied to their detriment</w:t>
      </w:r>
      <w:r w:rsidR="00B7148F" w:rsidRPr="00880E64">
        <w:t xml:space="preserve"> and was actionable under 11 </w:t>
      </w:r>
      <w:r w:rsidR="00007AE5">
        <w:t>U.S.C.</w:t>
      </w:r>
      <w:r w:rsidR="00B7148F" w:rsidRPr="00880E64">
        <w:t xml:space="preserve"> </w:t>
      </w:r>
      <w:r w:rsidR="000656A7" w:rsidRPr="000656A7">
        <w:t xml:space="preserve">§ </w:t>
      </w:r>
      <w:r w:rsidR="00176605" w:rsidRPr="00880E64">
        <w:t>523(a)(2)(A)</w:t>
      </w:r>
      <w:r w:rsidR="00B7148F" w:rsidRPr="00880E64">
        <w:t xml:space="preserve">; (b) the </w:t>
      </w:r>
      <w:r w:rsidR="008676F6" w:rsidRPr="00880E64">
        <w:t>debtor also committed actionable fraud</w:t>
      </w:r>
      <w:r w:rsidR="00B7148F" w:rsidRPr="00880E64">
        <w:t xml:space="preserve"> under 11 </w:t>
      </w:r>
      <w:r w:rsidR="00007AE5">
        <w:t>U.S.C.</w:t>
      </w:r>
      <w:r w:rsidR="00B7148F" w:rsidRPr="00880E64">
        <w:t xml:space="preserve"> </w:t>
      </w:r>
      <w:r w:rsidR="000656A7" w:rsidRPr="000656A7">
        <w:t xml:space="preserve">§ </w:t>
      </w:r>
      <w:r w:rsidR="00176605" w:rsidRPr="00880E64">
        <w:t>523(a)(2)(B)</w:t>
      </w:r>
      <w:r w:rsidR="008676F6" w:rsidRPr="00880E64">
        <w:t xml:space="preserve"> in providing potential investors with offering materials which failed to disclose known risks, which boasted about the </w:t>
      </w:r>
      <w:r w:rsidR="000656A7" w:rsidRPr="000656A7">
        <w:t xml:space="preserve">Companies </w:t>
      </w:r>
      <w:r w:rsidR="008676F6" w:rsidRPr="00880E64">
        <w:t xml:space="preserve">'s experience when in fact it was just starting out, which falsely stated that </w:t>
      </w:r>
      <w:r w:rsidR="000656A7" w:rsidRPr="000656A7">
        <w:t>Companies</w:t>
      </w:r>
      <w:r w:rsidR="008676F6" w:rsidRPr="00880E64">
        <w:t xml:space="preserve"> would be growing its own produce, and which contained wildly optimistic financial projections which </w:t>
      </w:r>
      <w:r w:rsidR="000656A7">
        <w:t>the D</w:t>
      </w:r>
      <w:r w:rsidR="008676F6" w:rsidRPr="00880E64">
        <w:t>ebtor made no attempt to verify</w:t>
      </w:r>
      <w:r w:rsidR="00B7148F" w:rsidRPr="00880E64">
        <w:t xml:space="preserve">; (c) </w:t>
      </w:r>
      <w:r w:rsidR="008676F6" w:rsidRPr="00880E64">
        <w:t xml:space="preserve">while </w:t>
      </w:r>
      <w:r w:rsidR="000656A7" w:rsidRPr="000656A7">
        <w:t>Companies</w:t>
      </w:r>
      <w:r w:rsidR="000656A7">
        <w:t>’</w:t>
      </w:r>
      <w:r w:rsidR="008676F6" w:rsidRPr="00880E64">
        <w:t xml:space="preserve"> purchases from PACA growers may have created </w:t>
      </w:r>
      <w:r w:rsidR="000656A7">
        <w:t xml:space="preserve">an </w:t>
      </w:r>
      <w:r w:rsidR="008676F6" w:rsidRPr="00880E64">
        <w:t>express trust relationship between</w:t>
      </w:r>
      <w:r w:rsidR="000656A7">
        <w:t xml:space="preserve"> the</w:t>
      </w:r>
      <w:r w:rsidR="008676F6" w:rsidRPr="00880E64">
        <w:t xml:space="preserve"> </w:t>
      </w:r>
      <w:r w:rsidR="000656A7">
        <w:t>D</w:t>
      </w:r>
      <w:r w:rsidR="008676F6" w:rsidRPr="00880E64">
        <w:t>ebtor and unpaid growers, the</w:t>
      </w:r>
      <w:r w:rsidR="000656A7">
        <w:t xml:space="preserve"> purchases </w:t>
      </w:r>
      <w:r w:rsidR="008676F6" w:rsidRPr="00880E64">
        <w:t xml:space="preserve">did not place </w:t>
      </w:r>
      <w:r w:rsidR="000656A7">
        <w:t>the D</w:t>
      </w:r>
      <w:r w:rsidR="008676F6" w:rsidRPr="00880E64">
        <w:t xml:space="preserve">ebtor in trust relationship with </w:t>
      </w:r>
      <w:r w:rsidR="000656A7">
        <w:t>the I</w:t>
      </w:r>
      <w:r w:rsidR="008676F6" w:rsidRPr="00880E64">
        <w:t>nvestors</w:t>
      </w:r>
      <w:r w:rsidR="00B7148F" w:rsidRPr="00880E64">
        <w:t xml:space="preserve"> for purposes of </w:t>
      </w:r>
      <w:r w:rsidR="00176605" w:rsidRPr="00880E64">
        <w:t xml:space="preserve">11 </w:t>
      </w:r>
      <w:r w:rsidR="00007AE5">
        <w:t>U.S.C.</w:t>
      </w:r>
      <w:r w:rsidR="00176605" w:rsidRPr="00880E64">
        <w:t xml:space="preserve"> </w:t>
      </w:r>
      <w:r w:rsidR="000656A7" w:rsidRPr="000656A7">
        <w:t>§</w:t>
      </w:r>
      <w:r w:rsidR="000656A7">
        <w:t xml:space="preserve"> </w:t>
      </w:r>
      <w:r w:rsidR="00176605" w:rsidRPr="00880E64">
        <w:t>523(a)(4)</w:t>
      </w:r>
      <w:r w:rsidR="00B7148F" w:rsidRPr="00880E64">
        <w:t xml:space="preserve">; (d) </w:t>
      </w:r>
      <w:r w:rsidR="008676F6" w:rsidRPr="00880E64">
        <w:t xml:space="preserve">the </w:t>
      </w:r>
      <w:r w:rsidR="00B7148F" w:rsidRPr="00880E64">
        <w:t>I</w:t>
      </w:r>
      <w:r w:rsidR="008676F6" w:rsidRPr="00880E64">
        <w:t xml:space="preserve">nvestor failed to establish any “embezzlement” or “larceny,” </w:t>
      </w:r>
      <w:r w:rsidR="00B7148F" w:rsidRPr="00880E64">
        <w:t xml:space="preserve">under </w:t>
      </w:r>
      <w:r w:rsidR="00176605" w:rsidRPr="00880E64">
        <w:t xml:space="preserve">11 </w:t>
      </w:r>
      <w:r w:rsidR="00007AE5">
        <w:t>U.S.C.</w:t>
      </w:r>
      <w:r w:rsidR="00176605" w:rsidRPr="00880E64">
        <w:t xml:space="preserve"> </w:t>
      </w:r>
      <w:r w:rsidR="000656A7" w:rsidRPr="000656A7">
        <w:t>§</w:t>
      </w:r>
      <w:r w:rsidR="000656A7">
        <w:t xml:space="preserve"> </w:t>
      </w:r>
      <w:r w:rsidR="00176605" w:rsidRPr="00880E64">
        <w:t>523(a)(4)</w:t>
      </w:r>
      <w:r w:rsidR="00B7148F" w:rsidRPr="00880E64">
        <w:t xml:space="preserve"> </w:t>
      </w:r>
      <w:r w:rsidR="008676F6" w:rsidRPr="00880E64">
        <w:t xml:space="preserve">in </w:t>
      </w:r>
      <w:r w:rsidR="00B7148F" w:rsidRPr="00880E64">
        <w:t>the Companies</w:t>
      </w:r>
      <w:r w:rsidR="008676F6" w:rsidRPr="00880E64">
        <w:t>’</w:t>
      </w:r>
      <w:r w:rsidR="00B7148F" w:rsidRPr="00880E64">
        <w:t xml:space="preserve"> use of funds solicited from the I</w:t>
      </w:r>
      <w:r w:rsidR="008676F6" w:rsidRPr="00880E64">
        <w:t>nvestors either to purchase produce from PACA growers or to fund management draws</w:t>
      </w:r>
      <w:r w:rsidR="00B7148F" w:rsidRPr="00880E64">
        <w:t>; and (e) D</w:t>
      </w:r>
      <w:r w:rsidR="008676F6" w:rsidRPr="00880E64">
        <w:t>ebtor’s conduct did not rise to level of “willful and malicious injury”</w:t>
      </w:r>
      <w:r w:rsidR="00B7148F" w:rsidRPr="00880E64">
        <w:t xml:space="preserve"> under </w:t>
      </w:r>
      <w:r w:rsidR="00176605" w:rsidRPr="00880E64">
        <w:t xml:space="preserve">11 </w:t>
      </w:r>
      <w:r w:rsidR="00007AE5">
        <w:t>U.S.C.</w:t>
      </w:r>
      <w:r w:rsidR="00176605" w:rsidRPr="00880E64">
        <w:t xml:space="preserve"> </w:t>
      </w:r>
      <w:r w:rsidR="000656A7" w:rsidRPr="000656A7">
        <w:t>§</w:t>
      </w:r>
      <w:r w:rsidR="000656A7">
        <w:t xml:space="preserve"> </w:t>
      </w:r>
      <w:r w:rsidR="00176605" w:rsidRPr="00880E64">
        <w:t>523(a)(6)</w:t>
      </w:r>
      <w:r w:rsidR="00B7148F" w:rsidRPr="00880E64">
        <w:t>.</w:t>
      </w:r>
      <w:r w:rsidR="008676F6" w:rsidRPr="00880E64">
        <w:t xml:space="preserve">  </w:t>
      </w:r>
      <w:r w:rsidR="008676F6" w:rsidRPr="00880E64">
        <w:rPr>
          <w:i/>
        </w:rPr>
        <w:t>In re Roberts</w:t>
      </w:r>
      <w:r w:rsidR="008676F6" w:rsidRPr="00880E64">
        <w:t>, 538 B.R. 1 (Bankr. C.D. Cal. 2015)</w:t>
      </w:r>
      <w:r w:rsidR="00176605" w:rsidRPr="00880E64">
        <w:t>.</w:t>
      </w:r>
    </w:p>
    <w:p w:rsidR="008676F6" w:rsidRPr="00850133" w:rsidRDefault="008676F6" w:rsidP="00850133">
      <w:pPr>
        <w:ind w:left="1440"/>
        <w:jc w:val="both"/>
        <w:rPr>
          <w:rFonts w:cs="Times New Roman"/>
          <w:szCs w:val="24"/>
        </w:rPr>
      </w:pPr>
    </w:p>
    <w:p w:rsidR="00B93B9A" w:rsidRDefault="00017026" w:rsidP="00ED544E">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Chapter 7.</w:t>
      </w:r>
    </w:p>
    <w:p w:rsidR="00B85801" w:rsidRDefault="00B85801" w:rsidP="00ED544E">
      <w:pPr>
        <w:pStyle w:val="ListParagraph"/>
        <w:spacing w:line="240" w:lineRule="auto"/>
        <w:jc w:val="both"/>
        <w:rPr>
          <w:rFonts w:ascii="Times New Roman" w:hAnsi="Times New Roman" w:cs="Times New Roman"/>
          <w:b/>
          <w:sz w:val="24"/>
          <w:szCs w:val="24"/>
        </w:rPr>
      </w:pPr>
    </w:p>
    <w:p w:rsidR="005B1D97" w:rsidRPr="007C704F" w:rsidRDefault="007C704F" w:rsidP="00ED544E">
      <w:pPr>
        <w:pStyle w:val="ListParagraph"/>
        <w:spacing w:line="240" w:lineRule="auto"/>
        <w:jc w:val="both"/>
        <w:rPr>
          <w:rFonts w:ascii="Times New Roman" w:hAnsi="Times New Roman" w:cs="Times New Roman"/>
          <w:sz w:val="24"/>
          <w:szCs w:val="24"/>
        </w:rPr>
      </w:pPr>
      <w:r w:rsidRPr="007C704F">
        <w:rPr>
          <w:rFonts w:ascii="Times New Roman" w:hAnsi="Times New Roman" w:cs="Times New Roman"/>
          <w:b/>
          <w:sz w:val="24"/>
          <w:szCs w:val="24"/>
        </w:rPr>
        <w:t>Pre-petition transfer of farm equipment did not constitute fraud</w:t>
      </w:r>
      <w:r w:rsidR="000656A7">
        <w:rPr>
          <w:rFonts w:ascii="Times New Roman" w:hAnsi="Times New Roman" w:cs="Times New Roman"/>
          <w:b/>
          <w:sz w:val="24"/>
          <w:szCs w:val="24"/>
        </w:rPr>
        <w:t xml:space="preserve">; no basis to </w:t>
      </w:r>
      <w:r w:rsidRPr="007C704F">
        <w:rPr>
          <w:rFonts w:ascii="Times New Roman" w:hAnsi="Times New Roman" w:cs="Times New Roman"/>
          <w:b/>
          <w:sz w:val="24"/>
          <w:szCs w:val="24"/>
        </w:rPr>
        <w:t>den</w:t>
      </w:r>
      <w:r w:rsidR="000656A7">
        <w:rPr>
          <w:rFonts w:ascii="Times New Roman" w:hAnsi="Times New Roman" w:cs="Times New Roman"/>
          <w:b/>
          <w:sz w:val="24"/>
          <w:szCs w:val="24"/>
        </w:rPr>
        <w:t>y</w:t>
      </w:r>
      <w:r w:rsidRPr="007C704F">
        <w:rPr>
          <w:rFonts w:ascii="Times New Roman" w:hAnsi="Times New Roman" w:cs="Times New Roman"/>
          <w:b/>
          <w:sz w:val="24"/>
          <w:szCs w:val="24"/>
        </w:rPr>
        <w:t xml:space="preserve"> discharge.</w:t>
      </w:r>
      <w:r>
        <w:rPr>
          <w:rFonts w:ascii="Times New Roman" w:hAnsi="Times New Roman" w:cs="Times New Roman"/>
          <w:sz w:val="24"/>
          <w:szCs w:val="24"/>
        </w:rPr>
        <w:t xml:space="preserve">  </w:t>
      </w:r>
      <w:r w:rsidR="005A0F6E" w:rsidRPr="007C704F">
        <w:rPr>
          <w:rFonts w:ascii="Times New Roman" w:hAnsi="Times New Roman" w:cs="Times New Roman"/>
          <w:sz w:val="24"/>
          <w:szCs w:val="24"/>
        </w:rPr>
        <w:t xml:space="preserve">Dean Borstead (the “Debtor”) was indebted to Horizon Financial Bank (the “Secured Creditor”).  The indebtedness was secured by a security interest in the equipment of the Debtor.  The Debtor owed an </w:t>
      </w:r>
      <w:r w:rsidR="00043656" w:rsidRPr="007C704F">
        <w:rPr>
          <w:rFonts w:ascii="Times New Roman" w:hAnsi="Times New Roman" w:cs="Times New Roman"/>
          <w:sz w:val="24"/>
          <w:szCs w:val="24"/>
        </w:rPr>
        <w:t>anhydrous applicator and bat-wing mower</w:t>
      </w:r>
      <w:r w:rsidR="005A0F6E" w:rsidRPr="007C704F">
        <w:rPr>
          <w:rFonts w:ascii="Times New Roman" w:hAnsi="Times New Roman" w:cs="Times New Roman"/>
          <w:sz w:val="24"/>
          <w:szCs w:val="24"/>
        </w:rPr>
        <w:t xml:space="preserve"> with a neighbor (the “Joint Owner”).  The Debtor transferred the anhydrous applicator and bat-wing mower to the Joint Owner </w:t>
      </w:r>
      <w:r w:rsidRPr="007C704F">
        <w:rPr>
          <w:rFonts w:ascii="Times New Roman" w:hAnsi="Times New Roman" w:cs="Times New Roman"/>
          <w:sz w:val="24"/>
          <w:szCs w:val="24"/>
        </w:rPr>
        <w:t xml:space="preserve">in satisfaction of debts owed by the Debtor to the Joint Owner.  The Debtor subsequently filed a Chapter 7 bankruptcy.  The Chapter 7 trustee moved to deny discharge under 11 </w:t>
      </w:r>
      <w:r w:rsidR="00007AE5">
        <w:rPr>
          <w:rFonts w:ascii="Times New Roman" w:hAnsi="Times New Roman" w:cs="Times New Roman"/>
          <w:sz w:val="24"/>
          <w:szCs w:val="24"/>
        </w:rPr>
        <w:t>U.S.C.</w:t>
      </w:r>
      <w:r w:rsidRPr="007C704F">
        <w:rPr>
          <w:rFonts w:ascii="Times New Roman" w:hAnsi="Times New Roman" w:cs="Times New Roman"/>
          <w:sz w:val="24"/>
          <w:szCs w:val="24"/>
        </w:rPr>
        <w:t xml:space="preserve"> </w:t>
      </w:r>
      <w:r w:rsidR="000656A7" w:rsidRPr="000656A7">
        <w:rPr>
          <w:rFonts w:ascii="Times New Roman" w:hAnsi="Times New Roman" w:cs="Times New Roman"/>
          <w:sz w:val="24"/>
          <w:szCs w:val="24"/>
        </w:rPr>
        <w:t>§</w:t>
      </w:r>
      <w:r w:rsidR="000656A7">
        <w:rPr>
          <w:rFonts w:ascii="Times New Roman" w:hAnsi="Times New Roman" w:cs="Times New Roman"/>
          <w:sz w:val="24"/>
          <w:szCs w:val="24"/>
        </w:rPr>
        <w:t xml:space="preserve"> </w:t>
      </w:r>
      <w:r w:rsidRPr="007C704F">
        <w:rPr>
          <w:rFonts w:ascii="Times New Roman" w:hAnsi="Times New Roman" w:cs="Times New Roman"/>
          <w:sz w:val="24"/>
          <w:szCs w:val="24"/>
        </w:rPr>
        <w:t>727 on the basis that the Debtor intended to defraud the bankruptcy estate by transferring the property to the Joint Owner.  The court disagreed and held that the c</w:t>
      </w:r>
      <w:r w:rsidR="00043656" w:rsidRPr="007C704F">
        <w:rPr>
          <w:rFonts w:ascii="Times New Roman" w:hAnsi="Times New Roman" w:cs="Times New Roman"/>
          <w:sz w:val="24"/>
          <w:szCs w:val="24"/>
        </w:rPr>
        <w:t>ircumstances surrounding the transfers did not create an inference of fraud</w:t>
      </w:r>
      <w:r w:rsidR="000656A7">
        <w:rPr>
          <w:rFonts w:ascii="Times New Roman" w:hAnsi="Times New Roman" w:cs="Times New Roman"/>
          <w:sz w:val="24"/>
          <w:szCs w:val="24"/>
        </w:rPr>
        <w:t xml:space="preserve"> because </w:t>
      </w:r>
      <w:r w:rsidR="00043656" w:rsidRPr="007C704F">
        <w:rPr>
          <w:rFonts w:ascii="Times New Roman" w:hAnsi="Times New Roman" w:cs="Times New Roman"/>
          <w:sz w:val="24"/>
          <w:szCs w:val="24"/>
        </w:rPr>
        <w:t xml:space="preserve">the </w:t>
      </w:r>
      <w:r w:rsidRPr="007C704F">
        <w:rPr>
          <w:rFonts w:ascii="Times New Roman" w:hAnsi="Times New Roman" w:cs="Times New Roman"/>
          <w:sz w:val="24"/>
          <w:szCs w:val="24"/>
        </w:rPr>
        <w:t>D</w:t>
      </w:r>
      <w:r w:rsidR="00043656" w:rsidRPr="007C704F">
        <w:rPr>
          <w:rFonts w:ascii="Times New Roman" w:hAnsi="Times New Roman" w:cs="Times New Roman"/>
          <w:sz w:val="24"/>
          <w:szCs w:val="24"/>
        </w:rPr>
        <w:t xml:space="preserve">ebtor offered evidence substantiating </w:t>
      </w:r>
      <w:r w:rsidRPr="007C704F">
        <w:rPr>
          <w:rFonts w:ascii="Times New Roman" w:hAnsi="Times New Roman" w:cs="Times New Roman"/>
          <w:sz w:val="24"/>
          <w:szCs w:val="24"/>
        </w:rPr>
        <w:t xml:space="preserve">the </w:t>
      </w:r>
      <w:r w:rsidR="00043656" w:rsidRPr="007C704F">
        <w:rPr>
          <w:rFonts w:ascii="Times New Roman" w:hAnsi="Times New Roman" w:cs="Times New Roman"/>
          <w:sz w:val="24"/>
          <w:szCs w:val="24"/>
        </w:rPr>
        <w:t xml:space="preserve">debts </w:t>
      </w:r>
      <w:r w:rsidRPr="007C704F">
        <w:rPr>
          <w:rFonts w:ascii="Times New Roman" w:hAnsi="Times New Roman" w:cs="Times New Roman"/>
          <w:sz w:val="24"/>
          <w:szCs w:val="24"/>
        </w:rPr>
        <w:t>of the Joint Owner</w:t>
      </w:r>
      <w:r w:rsidR="00043656" w:rsidRPr="007C704F">
        <w:rPr>
          <w:rFonts w:ascii="Times New Roman" w:hAnsi="Times New Roman" w:cs="Times New Roman"/>
          <w:sz w:val="24"/>
          <w:szCs w:val="24"/>
        </w:rPr>
        <w:t>.</w:t>
      </w:r>
      <w:r w:rsidR="00043656" w:rsidRPr="007C704F">
        <w:rPr>
          <w:rFonts w:ascii="Times New Roman" w:hAnsi="Times New Roman" w:cs="Times New Roman"/>
          <w:i/>
          <w:sz w:val="24"/>
          <w:szCs w:val="24"/>
        </w:rPr>
        <w:t xml:space="preserve"> In re Borstad</w:t>
      </w:r>
      <w:r w:rsidR="00043656" w:rsidRPr="007C704F">
        <w:rPr>
          <w:rFonts w:ascii="Times New Roman" w:hAnsi="Times New Roman" w:cs="Times New Roman"/>
          <w:sz w:val="24"/>
          <w:szCs w:val="24"/>
        </w:rPr>
        <w:t>, 550 B.R. 803 (Bankr. D.N.D. 2016)</w:t>
      </w:r>
      <w:r w:rsidRPr="007C704F">
        <w:rPr>
          <w:rFonts w:ascii="Times New Roman" w:hAnsi="Times New Roman" w:cs="Times New Roman"/>
          <w:sz w:val="24"/>
          <w:szCs w:val="24"/>
        </w:rPr>
        <w:t>.</w:t>
      </w:r>
    </w:p>
    <w:p w:rsidR="005B1D97" w:rsidRDefault="005B1D97" w:rsidP="00ED544E">
      <w:pPr>
        <w:pStyle w:val="ListParagraph"/>
        <w:spacing w:line="240" w:lineRule="auto"/>
        <w:jc w:val="both"/>
        <w:rPr>
          <w:rFonts w:ascii="Times New Roman" w:hAnsi="Times New Roman" w:cs="Times New Roman"/>
          <w:b/>
          <w:sz w:val="24"/>
          <w:szCs w:val="24"/>
        </w:rPr>
      </w:pPr>
    </w:p>
    <w:p w:rsidR="00017026" w:rsidRDefault="00017026" w:rsidP="00ED544E">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Chapter 11.</w:t>
      </w:r>
    </w:p>
    <w:p w:rsidR="00B85801" w:rsidRDefault="00B85801" w:rsidP="00ED544E">
      <w:pPr>
        <w:pStyle w:val="ListParagraph"/>
        <w:spacing w:line="240" w:lineRule="auto"/>
        <w:jc w:val="both"/>
        <w:rPr>
          <w:rFonts w:ascii="Times New Roman" w:hAnsi="Times New Roman" w:cs="Times New Roman"/>
          <w:b/>
          <w:sz w:val="24"/>
          <w:szCs w:val="24"/>
        </w:rPr>
      </w:pPr>
    </w:p>
    <w:p w:rsidR="005B1D97" w:rsidRDefault="005B1D97" w:rsidP="00ED544E">
      <w:pPr>
        <w:pStyle w:val="ListParagraph"/>
        <w:spacing w:line="240" w:lineRule="auto"/>
        <w:jc w:val="both"/>
        <w:rPr>
          <w:rFonts w:ascii="Times New Roman" w:hAnsi="Times New Roman" w:cs="Times New Roman"/>
          <w:b/>
          <w:sz w:val="24"/>
          <w:szCs w:val="24"/>
        </w:rPr>
      </w:pPr>
      <w:r w:rsidRPr="00124976">
        <w:rPr>
          <w:rFonts w:ascii="Times New Roman" w:hAnsi="Times New Roman" w:cs="Times New Roman"/>
          <w:sz w:val="24"/>
          <w:szCs w:val="24"/>
        </w:rPr>
        <w:t>N</w:t>
      </w:r>
      <w:r w:rsidRPr="005B1D97">
        <w:rPr>
          <w:rFonts w:ascii="Times New Roman" w:hAnsi="Times New Roman" w:cs="Times New Roman"/>
          <w:sz w:val="24"/>
          <w:szCs w:val="24"/>
        </w:rPr>
        <w:t xml:space="preserve">o </w:t>
      </w:r>
      <w:r w:rsidR="00880E64">
        <w:rPr>
          <w:rFonts w:ascii="Times New Roman" w:hAnsi="Times New Roman" w:cs="Times New Roman"/>
          <w:sz w:val="24"/>
          <w:szCs w:val="24"/>
        </w:rPr>
        <w:t>updates</w:t>
      </w:r>
      <w:r w:rsidRPr="005B1D97">
        <w:rPr>
          <w:rFonts w:ascii="Times New Roman" w:hAnsi="Times New Roman" w:cs="Times New Roman"/>
          <w:sz w:val="24"/>
          <w:szCs w:val="24"/>
        </w:rPr>
        <w:t>.</w:t>
      </w:r>
    </w:p>
    <w:p w:rsidR="005B1D97" w:rsidRDefault="005B1D97" w:rsidP="00ED544E">
      <w:pPr>
        <w:pStyle w:val="ListParagraph"/>
        <w:spacing w:line="240" w:lineRule="auto"/>
        <w:jc w:val="both"/>
        <w:rPr>
          <w:rFonts w:ascii="Times New Roman" w:hAnsi="Times New Roman" w:cs="Times New Roman"/>
          <w:b/>
          <w:sz w:val="24"/>
          <w:szCs w:val="24"/>
        </w:rPr>
      </w:pPr>
    </w:p>
    <w:p w:rsidR="00017026" w:rsidRDefault="00017026" w:rsidP="00ED544E">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Chapter 12.</w:t>
      </w:r>
    </w:p>
    <w:p w:rsidR="00B85801" w:rsidRDefault="00B85801" w:rsidP="00ED544E">
      <w:pPr>
        <w:pStyle w:val="ListParagraph"/>
        <w:spacing w:line="240" w:lineRule="auto"/>
        <w:jc w:val="both"/>
        <w:rPr>
          <w:rFonts w:ascii="Times New Roman" w:hAnsi="Times New Roman" w:cs="Times New Roman"/>
          <w:b/>
          <w:sz w:val="24"/>
          <w:szCs w:val="24"/>
        </w:rPr>
      </w:pPr>
    </w:p>
    <w:p w:rsidR="00017026" w:rsidRDefault="00017026" w:rsidP="00ED544E">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Eligibility.</w:t>
      </w:r>
    </w:p>
    <w:p w:rsidR="00B85801" w:rsidRDefault="00B85801" w:rsidP="00ED544E">
      <w:pPr>
        <w:pStyle w:val="ListParagraph"/>
        <w:spacing w:line="240" w:lineRule="auto"/>
        <w:ind w:left="1440"/>
        <w:jc w:val="both"/>
        <w:rPr>
          <w:rFonts w:ascii="Times New Roman" w:hAnsi="Times New Roman" w:cs="Times New Roman"/>
          <w:b/>
          <w:sz w:val="24"/>
          <w:szCs w:val="24"/>
        </w:rPr>
      </w:pPr>
    </w:p>
    <w:p w:rsidR="00B85801" w:rsidRPr="00880E64" w:rsidRDefault="00017026" w:rsidP="00ED544E">
      <w:pPr>
        <w:pStyle w:val="ListParagraph"/>
        <w:numPr>
          <w:ilvl w:val="2"/>
          <w:numId w:val="15"/>
        </w:numPr>
        <w:spacing w:line="240" w:lineRule="auto"/>
        <w:ind w:left="2520" w:hanging="540"/>
        <w:jc w:val="both"/>
        <w:rPr>
          <w:rFonts w:ascii="Times New Roman" w:hAnsi="Times New Roman" w:cs="Times New Roman"/>
          <w:b/>
          <w:sz w:val="24"/>
          <w:szCs w:val="24"/>
        </w:rPr>
      </w:pPr>
      <w:r>
        <w:rPr>
          <w:rFonts w:ascii="Times New Roman" w:hAnsi="Times New Roman" w:cs="Times New Roman"/>
          <w:b/>
          <w:sz w:val="24"/>
          <w:szCs w:val="24"/>
        </w:rPr>
        <w:t>“Farming Operation” Requirement.</w:t>
      </w:r>
    </w:p>
    <w:p w:rsidR="008676F6" w:rsidRPr="00EC0D56" w:rsidRDefault="00EC0D56" w:rsidP="00880E64">
      <w:pPr>
        <w:ind w:left="1980"/>
        <w:jc w:val="both"/>
        <w:rPr>
          <w:rFonts w:eastAsia="Times New Roman" w:cs="Times New Roman"/>
          <w:b/>
          <w:szCs w:val="24"/>
        </w:rPr>
      </w:pPr>
      <w:r w:rsidRPr="00EC0D56">
        <w:rPr>
          <w:rFonts w:eastAsia="Times New Roman" w:cs="Times New Roman"/>
          <w:b/>
          <w:szCs w:val="24"/>
        </w:rPr>
        <w:t xml:space="preserve">Contracting </w:t>
      </w:r>
      <w:r w:rsidR="000656A7">
        <w:rPr>
          <w:rFonts w:eastAsia="Times New Roman" w:cs="Times New Roman"/>
          <w:b/>
          <w:szCs w:val="24"/>
        </w:rPr>
        <w:t xml:space="preserve">with a third party </w:t>
      </w:r>
      <w:r w:rsidRPr="00EC0D56">
        <w:rPr>
          <w:rFonts w:eastAsia="Times New Roman" w:cs="Times New Roman"/>
          <w:b/>
          <w:szCs w:val="24"/>
        </w:rPr>
        <w:t>for the planting and harvesting of a crop constitutes farming.</w:t>
      </w:r>
      <w:r w:rsidR="00880E64">
        <w:rPr>
          <w:rFonts w:eastAsia="Times New Roman" w:cs="Times New Roman"/>
          <w:b/>
          <w:szCs w:val="24"/>
        </w:rPr>
        <w:t xml:space="preserve"> </w:t>
      </w:r>
      <w:r w:rsidR="00880E64" w:rsidRPr="00880E64">
        <w:rPr>
          <w:rFonts w:eastAsia="Times New Roman" w:cs="Times New Roman"/>
          <w:szCs w:val="24"/>
        </w:rPr>
        <w:t xml:space="preserve"> </w:t>
      </w:r>
      <w:r w:rsidRPr="00880E64">
        <w:rPr>
          <w:rFonts w:eastAsia="Times New Roman" w:cs="Times New Roman"/>
          <w:szCs w:val="24"/>
        </w:rPr>
        <w:t xml:space="preserve">Larry and Sandra Williams (the “Debtors”) rented farmland and contracted with </w:t>
      </w:r>
      <w:r w:rsidR="000656A7">
        <w:rPr>
          <w:rFonts w:eastAsia="Times New Roman" w:cs="Times New Roman"/>
          <w:szCs w:val="24"/>
        </w:rPr>
        <w:t xml:space="preserve">their </w:t>
      </w:r>
      <w:r w:rsidRPr="00880E64">
        <w:rPr>
          <w:rFonts w:eastAsia="Times New Roman" w:cs="Times New Roman"/>
          <w:szCs w:val="24"/>
        </w:rPr>
        <w:t>son to plant and harvest the crop</w:t>
      </w:r>
      <w:r w:rsidR="000656A7">
        <w:rPr>
          <w:rFonts w:eastAsia="Times New Roman" w:cs="Times New Roman"/>
          <w:szCs w:val="24"/>
        </w:rPr>
        <w:t xml:space="preserve"> on the </w:t>
      </w:r>
      <w:r w:rsidR="000656A7">
        <w:rPr>
          <w:rFonts w:eastAsia="Times New Roman" w:cs="Times New Roman"/>
          <w:szCs w:val="24"/>
        </w:rPr>
        <w:lastRenderedPageBreak/>
        <w:t>rented farmland</w:t>
      </w:r>
      <w:r w:rsidRPr="00880E64">
        <w:rPr>
          <w:rFonts w:eastAsia="Times New Roman" w:cs="Times New Roman"/>
          <w:szCs w:val="24"/>
        </w:rPr>
        <w:t>.  The Debtor</w:t>
      </w:r>
      <w:r w:rsidR="000656A7">
        <w:rPr>
          <w:rFonts w:eastAsia="Times New Roman" w:cs="Times New Roman"/>
          <w:szCs w:val="24"/>
        </w:rPr>
        <w:t>s</w:t>
      </w:r>
      <w:r w:rsidRPr="00880E64">
        <w:rPr>
          <w:rFonts w:eastAsia="Times New Roman" w:cs="Times New Roman"/>
          <w:szCs w:val="24"/>
        </w:rPr>
        <w:t xml:space="preserve"> filed a Chapter 12 bankruptcy.  The </w:t>
      </w:r>
      <w:r w:rsidR="008676F6" w:rsidRPr="00880E64">
        <w:rPr>
          <w:rFonts w:eastAsia="Times New Roman" w:cs="Times New Roman"/>
          <w:szCs w:val="24"/>
        </w:rPr>
        <w:t xml:space="preserve">Chapter 12 Trustee </w:t>
      </w:r>
      <w:r w:rsidRPr="00880E64">
        <w:rPr>
          <w:rFonts w:eastAsia="Times New Roman" w:cs="Times New Roman"/>
          <w:szCs w:val="24"/>
        </w:rPr>
        <w:t>moved to dismiss the bankruptcy arguing that the Debtors were not eligible to be d</w:t>
      </w:r>
      <w:r w:rsidR="008676F6" w:rsidRPr="00880E64">
        <w:rPr>
          <w:rFonts w:eastAsia="Times New Roman" w:cs="Times New Roman"/>
          <w:szCs w:val="24"/>
        </w:rPr>
        <w:t>ebtors under Chapter 12 because they were not “engaged in a farming operation</w:t>
      </w:r>
      <w:r w:rsidRPr="00880E64">
        <w:rPr>
          <w:rFonts w:eastAsia="Times New Roman" w:cs="Times New Roman"/>
          <w:szCs w:val="24"/>
        </w:rPr>
        <w:t>”</w:t>
      </w:r>
      <w:r w:rsidR="000656A7" w:rsidRPr="000656A7">
        <w:t xml:space="preserve"> </w:t>
      </w:r>
      <w:r w:rsidR="000656A7" w:rsidRPr="000656A7">
        <w:rPr>
          <w:rFonts w:eastAsia="Times New Roman" w:cs="Times New Roman"/>
          <w:szCs w:val="24"/>
        </w:rPr>
        <w:t xml:space="preserve">for purposes of 11 </w:t>
      </w:r>
      <w:r w:rsidR="00007AE5">
        <w:rPr>
          <w:rFonts w:eastAsia="Times New Roman" w:cs="Times New Roman"/>
          <w:szCs w:val="24"/>
        </w:rPr>
        <w:t>U.S.C.</w:t>
      </w:r>
      <w:r w:rsidR="000656A7" w:rsidRPr="000656A7">
        <w:rPr>
          <w:rFonts w:eastAsia="Times New Roman" w:cs="Times New Roman"/>
          <w:szCs w:val="24"/>
        </w:rPr>
        <w:t xml:space="preserve"> §</w:t>
      </w:r>
      <w:r w:rsidR="000656A7">
        <w:rPr>
          <w:rFonts w:eastAsia="Times New Roman" w:cs="Times New Roman"/>
          <w:szCs w:val="24"/>
        </w:rPr>
        <w:t xml:space="preserve"> </w:t>
      </w:r>
      <w:r w:rsidR="000656A7" w:rsidRPr="000656A7">
        <w:rPr>
          <w:rFonts w:eastAsia="Times New Roman" w:cs="Times New Roman"/>
          <w:szCs w:val="24"/>
        </w:rPr>
        <w:t>101(18).</w:t>
      </w:r>
      <w:r w:rsidRPr="00880E64">
        <w:rPr>
          <w:rFonts w:eastAsia="Times New Roman" w:cs="Times New Roman"/>
          <w:szCs w:val="24"/>
        </w:rPr>
        <w:t xml:space="preserve">  The court disagreed and held that a Chapter 12 debtor does not </w:t>
      </w:r>
      <w:r w:rsidR="008676F6" w:rsidRPr="00880E64">
        <w:rPr>
          <w:rFonts w:eastAsia="Times New Roman" w:cs="Times New Roman"/>
          <w:szCs w:val="24"/>
        </w:rPr>
        <w:t>have</w:t>
      </w:r>
      <w:r w:rsidRPr="00880E64">
        <w:rPr>
          <w:rFonts w:eastAsia="Times New Roman" w:cs="Times New Roman"/>
          <w:szCs w:val="24"/>
        </w:rPr>
        <w:t xml:space="preserve"> to</w:t>
      </w:r>
      <w:r w:rsidR="008676F6" w:rsidRPr="00880E64">
        <w:rPr>
          <w:rFonts w:eastAsia="Times New Roman" w:cs="Times New Roman"/>
          <w:szCs w:val="24"/>
        </w:rPr>
        <w:t xml:space="preserve"> own the land upon which the farming occurred nor d</w:t>
      </w:r>
      <w:r w:rsidR="003D3B97">
        <w:rPr>
          <w:rFonts w:eastAsia="Times New Roman" w:cs="Times New Roman"/>
          <w:szCs w:val="24"/>
        </w:rPr>
        <w:t>oes</w:t>
      </w:r>
      <w:r w:rsidR="008676F6" w:rsidRPr="00880E64">
        <w:rPr>
          <w:rFonts w:eastAsia="Times New Roman" w:cs="Times New Roman"/>
          <w:szCs w:val="24"/>
        </w:rPr>
        <w:t xml:space="preserve"> the</w:t>
      </w:r>
      <w:r w:rsidRPr="00880E64">
        <w:rPr>
          <w:rFonts w:eastAsia="Times New Roman" w:cs="Times New Roman"/>
          <w:szCs w:val="24"/>
        </w:rPr>
        <w:t xml:space="preserve"> debtor </w:t>
      </w:r>
      <w:r w:rsidR="008676F6" w:rsidRPr="00880E64">
        <w:rPr>
          <w:rFonts w:eastAsia="Times New Roman" w:cs="Times New Roman"/>
          <w:szCs w:val="24"/>
        </w:rPr>
        <w:t xml:space="preserve">have to do all of the </w:t>
      </w:r>
      <w:r w:rsidRPr="00880E64">
        <w:rPr>
          <w:rFonts w:eastAsia="Times New Roman" w:cs="Times New Roman"/>
          <w:szCs w:val="24"/>
        </w:rPr>
        <w:t>p</w:t>
      </w:r>
      <w:r w:rsidR="008676F6" w:rsidRPr="00880E64">
        <w:rPr>
          <w:rFonts w:eastAsia="Times New Roman" w:cs="Times New Roman"/>
          <w:szCs w:val="24"/>
        </w:rPr>
        <w:t>hysical labor involved</w:t>
      </w:r>
      <w:r w:rsidRPr="00880E64">
        <w:rPr>
          <w:rFonts w:eastAsia="Times New Roman" w:cs="Times New Roman"/>
          <w:szCs w:val="24"/>
        </w:rPr>
        <w:t xml:space="preserve"> with farming.  The Debtors entered into the lease contract with their son for their own benefit, owned the farm equipment, purchased the seed, fertilizer, and materials used in the operation, entered into insurance contracts in their own names, and made all of the decisions as to what crops would be planted and incurred all profits and losses.  The court held that the </w:t>
      </w:r>
      <w:r w:rsidR="008676F6" w:rsidRPr="00880E64">
        <w:rPr>
          <w:rFonts w:eastAsia="Times New Roman" w:cs="Times New Roman"/>
          <w:szCs w:val="24"/>
        </w:rPr>
        <w:t xml:space="preserve">Debtors were sufficiently involved with the </w:t>
      </w:r>
      <w:r w:rsidRPr="00880E64">
        <w:rPr>
          <w:rFonts w:eastAsia="Times New Roman" w:cs="Times New Roman"/>
          <w:szCs w:val="24"/>
        </w:rPr>
        <w:t xml:space="preserve">farming </w:t>
      </w:r>
      <w:r w:rsidR="008676F6" w:rsidRPr="00880E64">
        <w:rPr>
          <w:rFonts w:eastAsia="Times New Roman" w:cs="Times New Roman"/>
          <w:szCs w:val="24"/>
        </w:rPr>
        <w:t>operation</w:t>
      </w:r>
      <w:r w:rsidRPr="00880E64">
        <w:rPr>
          <w:rFonts w:eastAsia="Times New Roman" w:cs="Times New Roman"/>
          <w:szCs w:val="24"/>
        </w:rPr>
        <w:t xml:space="preserve"> to be engaged in a farming operation</w:t>
      </w:r>
      <w:r w:rsidR="000656A7">
        <w:rPr>
          <w:rFonts w:eastAsia="Times New Roman" w:cs="Times New Roman"/>
          <w:szCs w:val="24"/>
        </w:rPr>
        <w:t xml:space="preserve"> for purposes of Chapter 12 eligibility.</w:t>
      </w:r>
      <w:r w:rsidRPr="00880E64">
        <w:rPr>
          <w:rFonts w:eastAsia="Times New Roman" w:cs="Times New Roman"/>
          <w:szCs w:val="24"/>
        </w:rPr>
        <w:t xml:space="preserve">  </w:t>
      </w:r>
      <w:r w:rsidR="008676F6" w:rsidRPr="00880E64">
        <w:rPr>
          <w:rFonts w:eastAsia="Times New Roman" w:cs="Times New Roman"/>
          <w:i/>
          <w:szCs w:val="24"/>
        </w:rPr>
        <w:t>In re Williams</w:t>
      </w:r>
      <w:r w:rsidR="008676F6" w:rsidRPr="00880E64">
        <w:rPr>
          <w:rFonts w:eastAsia="Times New Roman" w:cs="Times New Roman"/>
          <w:szCs w:val="24"/>
        </w:rPr>
        <w:t>, 2016 WL 1644189 (Bankr. W.D. Ky. 2016)</w:t>
      </w:r>
      <w:r w:rsidRPr="00880E64">
        <w:rPr>
          <w:rFonts w:eastAsia="Times New Roman" w:cs="Times New Roman"/>
          <w:szCs w:val="24"/>
        </w:rPr>
        <w:t>.</w:t>
      </w:r>
    </w:p>
    <w:p w:rsidR="008676F6" w:rsidRDefault="008676F6" w:rsidP="00ED544E">
      <w:pPr>
        <w:pStyle w:val="ListParagraph"/>
        <w:spacing w:line="240" w:lineRule="auto"/>
        <w:ind w:left="2520"/>
        <w:jc w:val="both"/>
        <w:rPr>
          <w:rFonts w:ascii="Times New Roman" w:hAnsi="Times New Roman" w:cs="Times New Roman"/>
          <w:b/>
          <w:sz w:val="24"/>
          <w:szCs w:val="24"/>
        </w:rPr>
      </w:pPr>
    </w:p>
    <w:p w:rsidR="00017026" w:rsidRDefault="00017026" w:rsidP="00ED544E">
      <w:pPr>
        <w:pStyle w:val="ListParagraph"/>
        <w:numPr>
          <w:ilvl w:val="2"/>
          <w:numId w:val="15"/>
        </w:numPr>
        <w:spacing w:line="240" w:lineRule="auto"/>
        <w:ind w:left="2520" w:hanging="540"/>
        <w:jc w:val="both"/>
        <w:rPr>
          <w:rFonts w:ascii="Times New Roman" w:hAnsi="Times New Roman" w:cs="Times New Roman"/>
          <w:b/>
          <w:sz w:val="24"/>
          <w:szCs w:val="24"/>
        </w:rPr>
      </w:pPr>
      <w:r>
        <w:rPr>
          <w:rFonts w:ascii="Times New Roman" w:hAnsi="Times New Roman" w:cs="Times New Roman"/>
          <w:b/>
          <w:sz w:val="24"/>
          <w:szCs w:val="24"/>
        </w:rPr>
        <w:t>50% Farming Income Requirement.</w:t>
      </w:r>
    </w:p>
    <w:p w:rsidR="00B85801" w:rsidRDefault="00B85801" w:rsidP="00ED544E">
      <w:pPr>
        <w:pStyle w:val="ListParagraph"/>
        <w:spacing w:line="240" w:lineRule="auto"/>
        <w:ind w:left="2520"/>
        <w:jc w:val="both"/>
        <w:rPr>
          <w:rFonts w:ascii="Times New Roman" w:hAnsi="Times New Roman" w:cs="Times New Roman"/>
          <w:b/>
          <w:sz w:val="24"/>
          <w:szCs w:val="24"/>
        </w:rPr>
      </w:pPr>
    </w:p>
    <w:p w:rsidR="005B1D97" w:rsidRPr="00017026" w:rsidRDefault="005B1D97" w:rsidP="005B1D97">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124976">
        <w:rPr>
          <w:rFonts w:ascii="Times New Roman" w:hAnsi="Times New Roman" w:cs="Times New Roman"/>
          <w:sz w:val="24"/>
          <w:szCs w:val="24"/>
        </w:rPr>
        <w:t xml:space="preserve"> N</w:t>
      </w:r>
      <w:r w:rsidRPr="005B1D97">
        <w:rPr>
          <w:rFonts w:ascii="Times New Roman" w:hAnsi="Times New Roman" w:cs="Times New Roman"/>
          <w:sz w:val="24"/>
          <w:szCs w:val="24"/>
        </w:rPr>
        <w:t xml:space="preserve">o </w:t>
      </w:r>
      <w:r w:rsidR="00880E64">
        <w:rPr>
          <w:rFonts w:ascii="Times New Roman" w:hAnsi="Times New Roman" w:cs="Times New Roman"/>
          <w:sz w:val="24"/>
          <w:szCs w:val="24"/>
        </w:rPr>
        <w:t>updates</w:t>
      </w:r>
      <w:r w:rsidRPr="005B1D97">
        <w:rPr>
          <w:rFonts w:ascii="Times New Roman" w:hAnsi="Times New Roman" w:cs="Times New Roman"/>
          <w:sz w:val="24"/>
          <w:szCs w:val="24"/>
        </w:rPr>
        <w:t>.</w:t>
      </w:r>
    </w:p>
    <w:p w:rsidR="005B1D97" w:rsidRDefault="005B1D97" w:rsidP="00ED544E">
      <w:pPr>
        <w:pStyle w:val="ListParagraph"/>
        <w:spacing w:line="240" w:lineRule="auto"/>
        <w:ind w:left="2520"/>
        <w:jc w:val="both"/>
        <w:rPr>
          <w:rFonts w:ascii="Times New Roman" w:hAnsi="Times New Roman" w:cs="Times New Roman"/>
          <w:b/>
          <w:sz w:val="24"/>
          <w:szCs w:val="24"/>
        </w:rPr>
      </w:pPr>
    </w:p>
    <w:p w:rsidR="00017026" w:rsidRDefault="00017026" w:rsidP="00ED544E">
      <w:pPr>
        <w:pStyle w:val="ListParagraph"/>
        <w:numPr>
          <w:ilvl w:val="2"/>
          <w:numId w:val="15"/>
        </w:numPr>
        <w:spacing w:line="240" w:lineRule="auto"/>
        <w:ind w:left="2520" w:hanging="540"/>
        <w:jc w:val="both"/>
        <w:rPr>
          <w:rFonts w:ascii="Times New Roman" w:hAnsi="Times New Roman" w:cs="Times New Roman"/>
          <w:b/>
          <w:sz w:val="24"/>
          <w:szCs w:val="24"/>
        </w:rPr>
      </w:pPr>
      <w:r>
        <w:rPr>
          <w:rFonts w:ascii="Times New Roman" w:hAnsi="Times New Roman" w:cs="Times New Roman"/>
          <w:b/>
          <w:sz w:val="24"/>
          <w:szCs w:val="24"/>
        </w:rPr>
        <w:t>50% Farming Debt Requirement.</w:t>
      </w:r>
    </w:p>
    <w:p w:rsidR="00B85801" w:rsidRDefault="00B85801" w:rsidP="00ED544E">
      <w:pPr>
        <w:pStyle w:val="ListParagraph"/>
        <w:spacing w:line="240" w:lineRule="auto"/>
        <w:ind w:left="2520"/>
        <w:jc w:val="both"/>
        <w:rPr>
          <w:rFonts w:ascii="Times New Roman" w:hAnsi="Times New Roman" w:cs="Times New Roman"/>
          <w:b/>
          <w:sz w:val="24"/>
          <w:szCs w:val="24"/>
        </w:rPr>
      </w:pPr>
    </w:p>
    <w:p w:rsidR="00880E64" w:rsidRPr="00880E64" w:rsidRDefault="00880E64" w:rsidP="00ED544E">
      <w:pPr>
        <w:pStyle w:val="ListParagraph"/>
        <w:spacing w:line="240" w:lineRule="auto"/>
        <w:ind w:left="2520"/>
        <w:jc w:val="both"/>
        <w:rPr>
          <w:rFonts w:ascii="Times New Roman" w:hAnsi="Times New Roman" w:cs="Times New Roman"/>
          <w:sz w:val="24"/>
          <w:szCs w:val="24"/>
        </w:rPr>
      </w:pPr>
      <w:r w:rsidRPr="00880E64">
        <w:rPr>
          <w:rFonts w:ascii="Times New Roman" w:hAnsi="Times New Roman" w:cs="Times New Roman"/>
          <w:sz w:val="24"/>
          <w:szCs w:val="24"/>
        </w:rPr>
        <w:t>No updates.</w:t>
      </w:r>
    </w:p>
    <w:p w:rsidR="00880E64" w:rsidRDefault="00880E64" w:rsidP="00880E64">
      <w:pPr>
        <w:pStyle w:val="ListParagraph"/>
        <w:spacing w:line="240" w:lineRule="auto"/>
        <w:ind w:left="1440"/>
        <w:jc w:val="both"/>
        <w:rPr>
          <w:rFonts w:ascii="Times New Roman" w:hAnsi="Times New Roman" w:cs="Times New Roman"/>
          <w:b/>
          <w:sz w:val="24"/>
          <w:szCs w:val="24"/>
        </w:rPr>
      </w:pPr>
    </w:p>
    <w:p w:rsidR="00017026" w:rsidRDefault="00017026" w:rsidP="00ED544E">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Dismissal/Conversion.</w:t>
      </w:r>
    </w:p>
    <w:p w:rsidR="008676F6" w:rsidRPr="00880E64" w:rsidRDefault="002830A1" w:rsidP="00043656">
      <w:pPr>
        <w:ind w:left="1440"/>
        <w:jc w:val="both"/>
        <w:rPr>
          <w:rFonts w:eastAsia="Times New Roman" w:cs="Times New Roman"/>
          <w:b/>
          <w:szCs w:val="24"/>
        </w:rPr>
      </w:pPr>
      <w:r w:rsidRPr="00BF3E52">
        <w:rPr>
          <w:rFonts w:eastAsia="Times New Roman" w:cs="Times New Roman"/>
          <w:b/>
          <w:szCs w:val="24"/>
        </w:rPr>
        <w:t xml:space="preserve">Stay relief motion must have been filed in first bankruptcy to </w:t>
      </w:r>
      <w:r w:rsidR="00BF3E52">
        <w:rPr>
          <w:rFonts w:eastAsia="Times New Roman" w:cs="Times New Roman"/>
          <w:b/>
          <w:szCs w:val="24"/>
        </w:rPr>
        <w:t xml:space="preserve">disqualify debtor in second bankruptcy; </w:t>
      </w:r>
      <w:r w:rsidRPr="00BF3E52">
        <w:rPr>
          <w:rFonts w:eastAsia="Times New Roman" w:cs="Times New Roman"/>
          <w:b/>
          <w:szCs w:val="24"/>
        </w:rPr>
        <w:t>stipulation granting stay relief is not sufficient</w:t>
      </w:r>
      <w:r w:rsidR="000656A7">
        <w:rPr>
          <w:rFonts w:eastAsia="Times New Roman" w:cs="Times New Roman"/>
          <w:b/>
          <w:szCs w:val="24"/>
        </w:rPr>
        <w:t xml:space="preserve"> to dismiss second bankruptcy</w:t>
      </w:r>
      <w:r w:rsidRPr="00BF3E52">
        <w:rPr>
          <w:rFonts w:eastAsia="Times New Roman" w:cs="Times New Roman"/>
          <w:b/>
          <w:szCs w:val="24"/>
        </w:rPr>
        <w:t>.</w:t>
      </w:r>
      <w:r w:rsidR="00880E64">
        <w:rPr>
          <w:rFonts w:eastAsia="Times New Roman" w:cs="Times New Roman"/>
          <w:b/>
          <w:szCs w:val="24"/>
        </w:rPr>
        <w:t xml:space="preserve">  </w:t>
      </w:r>
      <w:r w:rsidR="008676F6" w:rsidRPr="00880E64">
        <w:rPr>
          <w:rFonts w:eastAsia="Times New Roman" w:cs="Times New Roman"/>
          <w:szCs w:val="24"/>
        </w:rPr>
        <w:t xml:space="preserve">Craig and Lynda Herremans (the “Debtors”) </w:t>
      </w:r>
      <w:r w:rsidRPr="00880E64">
        <w:rPr>
          <w:rFonts w:eastAsia="Times New Roman" w:cs="Times New Roman"/>
          <w:szCs w:val="24"/>
        </w:rPr>
        <w:t xml:space="preserve">were indebted to American Farm Mortgage Company (the “Secured Creditor”).  The Debtors </w:t>
      </w:r>
      <w:r w:rsidR="008676F6" w:rsidRPr="00880E64">
        <w:rPr>
          <w:rFonts w:eastAsia="Times New Roman" w:cs="Times New Roman"/>
          <w:szCs w:val="24"/>
        </w:rPr>
        <w:t xml:space="preserve">filed </w:t>
      </w:r>
      <w:r w:rsidRPr="00880E64">
        <w:rPr>
          <w:rFonts w:eastAsia="Times New Roman" w:cs="Times New Roman"/>
          <w:szCs w:val="24"/>
        </w:rPr>
        <w:t>a C</w:t>
      </w:r>
      <w:r w:rsidR="008676F6" w:rsidRPr="00880E64">
        <w:rPr>
          <w:rFonts w:eastAsia="Times New Roman" w:cs="Times New Roman"/>
          <w:szCs w:val="24"/>
        </w:rPr>
        <w:t xml:space="preserve">hapter 12 </w:t>
      </w:r>
      <w:r w:rsidRPr="00880E64">
        <w:rPr>
          <w:rFonts w:eastAsia="Times New Roman" w:cs="Times New Roman"/>
          <w:szCs w:val="24"/>
        </w:rPr>
        <w:t xml:space="preserve">bankruptcy and confirmed a Chapter 12 plan (the “First Bankruptcy”).  In conjunction with the confirmed Chapter 12 plan, the Debtors agreed that if the Debtors failed to make payment to the Secured Creditor that the Secured Creditor would be entitled to stay relief after filing an affidavit with the court.  The Debtors failed to make a payment and the Secured Creditor filed the affidavit.  The Debtors dismissed the First Bankruptcy and subsequently filed another bankruptcy (the “Second Bankruptcy”).  The Secured Creditor moved to dismiss arguing that </w:t>
      </w:r>
      <w:r w:rsidR="00BF3E52" w:rsidRPr="00880E64">
        <w:rPr>
          <w:rFonts w:eastAsia="Times New Roman" w:cs="Times New Roman"/>
          <w:szCs w:val="24"/>
        </w:rPr>
        <w:t xml:space="preserve">the combination of the right to stay relief in the First Bankruptcy and the filing of the Second Bankruptcy disqualified the Debtors from Chapter 12 under </w:t>
      </w:r>
      <w:r w:rsidR="000656A7">
        <w:rPr>
          <w:rFonts w:eastAsia="Times New Roman" w:cs="Times New Roman"/>
          <w:szCs w:val="24"/>
        </w:rPr>
        <w:t xml:space="preserve">the serial filing restrictions under </w:t>
      </w:r>
      <w:r w:rsidR="00BF3E52" w:rsidRPr="00880E64">
        <w:rPr>
          <w:rFonts w:eastAsia="Times New Roman" w:cs="Times New Roman"/>
          <w:szCs w:val="24"/>
        </w:rPr>
        <w:t xml:space="preserve">11 </w:t>
      </w:r>
      <w:r w:rsidR="00007AE5">
        <w:rPr>
          <w:rFonts w:eastAsia="Times New Roman" w:cs="Times New Roman"/>
          <w:szCs w:val="24"/>
        </w:rPr>
        <w:t>U.S.C.</w:t>
      </w:r>
      <w:r w:rsidR="00BF3E52" w:rsidRPr="00880E64">
        <w:rPr>
          <w:rFonts w:eastAsia="Times New Roman" w:cs="Times New Roman"/>
          <w:szCs w:val="24"/>
        </w:rPr>
        <w:t xml:space="preserve"> </w:t>
      </w:r>
      <w:r w:rsidR="000656A7" w:rsidRPr="000656A7">
        <w:rPr>
          <w:rFonts w:eastAsia="Times New Roman" w:cs="Times New Roman"/>
          <w:szCs w:val="24"/>
        </w:rPr>
        <w:t>§</w:t>
      </w:r>
      <w:r w:rsidR="000656A7">
        <w:rPr>
          <w:rFonts w:eastAsia="Times New Roman" w:cs="Times New Roman"/>
          <w:szCs w:val="24"/>
        </w:rPr>
        <w:t xml:space="preserve"> </w:t>
      </w:r>
      <w:r w:rsidR="00BF3E52" w:rsidRPr="00880E64">
        <w:rPr>
          <w:rFonts w:eastAsia="Times New Roman" w:cs="Times New Roman"/>
          <w:szCs w:val="24"/>
        </w:rPr>
        <w:t xml:space="preserve">109(g)(2).  The court disagreed and held that </w:t>
      </w:r>
      <w:r w:rsidR="000656A7" w:rsidRPr="000656A7">
        <w:rPr>
          <w:rFonts w:eastAsia="Times New Roman" w:cs="Times New Roman"/>
          <w:szCs w:val="24"/>
        </w:rPr>
        <w:t>§</w:t>
      </w:r>
      <w:r w:rsidR="000656A7">
        <w:rPr>
          <w:rFonts w:eastAsia="Times New Roman" w:cs="Times New Roman"/>
          <w:szCs w:val="24"/>
        </w:rPr>
        <w:t xml:space="preserve"> </w:t>
      </w:r>
      <w:r w:rsidR="00BF3E52" w:rsidRPr="00880E64">
        <w:rPr>
          <w:rFonts w:eastAsia="Times New Roman" w:cs="Times New Roman"/>
          <w:szCs w:val="24"/>
        </w:rPr>
        <w:t xml:space="preserve">109(g)(2) is only effective if </w:t>
      </w:r>
      <w:r w:rsidR="000656A7">
        <w:rPr>
          <w:rFonts w:eastAsia="Times New Roman" w:cs="Times New Roman"/>
          <w:szCs w:val="24"/>
        </w:rPr>
        <w:t>“</w:t>
      </w:r>
      <w:r w:rsidR="00BF3E52" w:rsidRPr="00880E64">
        <w:rPr>
          <w:rFonts w:eastAsia="Times New Roman" w:cs="Times New Roman"/>
          <w:szCs w:val="24"/>
        </w:rPr>
        <w:t>a request for relief</w:t>
      </w:r>
      <w:r w:rsidR="000656A7">
        <w:rPr>
          <w:rFonts w:eastAsia="Times New Roman" w:cs="Times New Roman"/>
          <w:szCs w:val="24"/>
        </w:rPr>
        <w:t>” or stay relief motion</w:t>
      </w:r>
      <w:r w:rsidR="00BF3E52" w:rsidRPr="00880E64">
        <w:rPr>
          <w:rFonts w:eastAsia="Times New Roman" w:cs="Times New Roman"/>
          <w:szCs w:val="24"/>
        </w:rPr>
        <w:t xml:space="preserve"> has been filed in the first bankruptcy.  In this case, the Secured Creditor never filed a stay relief motion in the First Bankruptcy.  Instead, the Debtors just consented to stay relief in the First Bankruptcy in the event of a payment default.  The filing of the affidavit was not a “request for relief” </w:t>
      </w:r>
      <w:r w:rsidR="000656A7">
        <w:rPr>
          <w:rFonts w:eastAsia="Times New Roman" w:cs="Times New Roman"/>
          <w:szCs w:val="24"/>
        </w:rPr>
        <w:t xml:space="preserve">for purposes of </w:t>
      </w:r>
      <w:r w:rsidR="000656A7" w:rsidRPr="000656A7">
        <w:rPr>
          <w:rFonts w:eastAsia="Times New Roman" w:cs="Times New Roman"/>
          <w:szCs w:val="24"/>
        </w:rPr>
        <w:t>§</w:t>
      </w:r>
      <w:r w:rsidR="000656A7">
        <w:rPr>
          <w:rFonts w:eastAsia="Times New Roman" w:cs="Times New Roman"/>
          <w:szCs w:val="24"/>
        </w:rPr>
        <w:t xml:space="preserve"> </w:t>
      </w:r>
      <w:r w:rsidR="00BF3E52" w:rsidRPr="00880E64">
        <w:rPr>
          <w:rFonts w:eastAsia="Times New Roman" w:cs="Times New Roman"/>
          <w:szCs w:val="24"/>
        </w:rPr>
        <w:t>109(g)(2).</w:t>
      </w:r>
      <w:r w:rsidR="008676F6" w:rsidRPr="00880E64">
        <w:rPr>
          <w:rFonts w:eastAsia="Times New Roman" w:cs="Times New Roman"/>
          <w:szCs w:val="24"/>
        </w:rPr>
        <w:t xml:space="preserve">  </w:t>
      </w:r>
      <w:r w:rsidR="008676F6" w:rsidRPr="00880E64">
        <w:rPr>
          <w:rFonts w:eastAsia="Times New Roman" w:cs="Times New Roman"/>
          <w:i/>
          <w:szCs w:val="24"/>
        </w:rPr>
        <w:t>In re Herremans</w:t>
      </w:r>
      <w:r w:rsidR="008676F6" w:rsidRPr="00880E64">
        <w:rPr>
          <w:rFonts w:eastAsia="Times New Roman" w:cs="Times New Roman"/>
          <w:szCs w:val="24"/>
        </w:rPr>
        <w:t>, 532 B.R. 701 (Bankr. W.D. Mich. 2015)</w:t>
      </w:r>
      <w:r w:rsidR="00BF3E52" w:rsidRPr="00880E64">
        <w:rPr>
          <w:rFonts w:eastAsia="Times New Roman" w:cs="Times New Roman"/>
          <w:szCs w:val="24"/>
        </w:rPr>
        <w:t>.</w:t>
      </w:r>
    </w:p>
    <w:p w:rsidR="008676F6" w:rsidRDefault="008676F6" w:rsidP="00ED544E">
      <w:pPr>
        <w:pStyle w:val="ListParagraph"/>
        <w:spacing w:line="240" w:lineRule="auto"/>
        <w:ind w:left="1440"/>
        <w:jc w:val="both"/>
        <w:rPr>
          <w:rFonts w:ascii="Times New Roman" w:hAnsi="Times New Roman" w:cs="Times New Roman"/>
          <w:b/>
          <w:sz w:val="24"/>
          <w:szCs w:val="24"/>
        </w:rPr>
      </w:pPr>
    </w:p>
    <w:p w:rsidR="00017026" w:rsidRDefault="00017026" w:rsidP="00ED544E">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Plan.</w:t>
      </w:r>
    </w:p>
    <w:p w:rsidR="00B85801" w:rsidRDefault="00B85801" w:rsidP="00ED544E">
      <w:pPr>
        <w:pStyle w:val="ListParagraph"/>
        <w:spacing w:line="240" w:lineRule="auto"/>
        <w:ind w:left="1440"/>
        <w:jc w:val="both"/>
        <w:rPr>
          <w:rFonts w:ascii="Times New Roman" w:hAnsi="Times New Roman" w:cs="Times New Roman"/>
          <w:b/>
          <w:sz w:val="24"/>
          <w:szCs w:val="24"/>
        </w:rPr>
      </w:pPr>
    </w:p>
    <w:p w:rsidR="00B85801" w:rsidRDefault="00017026" w:rsidP="00ED544E">
      <w:pPr>
        <w:pStyle w:val="ListParagraph"/>
        <w:numPr>
          <w:ilvl w:val="2"/>
          <w:numId w:val="15"/>
        </w:numPr>
        <w:spacing w:line="240" w:lineRule="auto"/>
        <w:ind w:left="2520" w:hanging="540"/>
        <w:jc w:val="both"/>
        <w:rPr>
          <w:rFonts w:ascii="Times New Roman" w:hAnsi="Times New Roman" w:cs="Times New Roman"/>
          <w:b/>
          <w:sz w:val="24"/>
          <w:szCs w:val="24"/>
        </w:rPr>
      </w:pPr>
      <w:r>
        <w:rPr>
          <w:rFonts w:ascii="Times New Roman" w:hAnsi="Times New Roman" w:cs="Times New Roman"/>
          <w:b/>
          <w:sz w:val="24"/>
          <w:szCs w:val="24"/>
        </w:rPr>
        <w:t>Secured Claims.</w:t>
      </w:r>
    </w:p>
    <w:p w:rsidR="008676F6" w:rsidRDefault="008676F6" w:rsidP="008676F6">
      <w:pPr>
        <w:pStyle w:val="ListParagraph"/>
        <w:spacing w:line="240" w:lineRule="auto"/>
        <w:ind w:left="2520"/>
        <w:jc w:val="both"/>
        <w:rPr>
          <w:rFonts w:ascii="Times New Roman" w:hAnsi="Times New Roman" w:cs="Times New Roman"/>
          <w:b/>
          <w:sz w:val="24"/>
          <w:szCs w:val="24"/>
        </w:rPr>
      </w:pPr>
    </w:p>
    <w:p w:rsidR="00043656" w:rsidRPr="00043656" w:rsidRDefault="00043656" w:rsidP="008676F6">
      <w:pPr>
        <w:pStyle w:val="ListParagraph"/>
        <w:spacing w:line="240" w:lineRule="auto"/>
        <w:ind w:left="2520"/>
        <w:jc w:val="both"/>
        <w:rPr>
          <w:rFonts w:ascii="Times New Roman" w:hAnsi="Times New Roman" w:cs="Times New Roman"/>
          <w:sz w:val="24"/>
          <w:szCs w:val="24"/>
        </w:rPr>
      </w:pPr>
      <w:r w:rsidRPr="00043656">
        <w:rPr>
          <w:rFonts w:ascii="Times New Roman" w:hAnsi="Times New Roman" w:cs="Times New Roman"/>
          <w:sz w:val="24"/>
          <w:szCs w:val="24"/>
        </w:rPr>
        <w:t>No updates.</w:t>
      </w:r>
    </w:p>
    <w:p w:rsidR="00043656" w:rsidRDefault="00043656" w:rsidP="008676F6">
      <w:pPr>
        <w:pStyle w:val="ListParagraph"/>
        <w:spacing w:line="240" w:lineRule="auto"/>
        <w:ind w:left="2520"/>
        <w:jc w:val="both"/>
        <w:rPr>
          <w:rFonts w:ascii="Times New Roman" w:hAnsi="Times New Roman" w:cs="Times New Roman"/>
          <w:b/>
          <w:sz w:val="24"/>
          <w:szCs w:val="24"/>
        </w:rPr>
      </w:pPr>
    </w:p>
    <w:p w:rsidR="00847DD2" w:rsidRPr="00880E64" w:rsidRDefault="008676F6" w:rsidP="00ED544E">
      <w:pPr>
        <w:pStyle w:val="ListParagraph"/>
        <w:numPr>
          <w:ilvl w:val="2"/>
          <w:numId w:val="15"/>
        </w:numPr>
        <w:spacing w:line="240" w:lineRule="auto"/>
        <w:ind w:left="2520" w:hanging="540"/>
        <w:jc w:val="both"/>
        <w:rPr>
          <w:rFonts w:ascii="Times New Roman" w:hAnsi="Times New Roman" w:cs="Times New Roman"/>
          <w:b/>
          <w:sz w:val="24"/>
          <w:szCs w:val="24"/>
        </w:rPr>
      </w:pPr>
      <w:r>
        <w:rPr>
          <w:rFonts w:ascii="Times New Roman" w:hAnsi="Times New Roman" w:cs="Times New Roman"/>
          <w:b/>
          <w:sz w:val="24"/>
          <w:szCs w:val="24"/>
        </w:rPr>
        <w:t>Feasibility.</w:t>
      </w:r>
    </w:p>
    <w:p w:rsidR="008676F6" w:rsidRDefault="00880E64" w:rsidP="00043656">
      <w:pPr>
        <w:ind w:left="2520"/>
        <w:jc w:val="both"/>
        <w:rPr>
          <w:rFonts w:eastAsia="Times New Roman" w:cs="Times New Roman"/>
          <w:szCs w:val="24"/>
        </w:rPr>
      </w:pPr>
      <w:r>
        <w:rPr>
          <w:rFonts w:eastAsia="Times New Roman" w:cs="Times New Roman"/>
          <w:b/>
          <w:szCs w:val="24"/>
        </w:rPr>
        <w:t>1.</w:t>
      </w:r>
      <w:r>
        <w:rPr>
          <w:rFonts w:eastAsia="Times New Roman" w:cs="Times New Roman"/>
          <w:b/>
          <w:szCs w:val="24"/>
        </w:rPr>
        <w:tab/>
      </w:r>
      <w:r w:rsidR="006A5B26" w:rsidRPr="006A5B26">
        <w:rPr>
          <w:rFonts w:eastAsia="Times New Roman" w:cs="Times New Roman"/>
          <w:b/>
          <w:szCs w:val="24"/>
        </w:rPr>
        <w:t>Partial liquidation of farming operation did not result in feasible plan.</w:t>
      </w:r>
      <w:r>
        <w:rPr>
          <w:rFonts w:eastAsia="Times New Roman" w:cs="Times New Roman"/>
          <w:b/>
          <w:szCs w:val="24"/>
        </w:rPr>
        <w:t xml:space="preserve">  </w:t>
      </w:r>
      <w:r w:rsidR="006A5B26" w:rsidRPr="00880E64">
        <w:rPr>
          <w:rFonts w:eastAsia="Times New Roman" w:cs="Times New Roman"/>
          <w:szCs w:val="24"/>
        </w:rPr>
        <w:t xml:space="preserve">Bruce and Stacie Meinders (the “Debtors”) were dairy farmer and were indebted to State Savings Bank (the “Secured Creditor”).  The indebtedness was secured by mortgages on farmland.  The Debtors filed a Chapter 12 Plan (the “Plan”) that proposed to sell </w:t>
      </w:r>
      <w:r w:rsidR="008676F6" w:rsidRPr="00880E64">
        <w:rPr>
          <w:rFonts w:eastAsia="Times New Roman" w:cs="Times New Roman"/>
          <w:szCs w:val="24"/>
        </w:rPr>
        <w:t xml:space="preserve">a robotic milking machine and use the proceeds to purchase </w:t>
      </w:r>
      <w:r w:rsidR="006A5B26" w:rsidRPr="00880E64">
        <w:rPr>
          <w:rFonts w:eastAsia="Times New Roman" w:cs="Times New Roman"/>
          <w:szCs w:val="24"/>
        </w:rPr>
        <w:t>fifty (50)</w:t>
      </w:r>
      <w:r w:rsidR="008676F6" w:rsidRPr="00880E64">
        <w:rPr>
          <w:rFonts w:eastAsia="Times New Roman" w:cs="Times New Roman"/>
          <w:szCs w:val="24"/>
        </w:rPr>
        <w:t xml:space="preserve"> additional dairy cows</w:t>
      </w:r>
      <w:r w:rsidR="006A5B26" w:rsidRPr="00880E64">
        <w:rPr>
          <w:rFonts w:eastAsia="Times New Roman" w:cs="Times New Roman"/>
          <w:szCs w:val="24"/>
        </w:rPr>
        <w:t>.  The Secured Creditor object</w:t>
      </w:r>
      <w:r w:rsidR="000656A7">
        <w:rPr>
          <w:rFonts w:eastAsia="Times New Roman" w:cs="Times New Roman"/>
          <w:szCs w:val="24"/>
        </w:rPr>
        <w:t xml:space="preserve">ed and the court agreed that </w:t>
      </w:r>
      <w:r w:rsidR="008676F6" w:rsidRPr="00880E64">
        <w:rPr>
          <w:rFonts w:eastAsia="Times New Roman" w:cs="Times New Roman"/>
          <w:szCs w:val="24"/>
        </w:rPr>
        <w:t>the proceeds from the robotic milker would not be enough to purchase the minimum number of the cows needed to support the Plan</w:t>
      </w:r>
      <w:r w:rsidR="006A5B26" w:rsidRPr="00880E64">
        <w:rPr>
          <w:rFonts w:eastAsia="Times New Roman" w:cs="Times New Roman"/>
          <w:szCs w:val="24"/>
        </w:rPr>
        <w:t xml:space="preserve"> and, therefore, the Plan was not feasible.  </w:t>
      </w:r>
      <w:r w:rsidR="008676F6" w:rsidRPr="00880E64">
        <w:rPr>
          <w:rFonts w:eastAsia="Times New Roman" w:cs="Times New Roman"/>
          <w:i/>
          <w:szCs w:val="24"/>
        </w:rPr>
        <w:t>In re Meinders</w:t>
      </w:r>
      <w:r w:rsidR="008676F6" w:rsidRPr="00880E64">
        <w:rPr>
          <w:rFonts w:eastAsia="Times New Roman" w:cs="Times New Roman"/>
          <w:szCs w:val="24"/>
        </w:rPr>
        <w:t>, 2016 WL 1599508 (Bankr. N.D. Iowa 2016)</w:t>
      </w:r>
      <w:r w:rsidR="006A5B26" w:rsidRPr="00880E64">
        <w:rPr>
          <w:rFonts w:eastAsia="Times New Roman" w:cs="Times New Roman"/>
          <w:szCs w:val="24"/>
        </w:rPr>
        <w:t>.</w:t>
      </w:r>
    </w:p>
    <w:p w:rsidR="00043656" w:rsidRPr="00043656" w:rsidRDefault="00043656" w:rsidP="00043656">
      <w:pPr>
        <w:ind w:left="2520"/>
        <w:jc w:val="both"/>
        <w:rPr>
          <w:rFonts w:eastAsia="Times New Roman" w:cs="Times New Roman"/>
          <w:b/>
          <w:szCs w:val="24"/>
        </w:rPr>
      </w:pPr>
    </w:p>
    <w:p w:rsidR="00E73D73" w:rsidRPr="00043656" w:rsidRDefault="00880E64" w:rsidP="00043656">
      <w:pPr>
        <w:ind w:left="2520"/>
        <w:jc w:val="both"/>
        <w:rPr>
          <w:rFonts w:eastAsia="Times New Roman" w:cs="Times New Roman"/>
          <w:szCs w:val="24"/>
        </w:rPr>
      </w:pPr>
      <w:r>
        <w:rPr>
          <w:rFonts w:eastAsia="Times New Roman" w:cs="Times New Roman"/>
          <w:b/>
          <w:szCs w:val="24"/>
        </w:rPr>
        <w:t>2.</w:t>
      </w:r>
      <w:r>
        <w:rPr>
          <w:rFonts w:eastAsia="Times New Roman" w:cs="Times New Roman"/>
          <w:b/>
          <w:szCs w:val="24"/>
        </w:rPr>
        <w:tab/>
      </w:r>
      <w:r w:rsidR="00E73D73">
        <w:rPr>
          <w:rFonts w:eastAsia="Times New Roman" w:cs="Times New Roman"/>
          <w:b/>
          <w:szCs w:val="24"/>
        </w:rPr>
        <w:t xml:space="preserve">Failure to propose a </w:t>
      </w:r>
      <w:r w:rsidR="00E73D73" w:rsidRPr="00E73D73">
        <w:rPr>
          <w:rFonts w:eastAsia="Times New Roman" w:cs="Times New Roman"/>
          <w:b/>
          <w:szCs w:val="24"/>
        </w:rPr>
        <w:t>feasible Chapter 12 plan is cause to dismiss.</w:t>
      </w:r>
      <w:r>
        <w:rPr>
          <w:rFonts w:eastAsia="Times New Roman" w:cs="Times New Roman"/>
          <w:b/>
          <w:szCs w:val="24"/>
        </w:rPr>
        <w:t xml:space="preserve">  </w:t>
      </w:r>
      <w:r w:rsidR="00096DFF" w:rsidRPr="00043656">
        <w:rPr>
          <w:rFonts w:eastAsia="Times New Roman" w:cs="Times New Roman"/>
          <w:szCs w:val="24"/>
        </w:rPr>
        <w:t xml:space="preserve">Keith’s Tree Farm (the “Debtor”) was a </w:t>
      </w:r>
      <w:r w:rsidR="00E73D73" w:rsidRPr="00043656">
        <w:rPr>
          <w:rFonts w:eastAsia="Times New Roman" w:cs="Times New Roman"/>
          <w:szCs w:val="24"/>
        </w:rPr>
        <w:t xml:space="preserve">tree farm.  </w:t>
      </w:r>
      <w:r w:rsidR="00096DFF" w:rsidRPr="00043656">
        <w:rPr>
          <w:rFonts w:eastAsia="Times New Roman" w:cs="Times New Roman"/>
          <w:szCs w:val="24"/>
        </w:rPr>
        <w:t>The Debtor is indebted to Grayson National Bank (the “Secured Creditor”).  The debt is secured by the real property of the Debtor.  The Debt</w:t>
      </w:r>
      <w:r w:rsidR="008676F6" w:rsidRPr="00043656">
        <w:rPr>
          <w:rFonts w:eastAsia="Times New Roman" w:cs="Times New Roman"/>
          <w:szCs w:val="24"/>
        </w:rPr>
        <w:t xml:space="preserve">or filed </w:t>
      </w:r>
      <w:r w:rsidR="00096DFF" w:rsidRPr="00043656">
        <w:rPr>
          <w:rFonts w:eastAsia="Times New Roman" w:cs="Times New Roman"/>
          <w:szCs w:val="24"/>
        </w:rPr>
        <w:t xml:space="preserve">a series of five </w:t>
      </w:r>
      <w:r w:rsidR="008676F6" w:rsidRPr="00043656">
        <w:rPr>
          <w:rFonts w:eastAsia="Times New Roman" w:cs="Times New Roman"/>
          <w:szCs w:val="24"/>
        </w:rPr>
        <w:t>Chapter 12 bankruptcy cases</w:t>
      </w:r>
      <w:r w:rsidR="00096DFF" w:rsidRPr="00043656">
        <w:rPr>
          <w:rFonts w:eastAsia="Times New Roman" w:cs="Times New Roman"/>
          <w:szCs w:val="24"/>
        </w:rPr>
        <w:t xml:space="preserve">; with the Debtor unable to confirm a plan in the first four cases.  In filing the fifth bankruptcy the Debtor changed its management and liquidated certain assets.  The Secured Creditor filed a motion to dismiss arguing that even with the change in management and liquidation of assets the proposed Chapter 12 plan was not feasible, as required by 11 </w:t>
      </w:r>
      <w:r w:rsidR="00007AE5">
        <w:rPr>
          <w:rFonts w:eastAsia="Times New Roman" w:cs="Times New Roman"/>
          <w:szCs w:val="24"/>
        </w:rPr>
        <w:t>U.S.C.</w:t>
      </w:r>
      <w:r w:rsidR="00096DFF" w:rsidRPr="00043656">
        <w:rPr>
          <w:rFonts w:eastAsia="Times New Roman" w:cs="Times New Roman"/>
          <w:szCs w:val="24"/>
        </w:rPr>
        <w:t xml:space="preserve"> </w:t>
      </w:r>
      <w:r w:rsidR="000656A7" w:rsidRPr="000656A7">
        <w:rPr>
          <w:rFonts w:eastAsia="Times New Roman" w:cs="Times New Roman"/>
          <w:szCs w:val="24"/>
        </w:rPr>
        <w:t>§</w:t>
      </w:r>
      <w:r w:rsidR="000656A7">
        <w:rPr>
          <w:rFonts w:eastAsia="Times New Roman" w:cs="Times New Roman"/>
          <w:szCs w:val="24"/>
        </w:rPr>
        <w:t xml:space="preserve"> </w:t>
      </w:r>
      <w:r w:rsidR="00096DFF" w:rsidRPr="00043656">
        <w:rPr>
          <w:rFonts w:eastAsia="Times New Roman" w:cs="Times New Roman"/>
          <w:szCs w:val="24"/>
        </w:rPr>
        <w:t xml:space="preserve">1225, and the case should be dismissed.  The court agreed and held that </w:t>
      </w:r>
      <w:r w:rsidR="008676F6" w:rsidRPr="00043656">
        <w:rPr>
          <w:rFonts w:eastAsia="Times New Roman" w:cs="Times New Roman"/>
          <w:szCs w:val="24"/>
        </w:rPr>
        <w:t xml:space="preserve">the record establishes that the Debtor would </w:t>
      </w:r>
      <w:r w:rsidR="00096DFF" w:rsidRPr="00043656">
        <w:rPr>
          <w:rFonts w:eastAsia="Times New Roman" w:cs="Times New Roman"/>
          <w:szCs w:val="24"/>
        </w:rPr>
        <w:t xml:space="preserve">not </w:t>
      </w:r>
      <w:r w:rsidR="008676F6" w:rsidRPr="00043656">
        <w:rPr>
          <w:rFonts w:eastAsia="Times New Roman" w:cs="Times New Roman"/>
          <w:szCs w:val="24"/>
        </w:rPr>
        <w:t xml:space="preserve">be able to make all payments under the </w:t>
      </w:r>
      <w:r w:rsidR="00096DFF" w:rsidRPr="00043656">
        <w:rPr>
          <w:rFonts w:eastAsia="Times New Roman" w:cs="Times New Roman"/>
          <w:szCs w:val="24"/>
        </w:rPr>
        <w:t xml:space="preserve">plan or otherwise comply with the plan, that </w:t>
      </w:r>
      <w:r w:rsidR="008676F6" w:rsidRPr="00043656">
        <w:rPr>
          <w:rFonts w:eastAsia="Times New Roman" w:cs="Times New Roman"/>
          <w:szCs w:val="24"/>
        </w:rPr>
        <w:t xml:space="preserve">the Debtor had failed to show any reasonable likelihood of reorganization, and </w:t>
      </w:r>
      <w:r w:rsidR="00096DFF" w:rsidRPr="00043656">
        <w:rPr>
          <w:rFonts w:eastAsia="Times New Roman" w:cs="Times New Roman"/>
          <w:szCs w:val="24"/>
        </w:rPr>
        <w:t xml:space="preserve">that </w:t>
      </w:r>
      <w:r w:rsidR="008676F6" w:rsidRPr="00043656">
        <w:rPr>
          <w:rFonts w:eastAsia="Times New Roman" w:cs="Times New Roman"/>
          <w:szCs w:val="24"/>
        </w:rPr>
        <w:t>the unreasonable delay in proposing a confirmable plan to the court</w:t>
      </w:r>
      <w:r w:rsidR="00096DFF" w:rsidRPr="00043656">
        <w:rPr>
          <w:rFonts w:eastAsia="Times New Roman" w:cs="Times New Roman"/>
          <w:szCs w:val="24"/>
        </w:rPr>
        <w:t xml:space="preserve"> the </w:t>
      </w:r>
      <w:r w:rsidR="008676F6" w:rsidRPr="00043656">
        <w:rPr>
          <w:rFonts w:eastAsia="Times New Roman" w:cs="Times New Roman"/>
          <w:szCs w:val="24"/>
        </w:rPr>
        <w:t>Debtor’s gross mismanagement in failing to provide accurate financial information</w:t>
      </w:r>
      <w:r w:rsidR="00096DFF" w:rsidRPr="00043656">
        <w:rPr>
          <w:rFonts w:eastAsia="Times New Roman" w:cs="Times New Roman"/>
          <w:szCs w:val="24"/>
        </w:rPr>
        <w:t xml:space="preserve"> constituted ca</w:t>
      </w:r>
      <w:r w:rsidR="00007AE5">
        <w:rPr>
          <w:rFonts w:eastAsia="Times New Roman" w:cs="Times New Roman"/>
          <w:szCs w:val="24"/>
        </w:rPr>
        <w:t>u</w:t>
      </w:r>
      <w:r w:rsidR="00096DFF" w:rsidRPr="00043656">
        <w:rPr>
          <w:rFonts w:eastAsia="Times New Roman" w:cs="Times New Roman"/>
          <w:szCs w:val="24"/>
        </w:rPr>
        <w:t>se to dismiss</w:t>
      </w:r>
      <w:r w:rsidR="000656A7">
        <w:rPr>
          <w:rFonts w:eastAsia="Times New Roman" w:cs="Times New Roman"/>
          <w:szCs w:val="24"/>
        </w:rPr>
        <w:t xml:space="preserve"> under 11 </w:t>
      </w:r>
      <w:r w:rsidR="00007AE5">
        <w:rPr>
          <w:rFonts w:eastAsia="Times New Roman" w:cs="Times New Roman"/>
          <w:szCs w:val="24"/>
        </w:rPr>
        <w:t>U.S.C.</w:t>
      </w:r>
      <w:r w:rsidR="000656A7">
        <w:rPr>
          <w:rFonts w:eastAsia="Times New Roman" w:cs="Times New Roman"/>
          <w:szCs w:val="24"/>
        </w:rPr>
        <w:t xml:space="preserve"> </w:t>
      </w:r>
      <w:r w:rsidR="000656A7" w:rsidRPr="000656A7">
        <w:rPr>
          <w:rFonts w:eastAsia="Times New Roman" w:cs="Times New Roman"/>
          <w:szCs w:val="24"/>
        </w:rPr>
        <w:t>§</w:t>
      </w:r>
      <w:r w:rsidR="000656A7">
        <w:rPr>
          <w:rFonts w:eastAsia="Times New Roman" w:cs="Times New Roman"/>
          <w:szCs w:val="24"/>
        </w:rPr>
        <w:t xml:space="preserve"> 1208</w:t>
      </w:r>
      <w:r w:rsidR="008676F6" w:rsidRPr="00043656">
        <w:rPr>
          <w:rFonts w:eastAsia="Times New Roman" w:cs="Times New Roman"/>
          <w:szCs w:val="24"/>
        </w:rPr>
        <w:t xml:space="preserve">.  </w:t>
      </w:r>
      <w:r w:rsidR="008676F6" w:rsidRPr="00043656">
        <w:rPr>
          <w:rFonts w:eastAsia="Times New Roman" w:cs="Times New Roman"/>
          <w:i/>
          <w:szCs w:val="24"/>
        </w:rPr>
        <w:t>In re Keith’s Tree Farm</w:t>
      </w:r>
      <w:r w:rsidR="008676F6" w:rsidRPr="00043656">
        <w:rPr>
          <w:rFonts w:eastAsia="Times New Roman" w:cs="Times New Roman"/>
          <w:szCs w:val="24"/>
        </w:rPr>
        <w:t xml:space="preserve">, 2016 WL 1086758 </w:t>
      </w:r>
      <w:r w:rsidR="00096DFF" w:rsidRPr="00043656">
        <w:rPr>
          <w:rFonts w:eastAsia="Times New Roman" w:cs="Times New Roman"/>
          <w:szCs w:val="24"/>
        </w:rPr>
        <w:t xml:space="preserve">(Bankr. W.D. Va. 2016).  </w:t>
      </w:r>
    </w:p>
    <w:p w:rsidR="00E73D73" w:rsidRPr="00043656" w:rsidRDefault="00E73D73" w:rsidP="00043656">
      <w:pPr>
        <w:ind w:left="2520"/>
        <w:jc w:val="both"/>
        <w:rPr>
          <w:rFonts w:eastAsia="Times New Roman" w:cs="Times New Roman"/>
          <w:szCs w:val="24"/>
        </w:rPr>
      </w:pPr>
    </w:p>
    <w:p w:rsidR="00E73D73" w:rsidRPr="00043656" w:rsidRDefault="00E73D73" w:rsidP="00043656">
      <w:pPr>
        <w:ind w:left="2520"/>
        <w:jc w:val="both"/>
        <w:rPr>
          <w:rFonts w:eastAsia="Times New Roman" w:cs="Times New Roman"/>
          <w:szCs w:val="24"/>
        </w:rPr>
      </w:pPr>
      <w:r w:rsidRPr="00043656">
        <w:rPr>
          <w:rFonts w:eastAsia="Times New Roman" w:cs="Times New Roman"/>
          <w:i/>
          <w:szCs w:val="24"/>
        </w:rPr>
        <w:t>Comment</w:t>
      </w:r>
      <w:r w:rsidRPr="00043656">
        <w:rPr>
          <w:rFonts w:eastAsia="Times New Roman" w:cs="Times New Roman"/>
          <w:szCs w:val="24"/>
        </w:rPr>
        <w:t xml:space="preserve">.  It is not entirely clear why the Secured Creditor allowed five Chapter 12 bankruptcies to be filed and elected not to file a motion for stay relief in an earlier bankruptcy.  Had stay relief order been entered in an earlier bankruptcy, 11 </w:t>
      </w:r>
      <w:r w:rsidR="00007AE5">
        <w:rPr>
          <w:rFonts w:eastAsia="Times New Roman" w:cs="Times New Roman"/>
          <w:szCs w:val="24"/>
        </w:rPr>
        <w:t>U.S.C.</w:t>
      </w:r>
      <w:r w:rsidRPr="00043656">
        <w:rPr>
          <w:rFonts w:eastAsia="Times New Roman" w:cs="Times New Roman"/>
          <w:szCs w:val="24"/>
        </w:rPr>
        <w:t xml:space="preserve"> </w:t>
      </w:r>
      <w:r w:rsidR="00007AE5" w:rsidRPr="00007AE5">
        <w:rPr>
          <w:rFonts w:eastAsia="Times New Roman" w:cs="Times New Roman"/>
          <w:szCs w:val="24"/>
        </w:rPr>
        <w:t>§</w:t>
      </w:r>
      <w:r w:rsidR="00007AE5">
        <w:rPr>
          <w:rFonts w:eastAsia="Times New Roman" w:cs="Times New Roman"/>
          <w:szCs w:val="24"/>
        </w:rPr>
        <w:t xml:space="preserve"> </w:t>
      </w:r>
      <w:r w:rsidRPr="00043656">
        <w:rPr>
          <w:rFonts w:eastAsia="Times New Roman" w:cs="Times New Roman"/>
          <w:szCs w:val="24"/>
        </w:rPr>
        <w:t xml:space="preserve">109(g)(2) restricts the debtor from filing a later Chapter 12.  </w:t>
      </w:r>
    </w:p>
    <w:p w:rsidR="00E73D73" w:rsidRDefault="00E73D73" w:rsidP="00043656">
      <w:pPr>
        <w:ind w:left="2520"/>
        <w:rPr>
          <w:rFonts w:eastAsia="Times New Roman" w:cs="Times New Roman"/>
          <w:b/>
          <w:szCs w:val="24"/>
        </w:rPr>
      </w:pPr>
    </w:p>
    <w:p w:rsidR="008676F6" w:rsidRPr="00E73D73" w:rsidRDefault="00043656" w:rsidP="00043656">
      <w:pPr>
        <w:ind w:left="2520"/>
        <w:jc w:val="both"/>
        <w:rPr>
          <w:rFonts w:eastAsia="Times New Roman" w:cs="Times New Roman"/>
          <w:b/>
          <w:szCs w:val="24"/>
        </w:rPr>
      </w:pPr>
      <w:r>
        <w:rPr>
          <w:rFonts w:eastAsia="Times New Roman" w:cs="Times New Roman"/>
          <w:b/>
          <w:szCs w:val="24"/>
        </w:rPr>
        <w:t>3.</w:t>
      </w:r>
      <w:r>
        <w:rPr>
          <w:rFonts w:eastAsia="Times New Roman" w:cs="Times New Roman"/>
          <w:b/>
          <w:szCs w:val="24"/>
        </w:rPr>
        <w:tab/>
      </w:r>
      <w:r w:rsidR="00007AE5" w:rsidRPr="00007AE5">
        <w:rPr>
          <w:rFonts w:eastAsia="Times New Roman" w:cs="Times New Roman"/>
          <w:b/>
          <w:szCs w:val="24"/>
        </w:rPr>
        <w:t xml:space="preserve">Chapter 12 plan was feasible </w:t>
      </w:r>
      <w:r w:rsidR="00007AE5">
        <w:rPr>
          <w:rFonts w:eastAsia="Times New Roman" w:cs="Times New Roman"/>
          <w:b/>
          <w:szCs w:val="24"/>
        </w:rPr>
        <w:t>even though pro</w:t>
      </w:r>
      <w:r w:rsidR="00DF4503">
        <w:rPr>
          <w:rFonts w:eastAsia="Times New Roman" w:cs="Times New Roman"/>
          <w:b/>
          <w:szCs w:val="24"/>
        </w:rPr>
        <w:t xml:space="preserve">jected revenue and expenses </w:t>
      </w:r>
      <w:r w:rsidR="00007AE5">
        <w:rPr>
          <w:rFonts w:eastAsia="Times New Roman" w:cs="Times New Roman"/>
          <w:b/>
          <w:szCs w:val="24"/>
        </w:rPr>
        <w:t>were optimistic</w:t>
      </w:r>
      <w:r w:rsidR="00E73D73" w:rsidRPr="00E73D73">
        <w:rPr>
          <w:rFonts w:eastAsia="Times New Roman" w:cs="Times New Roman"/>
          <w:b/>
          <w:szCs w:val="24"/>
        </w:rPr>
        <w:t>.</w:t>
      </w:r>
      <w:r>
        <w:rPr>
          <w:rFonts w:eastAsia="Times New Roman" w:cs="Times New Roman"/>
          <w:b/>
          <w:szCs w:val="24"/>
        </w:rPr>
        <w:t xml:space="preserve">  </w:t>
      </w:r>
      <w:r w:rsidR="00E73D73" w:rsidRPr="00043656">
        <w:rPr>
          <w:rFonts w:eastAsia="Times New Roman" w:cs="Times New Roman"/>
          <w:szCs w:val="24"/>
        </w:rPr>
        <w:t xml:space="preserve">Bright Harvesting, Inc. (the “Debtor”) was a custom harvester company and farmed some cropland.  The Debtor is indebted to Farm Credit of New Mexico (the “Secured Creditor”).  The debt is secured by the real property of the Debtor.  The Debtor filed a proposed Chapter 12 plan.  The Secured Creditor </w:t>
      </w:r>
      <w:r w:rsidR="00DF4503" w:rsidRPr="00043656">
        <w:rPr>
          <w:rFonts w:eastAsia="Times New Roman" w:cs="Times New Roman"/>
          <w:szCs w:val="24"/>
        </w:rPr>
        <w:t xml:space="preserve">objected and </w:t>
      </w:r>
      <w:r w:rsidR="00007AE5">
        <w:rPr>
          <w:rFonts w:eastAsia="Times New Roman" w:cs="Times New Roman"/>
          <w:szCs w:val="24"/>
        </w:rPr>
        <w:t xml:space="preserve">argued that </w:t>
      </w:r>
      <w:r w:rsidR="00E73D73" w:rsidRPr="00043656">
        <w:rPr>
          <w:rFonts w:eastAsia="Times New Roman" w:cs="Times New Roman"/>
          <w:szCs w:val="24"/>
        </w:rPr>
        <w:t xml:space="preserve">that the proposed Chapter 12 plan was not feasible, as required by 11 </w:t>
      </w:r>
      <w:r w:rsidR="00007AE5">
        <w:rPr>
          <w:rFonts w:eastAsia="Times New Roman" w:cs="Times New Roman"/>
          <w:szCs w:val="24"/>
        </w:rPr>
        <w:t>U.S.C.</w:t>
      </w:r>
      <w:r w:rsidR="00E73D73" w:rsidRPr="00043656">
        <w:rPr>
          <w:rFonts w:eastAsia="Times New Roman" w:cs="Times New Roman"/>
          <w:szCs w:val="24"/>
        </w:rPr>
        <w:t xml:space="preserve"> </w:t>
      </w:r>
      <w:r w:rsidR="00007AE5" w:rsidRPr="00007AE5">
        <w:rPr>
          <w:rFonts w:eastAsia="Times New Roman" w:cs="Times New Roman"/>
          <w:szCs w:val="24"/>
        </w:rPr>
        <w:t>§</w:t>
      </w:r>
      <w:r w:rsidR="00007AE5">
        <w:rPr>
          <w:rFonts w:eastAsia="Times New Roman" w:cs="Times New Roman"/>
          <w:szCs w:val="24"/>
        </w:rPr>
        <w:t xml:space="preserve"> </w:t>
      </w:r>
      <w:r w:rsidR="00E73D73" w:rsidRPr="00043656">
        <w:rPr>
          <w:rFonts w:eastAsia="Times New Roman" w:cs="Times New Roman"/>
          <w:szCs w:val="24"/>
        </w:rPr>
        <w:t xml:space="preserve">1225.  The court disagreed and held that </w:t>
      </w:r>
      <w:r w:rsidR="00DF4503" w:rsidRPr="00043656">
        <w:rPr>
          <w:rFonts w:eastAsia="Times New Roman" w:cs="Times New Roman"/>
          <w:szCs w:val="24"/>
        </w:rPr>
        <w:t xml:space="preserve">although the projected revenue and expenses were generally optimistic </w:t>
      </w:r>
      <w:r w:rsidR="00E73D73" w:rsidRPr="00043656">
        <w:rPr>
          <w:rFonts w:eastAsia="Times New Roman" w:cs="Times New Roman"/>
          <w:szCs w:val="24"/>
        </w:rPr>
        <w:t xml:space="preserve">there was enough evidence in the record </w:t>
      </w:r>
      <w:r w:rsidR="00DF4503" w:rsidRPr="00043656">
        <w:rPr>
          <w:rFonts w:eastAsia="Times New Roman" w:cs="Times New Roman"/>
          <w:szCs w:val="24"/>
        </w:rPr>
        <w:t>after modification</w:t>
      </w:r>
      <w:r w:rsidR="00007AE5">
        <w:rPr>
          <w:rFonts w:eastAsia="Times New Roman" w:cs="Times New Roman"/>
          <w:szCs w:val="24"/>
        </w:rPr>
        <w:t xml:space="preserve"> of the plan terms</w:t>
      </w:r>
      <w:r w:rsidR="00DF4503" w:rsidRPr="00043656">
        <w:rPr>
          <w:rFonts w:eastAsia="Times New Roman" w:cs="Times New Roman"/>
          <w:szCs w:val="24"/>
        </w:rPr>
        <w:t xml:space="preserve"> by the court </w:t>
      </w:r>
      <w:r w:rsidR="00E73D73" w:rsidRPr="00043656">
        <w:rPr>
          <w:rFonts w:eastAsia="Times New Roman" w:cs="Times New Roman"/>
          <w:szCs w:val="24"/>
        </w:rPr>
        <w:t xml:space="preserve">to find that the plan had a reasonable likelihood of success.  </w:t>
      </w:r>
      <w:r w:rsidR="008676F6" w:rsidRPr="00043656">
        <w:rPr>
          <w:rFonts w:eastAsia="Times New Roman" w:cs="Times New Roman"/>
          <w:i/>
          <w:szCs w:val="24"/>
        </w:rPr>
        <w:t>In re Bright Harvesting, Inc.</w:t>
      </w:r>
      <w:r w:rsidR="008676F6" w:rsidRPr="00043656">
        <w:rPr>
          <w:rFonts w:eastAsia="Times New Roman" w:cs="Times New Roman"/>
          <w:szCs w:val="24"/>
        </w:rPr>
        <w:t>, 2015 WL 7972717 (Bankr. D.N.M. 2015)</w:t>
      </w:r>
      <w:r w:rsidR="00096DFF" w:rsidRPr="00043656">
        <w:rPr>
          <w:rFonts w:eastAsia="Times New Roman" w:cs="Times New Roman"/>
          <w:szCs w:val="24"/>
        </w:rPr>
        <w:t>.</w:t>
      </w:r>
    </w:p>
    <w:p w:rsidR="008676F6" w:rsidRDefault="008676F6" w:rsidP="00ED544E">
      <w:pPr>
        <w:pStyle w:val="ListParagraph"/>
        <w:spacing w:line="240" w:lineRule="auto"/>
        <w:ind w:left="2520"/>
        <w:jc w:val="both"/>
        <w:rPr>
          <w:rFonts w:ascii="Times New Roman" w:hAnsi="Times New Roman" w:cs="Times New Roman"/>
          <w:b/>
          <w:sz w:val="24"/>
          <w:szCs w:val="24"/>
        </w:rPr>
      </w:pPr>
    </w:p>
    <w:p w:rsidR="00847DD2" w:rsidRPr="002A1A47" w:rsidRDefault="00017026" w:rsidP="00847DD2">
      <w:pPr>
        <w:pStyle w:val="ListParagraph"/>
        <w:numPr>
          <w:ilvl w:val="1"/>
          <w:numId w:val="15"/>
        </w:numPr>
        <w:spacing w:line="240" w:lineRule="auto"/>
        <w:jc w:val="both"/>
        <w:rPr>
          <w:rFonts w:ascii="Times New Roman" w:hAnsi="Times New Roman" w:cs="Times New Roman"/>
          <w:b/>
          <w:sz w:val="24"/>
          <w:szCs w:val="24"/>
        </w:rPr>
      </w:pPr>
      <w:r w:rsidRPr="002A1A47">
        <w:rPr>
          <w:rFonts w:ascii="Times New Roman" w:hAnsi="Times New Roman" w:cs="Times New Roman"/>
          <w:b/>
          <w:sz w:val="24"/>
          <w:szCs w:val="24"/>
        </w:rPr>
        <w:t>Post-Confirmation.</w:t>
      </w:r>
    </w:p>
    <w:p w:rsidR="00B85801" w:rsidRDefault="00B85801" w:rsidP="00ED544E">
      <w:pPr>
        <w:pStyle w:val="ListParagraph"/>
        <w:spacing w:line="240" w:lineRule="auto"/>
        <w:ind w:left="1440"/>
        <w:jc w:val="both"/>
        <w:rPr>
          <w:rFonts w:ascii="Times New Roman" w:hAnsi="Times New Roman" w:cs="Times New Roman"/>
          <w:b/>
          <w:sz w:val="24"/>
          <w:szCs w:val="24"/>
        </w:rPr>
      </w:pPr>
    </w:p>
    <w:p w:rsidR="00043656" w:rsidRPr="00043656" w:rsidRDefault="00043656" w:rsidP="00ED544E">
      <w:pPr>
        <w:pStyle w:val="ListParagraph"/>
        <w:spacing w:line="240" w:lineRule="auto"/>
        <w:ind w:left="1440"/>
        <w:jc w:val="both"/>
        <w:rPr>
          <w:rFonts w:ascii="Times New Roman" w:hAnsi="Times New Roman" w:cs="Times New Roman"/>
          <w:sz w:val="24"/>
          <w:szCs w:val="24"/>
        </w:rPr>
      </w:pPr>
      <w:r w:rsidRPr="00043656">
        <w:rPr>
          <w:rFonts w:ascii="Times New Roman" w:hAnsi="Times New Roman" w:cs="Times New Roman"/>
          <w:sz w:val="24"/>
          <w:szCs w:val="24"/>
        </w:rPr>
        <w:t>No updates.</w:t>
      </w:r>
    </w:p>
    <w:p w:rsidR="00043656" w:rsidRDefault="00043656" w:rsidP="00ED544E">
      <w:pPr>
        <w:pStyle w:val="ListParagraph"/>
        <w:spacing w:line="240" w:lineRule="auto"/>
        <w:ind w:left="1440"/>
        <w:jc w:val="both"/>
        <w:rPr>
          <w:rFonts w:ascii="Times New Roman" w:hAnsi="Times New Roman" w:cs="Times New Roman"/>
          <w:b/>
          <w:sz w:val="24"/>
          <w:szCs w:val="24"/>
        </w:rPr>
      </w:pPr>
    </w:p>
    <w:p w:rsidR="00017026" w:rsidRDefault="00017026" w:rsidP="00ED544E">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Chapter 13</w:t>
      </w:r>
      <w:r w:rsidR="00B91EE9">
        <w:rPr>
          <w:rFonts w:ascii="Times New Roman" w:hAnsi="Times New Roman" w:cs="Times New Roman"/>
          <w:b/>
          <w:sz w:val="24"/>
          <w:szCs w:val="24"/>
        </w:rPr>
        <w:t>.</w:t>
      </w:r>
    </w:p>
    <w:p w:rsidR="005B1D97" w:rsidRDefault="00043656" w:rsidP="005B1D97">
      <w:pPr>
        <w:ind w:left="720"/>
        <w:jc w:val="both"/>
        <w:rPr>
          <w:rFonts w:cs="Times New Roman"/>
          <w:szCs w:val="24"/>
        </w:rPr>
      </w:pPr>
      <w:r>
        <w:rPr>
          <w:rFonts w:cs="Times New Roman"/>
          <w:szCs w:val="24"/>
        </w:rPr>
        <w:t>No updates.</w:t>
      </w:r>
    </w:p>
    <w:p w:rsidR="005B1D97" w:rsidRPr="00A623FC" w:rsidRDefault="005B1D97" w:rsidP="005B1D97">
      <w:pPr>
        <w:ind w:left="720"/>
        <w:jc w:val="both"/>
        <w:rPr>
          <w:rFonts w:cs="Times New Roman"/>
          <w:b/>
          <w:szCs w:val="24"/>
        </w:rPr>
      </w:pPr>
    </w:p>
    <w:p w:rsidR="00017026" w:rsidRDefault="00017026" w:rsidP="00ED544E">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Avoidance Actions.</w:t>
      </w:r>
    </w:p>
    <w:p w:rsidR="00B85801" w:rsidRDefault="00B85801" w:rsidP="00ED544E">
      <w:pPr>
        <w:pStyle w:val="ListParagraph"/>
        <w:spacing w:line="240" w:lineRule="auto"/>
        <w:jc w:val="both"/>
        <w:rPr>
          <w:rFonts w:ascii="Times New Roman" w:hAnsi="Times New Roman" w:cs="Times New Roman"/>
          <w:b/>
          <w:sz w:val="24"/>
          <w:szCs w:val="24"/>
        </w:rPr>
      </w:pPr>
    </w:p>
    <w:p w:rsidR="00017026" w:rsidRDefault="00017026" w:rsidP="00ED544E">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Preferential Transfers.</w:t>
      </w:r>
    </w:p>
    <w:p w:rsidR="00043656" w:rsidRDefault="00043656" w:rsidP="00043656">
      <w:pPr>
        <w:pStyle w:val="ListParagraph"/>
        <w:spacing w:line="240" w:lineRule="auto"/>
        <w:jc w:val="both"/>
        <w:rPr>
          <w:rFonts w:ascii="Times New Roman" w:hAnsi="Times New Roman" w:cs="Times New Roman"/>
          <w:b/>
          <w:sz w:val="24"/>
          <w:szCs w:val="24"/>
        </w:rPr>
      </w:pPr>
    </w:p>
    <w:p w:rsidR="003714E4" w:rsidRDefault="003714E4" w:rsidP="00043656">
      <w:pPr>
        <w:pStyle w:val="ListParagraph"/>
        <w:spacing w:line="240" w:lineRule="auto"/>
        <w:ind w:left="1440"/>
        <w:jc w:val="both"/>
        <w:rPr>
          <w:rFonts w:ascii="Times New Roman" w:hAnsi="Times New Roman" w:cs="Times New Roman"/>
          <w:b/>
          <w:sz w:val="24"/>
          <w:szCs w:val="24"/>
        </w:rPr>
      </w:pPr>
      <w:r w:rsidRPr="003714E4">
        <w:rPr>
          <w:rFonts w:ascii="Times New Roman" w:hAnsi="Times New Roman" w:cs="Times New Roman"/>
          <w:b/>
          <w:sz w:val="24"/>
          <w:szCs w:val="24"/>
        </w:rPr>
        <w:t>Trustee failed to show the transferee was an insider of the debtors to recover transferred assets.</w:t>
      </w:r>
      <w:r w:rsidR="00043656">
        <w:rPr>
          <w:rFonts w:ascii="Times New Roman" w:hAnsi="Times New Roman" w:cs="Times New Roman"/>
          <w:b/>
          <w:sz w:val="24"/>
          <w:szCs w:val="24"/>
        </w:rPr>
        <w:t xml:space="preserve">  </w:t>
      </w:r>
      <w:r w:rsidRPr="00043656">
        <w:rPr>
          <w:rFonts w:ascii="Times New Roman" w:hAnsi="Times New Roman" w:cs="Times New Roman"/>
          <w:sz w:val="24"/>
          <w:szCs w:val="24"/>
        </w:rPr>
        <w:t xml:space="preserve">Tom and Evelyn Floyd (the “Debtors”) were </w:t>
      </w:r>
      <w:r w:rsidR="00007AE5">
        <w:rPr>
          <w:rFonts w:ascii="Times New Roman" w:hAnsi="Times New Roman" w:cs="Times New Roman"/>
          <w:sz w:val="24"/>
          <w:szCs w:val="24"/>
        </w:rPr>
        <w:t xml:space="preserve">the sole members of </w:t>
      </w:r>
      <w:r w:rsidRPr="00043656">
        <w:rPr>
          <w:rFonts w:ascii="Times New Roman" w:hAnsi="Times New Roman" w:cs="Times New Roman"/>
          <w:sz w:val="24"/>
          <w:szCs w:val="24"/>
        </w:rPr>
        <w:t>Action AG, LLC (the “</w:t>
      </w:r>
      <w:r w:rsidR="00007AE5">
        <w:rPr>
          <w:rFonts w:ascii="Times New Roman" w:hAnsi="Times New Roman" w:cs="Times New Roman"/>
          <w:sz w:val="24"/>
          <w:szCs w:val="24"/>
        </w:rPr>
        <w:t>LLC</w:t>
      </w:r>
      <w:r w:rsidRPr="00043656">
        <w:rPr>
          <w:rFonts w:ascii="Times New Roman" w:hAnsi="Times New Roman" w:cs="Times New Roman"/>
          <w:sz w:val="24"/>
          <w:szCs w:val="24"/>
        </w:rPr>
        <w:t xml:space="preserve">”).  </w:t>
      </w:r>
      <w:r w:rsidR="00007AE5">
        <w:rPr>
          <w:rFonts w:ascii="Times New Roman" w:hAnsi="Times New Roman" w:cs="Times New Roman"/>
          <w:sz w:val="24"/>
          <w:szCs w:val="24"/>
        </w:rPr>
        <w:t xml:space="preserve">The LLC was engaged in farming.  The LLC </w:t>
      </w:r>
      <w:r w:rsidRPr="00043656">
        <w:rPr>
          <w:rFonts w:ascii="Times New Roman" w:hAnsi="Times New Roman" w:cs="Times New Roman"/>
          <w:sz w:val="24"/>
          <w:szCs w:val="24"/>
        </w:rPr>
        <w:t>purchase</w:t>
      </w:r>
      <w:r w:rsidR="00007AE5">
        <w:rPr>
          <w:rFonts w:ascii="Times New Roman" w:hAnsi="Times New Roman" w:cs="Times New Roman"/>
          <w:sz w:val="24"/>
          <w:szCs w:val="24"/>
        </w:rPr>
        <w:t>d</w:t>
      </w:r>
      <w:r w:rsidRPr="00043656">
        <w:rPr>
          <w:rFonts w:ascii="Times New Roman" w:hAnsi="Times New Roman" w:cs="Times New Roman"/>
          <w:sz w:val="24"/>
          <w:szCs w:val="24"/>
        </w:rPr>
        <w:t xml:space="preserve"> feed, leased crop land and employed </w:t>
      </w:r>
      <w:r w:rsidR="00007AE5">
        <w:rPr>
          <w:rFonts w:ascii="Times New Roman" w:hAnsi="Times New Roman" w:cs="Times New Roman"/>
          <w:sz w:val="24"/>
          <w:szCs w:val="24"/>
        </w:rPr>
        <w:t xml:space="preserve">Kevin Rowley (the “Transferee”) </w:t>
      </w:r>
      <w:r w:rsidRPr="00043656">
        <w:rPr>
          <w:rFonts w:ascii="Times New Roman" w:hAnsi="Times New Roman" w:cs="Times New Roman"/>
          <w:sz w:val="24"/>
          <w:szCs w:val="24"/>
        </w:rPr>
        <w:t xml:space="preserve">in the </w:t>
      </w:r>
      <w:r w:rsidR="00007AE5">
        <w:rPr>
          <w:rFonts w:ascii="Times New Roman" w:hAnsi="Times New Roman" w:cs="Times New Roman"/>
          <w:sz w:val="24"/>
          <w:szCs w:val="24"/>
        </w:rPr>
        <w:t>LLC</w:t>
      </w:r>
      <w:r w:rsidRPr="00043656">
        <w:rPr>
          <w:rFonts w:ascii="Times New Roman" w:hAnsi="Times New Roman" w:cs="Times New Roman"/>
          <w:sz w:val="24"/>
          <w:szCs w:val="24"/>
        </w:rPr>
        <w:t>’s farming operation.</w:t>
      </w:r>
      <w:r w:rsidR="00007AE5">
        <w:rPr>
          <w:rFonts w:ascii="Times New Roman" w:hAnsi="Times New Roman" w:cs="Times New Roman"/>
          <w:sz w:val="24"/>
          <w:szCs w:val="24"/>
        </w:rPr>
        <w:t xml:space="preserve">  The LLC owed the Transferee money and the Debtors guaranteed the debt.  </w:t>
      </w:r>
      <w:r w:rsidRPr="00043656">
        <w:rPr>
          <w:rFonts w:ascii="Times New Roman" w:hAnsi="Times New Roman" w:cs="Times New Roman"/>
          <w:sz w:val="24"/>
          <w:szCs w:val="24"/>
        </w:rPr>
        <w:t>The Debtors transferred $</w:t>
      </w:r>
      <w:r w:rsidR="00007AE5">
        <w:rPr>
          <w:rFonts w:ascii="Times New Roman" w:hAnsi="Times New Roman" w:cs="Times New Roman"/>
          <w:sz w:val="24"/>
          <w:szCs w:val="24"/>
        </w:rPr>
        <w:t>7</w:t>
      </w:r>
      <w:r w:rsidRPr="00043656">
        <w:rPr>
          <w:rFonts w:ascii="Times New Roman" w:hAnsi="Times New Roman" w:cs="Times New Roman"/>
          <w:sz w:val="24"/>
          <w:szCs w:val="24"/>
        </w:rPr>
        <w:t xml:space="preserve">5,000 </w:t>
      </w:r>
      <w:r w:rsidR="00007AE5">
        <w:rPr>
          <w:rFonts w:ascii="Times New Roman" w:hAnsi="Times New Roman" w:cs="Times New Roman"/>
          <w:sz w:val="24"/>
          <w:szCs w:val="24"/>
        </w:rPr>
        <w:t>in property and granted $10,000 in liens t</w:t>
      </w:r>
      <w:r w:rsidRPr="00043656">
        <w:rPr>
          <w:rFonts w:ascii="Times New Roman" w:hAnsi="Times New Roman" w:cs="Times New Roman"/>
          <w:sz w:val="24"/>
          <w:szCs w:val="24"/>
        </w:rPr>
        <w:t>o the Secured Creditors outside the 90 day preference window</w:t>
      </w:r>
      <w:r w:rsidR="00007AE5">
        <w:rPr>
          <w:rFonts w:ascii="Times New Roman" w:hAnsi="Times New Roman" w:cs="Times New Roman"/>
          <w:sz w:val="24"/>
          <w:szCs w:val="24"/>
        </w:rPr>
        <w:t>,</w:t>
      </w:r>
      <w:r w:rsidRPr="00043656">
        <w:rPr>
          <w:rFonts w:ascii="Times New Roman" w:hAnsi="Times New Roman" w:cs="Times New Roman"/>
          <w:sz w:val="24"/>
          <w:szCs w:val="24"/>
        </w:rPr>
        <w:t xml:space="preserve"> but during the one year insider preference window under 11 </w:t>
      </w:r>
      <w:r w:rsidR="00007AE5">
        <w:rPr>
          <w:rFonts w:ascii="Times New Roman" w:hAnsi="Times New Roman" w:cs="Times New Roman"/>
          <w:sz w:val="24"/>
          <w:szCs w:val="24"/>
        </w:rPr>
        <w:t>U.S.C.</w:t>
      </w:r>
      <w:r w:rsidRPr="00043656">
        <w:rPr>
          <w:rFonts w:ascii="Times New Roman" w:hAnsi="Times New Roman" w:cs="Times New Roman"/>
          <w:sz w:val="24"/>
          <w:szCs w:val="24"/>
        </w:rPr>
        <w:t xml:space="preserve"> 547</w:t>
      </w:r>
      <w:r w:rsidR="00007AE5">
        <w:rPr>
          <w:rFonts w:ascii="Times New Roman" w:hAnsi="Times New Roman" w:cs="Times New Roman"/>
          <w:sz w:val="24"/>
          <w:szCs w:val="24"/>
        </w:rPr>
        <w:t>, in payment on the guaranteed debt</w:t>
      </w:r>
      <w:r w:rsidRPr="00043656">
        <w:rPr>
          <w:rFonts w:ascii="Times New Roman" w:hAnsi="Times New Roman" w:cs="Times New Roman"/>
          <w:sz w:val="24"/>
          <w:szCs w:val="24"/>
        </w:rPr>
        <w:t xml:space="preserve">.  The trustee asserted that the </w:t>
      </w:r>
      <w:r w:rsidR="00007AE5">
        <w:rPr>
          <w:rFonts w:ascii="Times New Roman" w:hAnsi="Times New Roman" w:cs="Times New Roman"/>
          <w:sz w:val="24"/>
          <w:szCs w:val="24"/>
        </w:rPr>
        <w:t xml:space="preserve">Transferee </w:t>
      </w:r>
      <w:r w:rsidRPr="00043656">
        <w:rPr>
          <w:rFonts w:ascii="Times New Roman" w:hAnsi="Times New Roman" w:cs="Times New Roman"/>
          <w:sz w:val="24"/>
          <w:szCs w:val="24"/>
        </w:rPr>
        <w:t>was an insider of the Debtors and, therefore, the transfer</w:t>
      </w:r>
      <w:r w:rsidR="00007AE5">
        <w:rPr>
          <w:rFonts w:ascii="Times New Roman" w:hAnsi="Times New Roman" w:cs="Times New Roman"/>
          <w:sz w:val="24"/>
          <w:szCs w:val="24"/>
        </w:rPr>
        <w:t>s</w:t>
      </w:r>
      <w:r w:rsidRPr="00043656">
        <w:rPr>
          <w:rFonts w:ascii="Times New Roman" w:hAnsi="Times New Roman" w:cs="Times New Roman"/>
          <w:sz w:val="24"/>
          <w:szCs w:val="24"/>
        </w:rPr>
        <w:t xml:space="preserve"> we</w:t>
      </w:r>
      <w:r w:rsidR="00007AE5">
        <w:rPr>
          <w:rFonts w:ascii="Times New Roman" w:hAnsi="Times New Roman" w:cs="Times New Roman"/>
          <w:sz w:val="24"/>
          <w:szCs w:val="24"/>
        </w:rPr>
        <w:t>re</w:t>
      </w:r>
      <w:r w:rsidRPr="00043656">
        <w:rPr>
          <w:rFonts w:ascii="Times New Roman" w:hAnsi="Times New Roman" w:cs="Times New Roman"/>
          <w:sz w:val="24"/>
          <w:szCs w:val="24"/>
        </w:rPr>
        <w:t xml:space="preserve"> recoverable preferences.  The court disagreed and held that the testimony of the parties evidenced that the Debtors and the </w:t>
      </w:r>
      <w:r w:rsidR="00007AE5">
        <w:rPr>
          <w:rFonts w:ascii="Times New Roman" w:hAnsi="Times New Roman" w:cs="Times New Roman"/>
          <w:sz w:val="24"/>
          <w:szCs w:val="24"/>
        </w:rPr>
        <w:t xml:space="preserve">LLC </w:t>
      </w:r>
      <w:r w:rsidRPr="00043656">
        <w:rPr>
          <w:rFonts w:ascii="Times New Roman" w:hAnsi="Times New Roman" w:cs="Times New Roman"/>
          <w:sz w:val="24"/>
          <w:szCs w:val="24"/>
        </w:rPr>
        <w:t xml:space="preserve">maintained a business relationship and the </w:t>
      </w:r>
      <w:r w:rsidR="00007AE5">
        <w:rPr>
          <w:rFonts w:ascii="Times New Roman" w:hAnsi="Times New Roman" w:cs="Times New Roman"/>
          <w:sz w:val="24"/>
          <w:szCs w:val="24"/>
        </w:rPr>
        <w:t>LLC</w:t>
      </w:r>
      <w:r w:rsidRPr="00043656">
        <w:rPr>
          <w:rFonts w:ascii="Times New Roman" w:hAnsi="Times New Roman" w:cs="Times New Roman"/>
          <w:sz w:val="24"/>
          <w:szCs w:val="24"/>
        </w:rPr>
        <w:t xml:space="preserve"> was not an insider of the Debtor</w:t>
      </w:r>
      <w:r w:rsidR="00007AE5">
        <w:rPr>
          <w:rFonts w:ascii="Times New Roman" w:hAnsi="Times New Roman" w:cs="Times New Roman"/>
          <w:sz w:val="24"/>
          <w:szCs w:val="24"/>
        </w:rPr>
        <w:t>s</w:t>
      </w:r>
      <w:r w:rsidRPr="00043656">
        <w:rPr>
          <w:rFonts w:ascii="Times New Roman" w:hAnsi="Times New Roman" w:cs="Times New Roman"/>
          <w:sz w:val="24"/>
          <w:szCs w:val="24"/>
        </w:rPr>
        <w:t xml:space="preserve"> for purposes of an avoidable </w:t>
      </w:r>
      <w:r w:rsidR="00007AE5">
        <w:rPr>
          <w:rFonts w:ascii="Times New Roman" w:hAnsi="Times New Roman" w:cs="Times New Roman"/>
          <w:sz w:val="24"/>
          <w:szCs w:val="24"/>
        </w:rPr>
        <w:t xml:space="preserve">insider </w:t>
      </w:r>
      <w:r w:rsidRPr="00043656">
        <w:rPr>
          <w:rFonts w:ascii="Times New Roman" w:hAnsi="Times New Roman" w:cs="Times New Roman"/>
          <w:sz w:val="24"/>
          <w:szCs w:val="24"/>
        </w:rPr>
        <w:t xml:space="preserve">preferential transfer.  </w:t>
      </w:r>
      <w:r w:rsidRPr="00007AE5">
        <w:rPr>
          <w:rFonts w:ascii="Times New Roman" w:hAnsi="Times New Roman" w:cs="Times New Roman"/>
          <w:i/>
          <w:sz w:val="24"/>
          <w:szCs w:val="24"/>
        </w:rPr>
        <w:t xml:space="preserve"> In re Floyd</w:t>
      </w:r>
      <w:r w:rsidRPr="00043656">
        <w:rPr>
          <w:rFonts w:ascii="Times New Roman" w:hAnsi="Times New Roman" w:cs="Times New Roman"/>
          <w:sz w:val="24"/>
          <w:szCs w:val="24"/>
        </w:rPr>
        <w:t>, 540 B.R. 747 (Bankr. D. Idaho 2015).</w:t>
      </w:r>
    </w:p>
    <w:p w:rsidR="00B85801" w:rsidRDefault="00B85801" w:rsidP="00ED544E">
      <w:pPr>
        <w:pStyle w:val="ListParagraph"/>
        <w:spacing w:line="240" w:lineRule="auto"/>
        <w:ind w:left="1440"/>
        <w:jc w:val="both"/>
        <w:rPr>
          <w:rFonts w:ascii="Times New Roman" w:hAnsi="Times New Roman" w:cs="Times New Roman"/>
          <w:b/>
          <w:sz w:val="24"/>
          <w:szCs w:val="24"/>
        </w:rPr>
      </w:pPr>
    </w:p>
    <w:p w:rsidR="00017026" w:rsidRDefault="00017026" w:rsidP="00ED544E">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Fraudulent Transfers.</w:t>
      </w:r>
    </w:p>
    <w:p w:rsidR="00043656" w:rsidRDefault="00043656" w:rsidP="00043656">
      <w:pPr>
        <w:ind w:left="720"/>
        <w:jc w:val="both"/>
        <w:rPr>
          <w:rFonts w:cs="Times New Roman"/>
          <w:szCs w:val="24"/>
        </w:rPr>
      </w:pPr>
      <w:r>
        <w:rPr>
          <w:rFonts w:cs="Times New Roman"/>
          <w:szCs w:val="24"/>
        </w:rPr>
        <w:tab/>
        <w:t>No updates.</w:t>
      </w:r>
    </w:p>
    <w:p w:rsidR="00043656" w:rsidRDefault="00043656" w:rsidP="00ED544E">
      <w:pPr>
        <w:pStyle w:val="ListParagraph"/>
        <w:spacing w:line="240" w:lineRule="auto"/>
        <w:ind w:left="1440"/>
        <w:jc w:val="both"/>
        <w:rPr>
          <w:rFonts w:ascii="Times New Roman" w:hAnsi="Times New Roman" w:cs="Times New Roman"/>
          <w:b/>
          <w:sz w:val="24"/>
          <w:szCs w:val="24"/>
        </w:rPr>
      </w:pPr>
    </w:p>
    <w:p w:rsidR="00017026" w:rsidRDefault="00017026" w:rsidP="00ED544E">
      <w:pPr>
        <w:pStyle w:val="ListParagraph"/>
        <w:numPr>
          <w:ilvl w:val="1"/>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Lien Avoidance.</w:t>
      </w:r>
    </w:p>
    <w:p w:rsidR="00043656" w:rsidRDefault="00043656" w:rsidP="00043656">
      <w:pPr>
        <w:ind w:left="720"/>
        <w:jc w:val="both"/>
        <w:rPr>
          <w:rFonts w:cs="Times New Roman"/>
          <w:szCs w:val="24"/>
        </w:rPr>
      </w:pPr>
      <w:r>
        <w:rPr>
          <w:rFonts w:cs="Times New Roman"/>
          <w:szCs w:val="24"/>
        </w:rPr>
        <w:lastRenderedPageBreak/>
        <w:tab/>
        <w:t>No updates.</w:t>
      </w:r>
    </w:p>
    <w:p w:rsidR="00043656" w:rsidRDefault="00043656" w:rsidP="00ED544E">
      <w:pPr>
        <w:pStyle w:val="ListParagraph"/>
        <w:spacing w:line="240" w:lineRule="auto"/>
        <w:ind w:left="1440"/>
        <w:jc w:val="both"/>
        <w:rPr>
          <w:rFonts w:ascii="Times New Roman" w:hAnsi="Times New Roman" w:cs="Times New Roman"/>
          <w:b/>
          <w:sz w:val="24"/>
          <w:szCs w:val="24"/>
        </w:rPr>
      </w:pPr>
    </w:p>
    <w:p w:rsidR="001C3A66" w:rsidRDefault="00017026" w:rsidP="00ED544E">
      <w:pPr>
        <w:pStyle w:val="ListParagraph"/>
        <w:numPr>
          <w:ilvl w:val="1"/>
          <w:numId w:val="15"/>
        </w:numPr>
        <w:spacing w:line="240" w:lineRule="auto"/>
        <w:jc w:val="both"/>
        <w:rPr>
          <w:rFonts w:ascii="Times New Roman" w:hAnsi="Times New Roman" w:cs="Times New Roman"/>
          <w:b/>
          <w:sz w:val="24"/>
          <w:szCs w:val="24"/>
        </w:rPr>
      </w:pPr>
      <w:r w:rsidRPr="003C7E46">
        <w:rPr>
          <w:rFonts w:ascii="Times New Roman" w:hAnsi="Times New Roman" w:cs="Times New Roman"/>
          <w:b/>
          <w:sz w:val="24"/>
          <w:szCs w:val="24"/>
        </w:rPr>
        <w:t>Miscellaneous.</w:t>
      </w:r>
    </w:p>
    <w:p w:rsidR="00BD5378" w:rsidRPr="00043656" w:rsidRDefault="00043656" w:rsidP="00BD5378">
      <w:pPr>
        <w:jc w:val="both"/>
        <w:rPr>
          <w:rFonts w:cs="Times New Roman"/>
          <w:szCs w:val="24"/>
        </w:rPr>
      </w:pPr>
      <w:r>
        <w:rPr>
          <w:rFonts w:cs="Times New Roman"/>
          <w:szCs w:val="24"/>
        </w:rPr>
        <w:tab/>
      </w:r>
      <w:r>
        <w:rPr>
          <w:rFonts w:cs="Times New Roman"/>
          <w:szCs w:val="24"/>
        </w:rPr>
        <w:tab/>
      </w:r>
      <w:r w:rsidRPr="00043656">
        <w:rPr>
          <w:rFonts w:cs="Times New Roman"/>
          <w:szCs w:val="24"/>
        </w:rPr>
        <w:t>No updates.</w:t>
      </w:r>
    </w:p>
    <w:p w:rsidR="00BD5378" w:rsidRPr="00BD5378" w:rsidRDefault="00BD5378" w:rsidP="00BD5378">
      <w:pPr>
        <w:jc w:val="both"/>
        <w:rPr>
          <w:rFonts w:cs="Times New Roman"/>
          <w:b/>
          <w:szCs w:val="24"/>
        </w:rPr>
      </w:pPr>
    </w:p>
    <w:p w:rsidR="00B133D3" w:rsidRDefault="00717B8F">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2560320" cy="264160"/>
                <wp:effectExtent l="0" t="0" r="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6416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04A" w:rsidRDefault="0035404A">
                            <w:pPr>
                              <w:pStyle w:val="MacPacTrailer"/>
                            </w:pPr>
                            <w:r>
                              <w:t xml:space="preserve">GP:4542297 v1     </w:t>
                            </w:r>
                          </w:p>
                        </w:txbxContent>
                      </wps:txbx>
                      <wps:bodyPr rot="0" vert="horz" wrap="square" lIns="0" tIns="13716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01.6pt;height:2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wwmgIAADsFAAAOAAAAZHJzL2Uyb0RvYy54bWysVNuO2yAQfa/Uf0C8Z31ZJxtb66z20lSV&#10;thdptx+AMbZRMbhAYm+r/nsHiNOkfamq5sGBAc6cOXPg+mbqBdozbbiSJU4uYoyYpKrmsi3x5+ft&#10;Yo2RsUTWRCjJSvzCDL7ZvH51PQ4FS1WnRM00AhBpinEocWftUESRoR3riblQA5Ow2CjdEwtT3Ua1&#10;JiOg9yJK43gVjUrXg1aUGQPRh7CINx6/aRi1H5vGMItEiYGb9V/tv5X7RptrUrSaDB2nBxrkH1j0&#10;hEtIeoR6IJagneZ/QPWcamVUYy+o6iPVNJwyXwNUk8S/VfPUkYH5WkAcMxxlMv8Pln7Yf9KI1yW+&#10;xEiSHlr0zCaL7tSEEqfOOJgCNj0NsM1OEIYu+0rN8KjoF4Okuu+IbNmt1mrsGKmBnT8ZnRwNOMaB&#10;VON7VUMasrPKA02N7p10IAYCdOjSy7EzjgqFYLpcxZcpLFFYS1dZsvKti0gxnx60sW+Z6pEblFhD&#10;5z062T8aC3XA1nmLS2aU4PWWC+Enzm3sXmi0J+CTqg0Vil0PVEMsid0v2AXiYKoQn2l4wzoIn+kM&#10;XUiXQyqXLRAJEagNqLk1V6U3y/c8SbP4Ls0X29X6apFts+Uiv4rXizjJ7/JVnOXZw/aHqyvJio7X&#10;NZOPXLLZuEn2d8Y4XKFgOW9dNJY4X6ZLL9kZe6Pb6qiMF+FY8qmEPbdwjwXvS7w+kcr54Y2s/S2z&#10;hIswjs7pe8lAg/nfq+Ld4wwTrGOnajq4sVL1C/hIK2gzOAIeHxh0Sn/DaISLXGLzdUc0w0i8k+BF&#10;d+v9ILm8crZBeg5X84BICudLbDEKw3sbnojdoHnbAfxs+Vsw7ZZ7Pzl3ByrA203ghvoKDq+JewJO&#10;537Xrzdv8xMAAP//AwBQSwMEFAAGAAgAAAAhALO+SMTbAAAABAEAAA8AAABkcnMvZG93bnJldi54&#10;bWxMj0FLAzEQhe+C/yGM4M0mraXIdrNFxYIeRFoL9phuxt3VZLIk6Xb9945e9DK84Q3vfVOuRu/E&#10;gDF1gTRMJwoEUh1sR42G3ev66gZEyoascYFQwxcmWFXnZ6UpbDjRBodtbgSHUCqMhjbnvpAy1S16&#10;kyahR2LvPURvMq+xkTaaE4d7J2dKLaQ3HXFDa3q8b7H+3B69hifX5PX849HFh7fc3z3vhpe9GrS+&#10;vBhvlyAyjvnvGH7wGR0qZjqEI9kknAZ+JP9O9ubqegbiwGK6AFmV8j989Q0AAP//AwBQSwECLQAU&#10;AAYACAAAACEAtoM4kv4AAADhAQAAEwAAAAAAAAAAAAAAAAAAAAAAW0NvbnRlbnRfVHlwZXNdLnht&#10;bFBLAQItABQABgAIAAAAIQA4/SH/1gAAAJQBAAALAAAAAAAAAAAAAAAAAC8BAABfcmVscy8ucmVs&#10;c1BLAQItABQABgAIAAAAIQCvqLwwmgIAADsFAAAOAAAAAAAAAAAAAAAAAC4CAABkcnMvZTJvRG9j&#10;LnhtbFBLAQItABQABgAIAAAAIQCzvkjE2wAAAAQBAAAPAAAAAAAAAAAAAAAAAPQEAABkcnMvZG93&#10;bnJldi54bWxQSwUGAAAAAAQABADzAAAA/AUAAAAA&#10;" fillcolor="white [3212]" stroked="f">
                <v:textbox style="mso-fit-shape-to-text:t" inset="0,10.8pt,0,0">
                  <w:txbxContent>
                    <w:p w:rsidR="0035404A" w:rsidRDefault="0035404A">
                      <w:pPr>
                        <w:pStyle w:val="MacPacTrailer"/>
                      </w:pPr>
                      <w:r>
                        <w:t xml:space="preserve">GP:4542297 v1     </w:t>
                      </w:r>
                    </w:p>
                  </w:txbxContent>
                </v:textbox>
                <w10:wrap anchorx="margin"/>
              </v:shape>
            </w:pict>
          </mc:Fallback>
        </mc:AlternateContent>
      </w:r>
    </w:p>
    <w:sectPr w:rsidR="00B133D3" w:rsidSect="00577CCF">
      <w:headerReference w:type="first" r:id="rId11"/>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7C0" w:rsidRDefault="008967C0" w:rsidP="00006AEF">
      <w:r>
        <w:separator/>
      </w:r>
    </w:p>
  </w:endnote>
  <w:endnote w:type="continuationSeparator" w:id="0">
    <w:p w:rsidR="008967C0" w:rsidRDefault="008967C0" w:rsidP="0000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993981"/>
      <w:docPartObj>
        <w:docPartGallery w:val="Page Numbers (Bottom of Page)"/>
        <w:docPartUnique/>
      </w:docPartObj>
    </w:sdtPr>
    <w:sdtEndPr>
      <w:rPr>
        <w:noProof/>
      </w:rPr>
    </w:sdtEndPr>
    <w:sdtContent>
      <w:p w:rsidR="0035404A" w:rsidRDefault="0035404A">
        <w:pPr>
          <w:pStyle w:val="Footer"/>
          <w:jc w:val="center"/>
        </w:pPr>
        <w:r w:rsidRPr="004A449E">
          <w:rPr>
            <w:rFonts w:asciiTheme="minorHAnsi" w:hAnsiTheme="minorHAnsi"/>
            <w:noProof/>
            <w:sz w:val="22"/>
          </w:rPr>
          <mc:AlternateContent>
            <mc:Choice Requires="wps">
              <w:drawing>
                <wp:anchor distT="0" distB="0" distL="114300" distR="114300" simplePos="0" relativeHeight="251659264" behindDoc="0" locked="0" layoutInCell="1" allowOverlap="1" wp14:anchorId="1AC983EE" wp14:editId="3FD6F5B0">
                  <wp:simplePos x="0" y="0"/>
                  <wp:positionH relativeFrom="column">
                    <wp:posOffset>175895</wp:posOffset>
                  </wp:positionH>
                  <wp:positionV relativeFrom="paragraph">
                    <wp:posOffset>107950</wp:posOffset>
                  </wp:positionV>
                  <wp:extent cx="5939155" cy="278130"/>
                  <wp:effectExtent l="0" t="0" r="23495" b="26670"/>
                  <wp:wrapNone/>
                  <wp:docPr id="5" name="Rectangle 5"/>
                  <wp:cNvGraphicFramePr/>
                  <a:graphic xmlns:a="http://schemas.openxmlformats.org/drawingml/2006/main">
                    <a:graphicData uri="http://schemas.microsoft.com/office/word/2010/wordprocessingShape">
                      <wps:wsp>
                        <wps:cNvSpPr/>
                        <wps:spPr>
                          <a:xfrm>
                            <a:off x="0" y="0"/>
                            <a:ext cx="5939155" cy="278130"/>
                          </a:xfrm>
                          <a:prstGeom prst="rect">
                            <a:avLst/>
                          </a:prstGeom>
                          <a:solidFill>
                            <a:srgbClr val="4F81BD">
                              <a:lumMod val="60000"/>
                              <a:lumOff val="40000"/>
                            </a:srgbClr>
                          </a:solidFill>
                          <a:ln w="25400" cap="flat" cmpd="sng" algn="ctr">
                            <a:solidFill>
                              <a:sysClr val="window" lastClr="FFFFFF"/>
                            </a:solidFill>
                            <a:prstDash val="solid"/>
                          </a:ln>
                          <a:effectLst/>
                        </wps:spPr>
                        <wps:txbx>
                          <w:txbxContent>
                            <w:p w:rsidR="0035404A" w:rsidRDefault="0035404A" w:rsidP="004A44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C983EE" id="Rectangle 5" o:spid="_x0000_s1027" style="position:absolute;left:0;text-align:left;margin-left:13.85pt;margin-top:8.5pt;width:467.65pt;height:2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dxkgIAAC4FAAAOAAAAZHJzL2Uyb0RvYy54bWysVFtP2zAUfp+0/2D5faQpLZSKFHVUnSYx&#10;QIOJZ9dxLpJje7bbpPv1++ykpbA9TcuDc24+l++c4+ubrpFkJ6yrtcpoejaiRCiu81qVGf3xvP40&#10;o8R5pnImtRIZ3QtHbxYfP1y3Zi7GutIyF5bAiXLz1mS08t7Mk8TxSjTMnWkjFJSFtg3zYG2Z5Ja1&#10;8N7IZDwaXSSttrmxmgvnIF31SrqI/otCcP9QFE54IjOK3Hw8bTw34UwW12xeWmaqmg9psH/IomG1&#10;QtCjqxXzjGxt/YerpuZWO134M66bRBdFzUWsAdWko3fVPFXMiFgLwHHmCJP7f275/e7RkjrP6JQS&#10;xRq06DtAY6qUgkwDPK1xc1g9mUc7cA5kqLUrbBP+qIJ0EdL9EVLRecIhnF6dX6VT+ObQjS9n6XnE&#10;PHm9bazzX4RuSCAyahE9Isl2d84jIkwPJiGY07LO17WUkbHl5lZasmNo72Q9Sz+v4l25bb7pvBdf&#10;jPD1fYYY0zBYH8Tw73o3MdYb/1KRFmlPJ/BAOMN8FpJ5kI0BYk6VlDBZYvC5tzHwm9tu747JYWRz&#10;3VIimfMQZnQdv5BXSOC0qFDtirmqzzOqBjOpQtEijvUATuhO349A+W7TDU3a6HyPzlrdj7wzfF3D&#10;8R3iPzKLGUdF2Fv/gKOQGmXqgaKk0vbX3+TBHqMHLSUtdgYQ/NwyK1DWV4WhvEonk7BkkZlML8dg&#10;7Klmc6pR2+ZWo28pXgjDIxnsvTyQhdXNC9Z7GaJCxRRH7B7sgbn1/S7jgeBiuYxmWCzD/J16Mjw4&#10;D5AFSJ+7F2bNMGUe83mvD/vF5u+GrbcNN5Vebr0u6jiJAeIeV3QtMFjK2L/hAQlbf8pHq9dnbvEb&#10;AAD//wMAUEsDBBQABgAIAAAAIQB3Cuvd3wAAAAgBAAAPAAAAZHJzL2Rvd25yZXYueG1sTI9BT8Mw&#10;DIXvSPsPkSdxY+kGarfSdJomDSE4IAYS16zx2rLGKUm6lX+POcHN9nt6/l6xHm0nzuhD60jBfJaA&#10;QKqcaalW8P62u1mCCFGT0Z0jVPCNAdbl5KrQuXEXesXzPtaCQyjkWkETY59LGaoGrQ4z1yOxdnTe&#10;6sirr6Xx+sLhtpOLJEml1S3xh0b3uG2wOu0Hq2C4ezw+P21eaPXwddpZ4z8++5aUup6Om3sQEcf4&#10;Z4ZffEaHkpkObiATRKdgkWXs5HvGlVhfpbc8HBSkyRJkWcj/BcofAAAA//8DAFBLAQItABQABgAI&#10;AAAAIQC2gziS/gAAAOEBAAATAAAAAAAAAAAAAAAAAAAAAABbQ29udGVudF9UeXBlc10ueG1sUEsB&#10;Ai0AFAAGAAgAAAAhADj9If/WAAAAlAEAAAsAAAAAAAAAAAAAAAAALwEAAF9yZWxzLy5yZWxzUEsB&#10;Ai0AFAAGAAgAAAAhACOcV3GSAgAALgUAAA4AAAAAAAAAAAAAAAAALgIAAGRycy9lMm9Eb2MueG1s&#10;UEsBAi0AFAAGAAgAAAAhAHcK693fAAAACAEAAA8AAAAAAAAAAAAAAAAA7AQAAGRycy9kb3ducmV2&#10;LnhtbFBLBQYAAAAABAAEAPMAAAD4BQAAAAA=&#10;" fillcolor="#95b3d7" strokecolor="window" strokeweight="2pt">
                  <v:textbox>
                    <w:txbxContent>
                      <w:p w:rsidR="0035404A" w:rsidRDefault="0035404A" w:rsidP="004A449E">
                        <w:pPr>
                          <w:jc w:val="center"/>
                        </w:pPr>
                      </w:p>
                    </w:txbxContent>
                  </v:textbox>
                </v:rect>
              </w:pict>
            </mc:Fallback>
          </mc:AlternateContent>
        </w:r>
      </w:p>
      <w:p w:rsidR="0035404A" w:rsidRDefault="0035404A">
        <w:pPr>
          <w:pStyle w:val="Footer"/>
          <w:jc w:val="center"/>
        </w:pPr>
      </w:p>
      <w:p w:rsidR="0035404A" w:rsidRDefault="0035404A">
        <w:pPr>
          <w:pStyle w:val="Footer"/>
          <w:jc w:val="center"/>
        </w:pPr>
      </w:p>
      <w:p w:rsidR="0035404A" w:rsidRDefault="0035404A">
        <w:pPr>
          <w:pStyle w:val="Footer"/>
          <w:jc w:val="center"/>
          <w:rPr>
            <w:noProof/>
          </w:rPr>
        </w:pPr>
        <w:r>
          <w:t>A-</w:t>
        </w:r>
        <w:r>
          <w:fldChar w:fldCharType="begin"/>
        </w:r>
        <w:r>
          <w:instrText xml:space="preserve"> PAGE   \* MERGEFORMAT </w:instrText>
        </w:r>
        <w:r>
          <w:fldChar w:fldCharType="separate"/>
        </w:r>
        <w:r w:rsidR="00AE34CC">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4A" w:rsidRDefault="00BA0823">
    <w:pPr>
      <w:pStyle w:val="Footer"/>
    </w:pPr>
    <w:r>
      <w:t>GS1-Peterson</w:t>
    </w:r>
    <w:r>
      <w:ptab w:relativeTo="margin" w:alignment="center" w:leader="none"/>
    </w:r>
    <w:r>
      <w:fldChar w:fldCharType="begin"/>
    </w:r>
    <w:r>
      <w:instrText xml:space="preserve"> PAGE   \* MERGEFORMAT </w:instrText>
    </w:r>
    <w:r>
      <w:fldChar w:fldCharType="separate"/>
    </w:r>
    <w:r w:rsidR="00AE34CC">
      <w:rPr>
        <w:noProof/>
      </w:rPr>
      <w:t>2</w:t>
    </w:r>
    <w:r>
      <w:fldChar w:fldCharType="end"/>
    </w:r>
    <w:r>
      <w:ptab w:relativeTo="margin" w:alignment="right" w:leader="none"/>
    </w:r>
    <w:r>
      <w:t>Ag Law Updates</w:t>
    </w:r>
    <w:r w:rsidR="00AE34CC">
      <w:t xml:space="preserve"> – General Session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7C0" w:rsidRDefault="008967C0" w:rsidP="00006AEF">
      <w:r>
        <w:separator/>
      </w:r>
    </w:p>
  </w:footnote>
  <w:footnote w:type="continuationSeparator" w:id="0">
    <w:p w:rsidR="008967C0" w:rsidRDefault="008967C0" w:rsidP="00006AEF">
      <w:r>
        <w:continuationSeparator/>
      </w:r>
    </w:p>
  </w:footnote>
  <w:footnote w:id="1">
    <w:p w:rsidR="0035404A" w:rsidRDefault="0035404A" w:rsidP="00CF6EF8">
      <w:pPr>
        <w:pStyle w:val="FootnoteText"/>
      </w:pPr>
      <w:r w:rsidRPr="00FA0FCC">
        <w:rPr>
          <w:rStyle w:val="FootnoteReference"/>
          <w:vertAlign w:val="superscript"/>
        </w:rPr>
        <w:footnoteRef/>
      </w:r>
      <w:r>
        <w:t xml:space="preserve"> The Court does not provide the factual background as to the relationship of the parties.  The case summary makes certain assumptions as to those relationships. </w:t>
      </w:r>
    </w:p>
  </w:footnote>
  <w:footnote w:id="2">
    <w:p w:rsidR="0035404A" w:rsidRDefault="0035404A" w:rsidP="003A47CB">
      <w:pPr>
        <w:pStyle w:val="FootnoteText"/>
        <w:jc w:val="both"/>
      </w:pPr>
      <w:r w:rsidRPr="002869F2">
        <w:rPr>
          <w:rStyle w:val="FootnoteReference"/>
          <w:vertAlign w:val="superscript"/>
        </w:rPr>
        <w:footnoteRef/>
      </w:r>
      <w:r>
        <w:t xml:space="preserve"> The Court does not state whether the Senior Creditor had filed a UCC-1 financing statement to perfect its security interest in the Equipment.  The decision implies a UCC-1 had been filed.  Had a UCC-1 not been filed, the “Senior” Creditor would not have had a priority lien and, therefore, would not have been entitled to the sale proceeds. </w:t>
      </w:r>
    </w:p>
  </w:footnote>
  <w:footnote w:id="3">
    <w:p w:rsidR="0035404A" w:rsidRDefault="0035404A" w:rsidP="003A47CB">
      <w:pPr>
        <w:pStyle w:val="FootnoteText"/>
        <w:jc w:val="both"/>
      </w:pPr>
      <w:r w:rsidRPr="002869F2">
        <w:rPr>
          <w:rStyle w:val="FootnoteReference"/>
          <w:vertAlign w:val="superscript"/>
        </w:rPr>
        <w:footnoteRef/>
      </w:r>
      <w:r w:rsidRPr="002869F2">
        <w:rPr>
          <w:vertAlign w:val="superscript"/>
        </w:rPr>
        <w:t xml:space="preserve"> </w:t>
      </w:r>
      <w:r>
        <w:t>The Court does not recite the legal argument asserted by the Junior Creditor.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4A" w:rsidRPr="001C7D6A" w:rsidRDefault="0035404A">
    <w:pPr>
      <w:pStyle w:val="Header"/>
      <w:rPr>
        <w:sz w:val="20"/>
        <w:szCs w:val="20"/>
      </w:rPr>
    </w:pPr>
    <w:r w:rsidRPr="001C7D6A">
      <w:rPr>
        <w:noProof/>
        <w:sz w:val="20"/>
        <w:szCs w:val="20"/>
      </w:rPr>
      <w:drawing>
        <wp:inline distT="0" distB="0" distL="0" distR="0" wp14:anchorId="349C2B91" wp14:editId="66403037">
          <wp:extent cx="1041400" cy="1022350"/>
          <wp:effectExtent l="0" t="0" r="6350" b="6350"/>
          <wp:docPr id="1" name="Picture 1" descr="2007 G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 GP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1022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4A" w:rsidRDefault="00354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B6B"/>
    <w:multiLevelType w:val="hybridMultilevel"/>
    <w:tmpl w:val="46382A6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2E4D"/>
    <w:multiLevelType w:val="hybridMultilevel"/>
    <w:tmpl w:val="17989780"/>
    <w:lvl w:ilvl="0" w:tplc="413A9EB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58FE"/>
    <w:multiLevelType w:val="hybridMultilevel"/>
    <w:tmpl w:val="042C6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B7397"/>
    <w:multiLevelType w:val="hybridMultilevel"/>
    <w:tmpl w:val="957C5C0E"/>
    <w:lvl w:ilvl="0" w:tplc="413A9EB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34EDB"/>
    <w:multiLevelType w:val="hybridMultilevel"/>
    <w:tmpl w:val="81C6E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C717D"/>
    <w:multiLevelType w:val="multilevel"/>
    <w:tmpl w:val="345E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025FD"/>
    <w:multiLevelType w:val="hybridMultilevel"/>
    <w:tmpl w:val="CB3A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90BD9"/>
    <w:multiLevelType w:val="hybridMultilevel"/>
    <w:tmpl w:val="15D6F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53848"/>
    <w:multiLevelType w:val="hybridMultilevel"/>
    <w:tmpl w:val="89145CBA"/>
    <w:lvl w:ilvl="0" w:tplc="821271BA">
      <w:start w:val="1"/>
      <w:numFmt w:val="upperLetter"/>
      <w:lvlText w:val="%1."/>
      <w:lvlJc w:val="left"/>
      <w:pPr>
        <w:ind w:left="720" w:hanging="360"/>
      </w:pPr>
      <w:rPr>
        <w:rFonts w:ascii="Times New Roman" w:hAnsi="Times New Roman" w:cs="Times New Roman" w:hint="default"/>
        <w:sz w:val="24"/>
        <w:szCs w:val="24"/>
      </w:rPr>
    </w:lvl>
    <w:lvl w:ilvl="1" w:tplc="413A9EB0">
      <w:start w:val="1"/>
      <w:numFmt w:val="decimal"/>
      <w:lvlText w:val="%2."/>
      <w:lvlJc w:val="left"/>
      <w:pPr>
        <w:ind w:left="1440" w:hanging="360"/>
      </w:pPr>
      <w:rPr>
        <w:b/>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A6A26"/>
    <w:multiLevelType w:val="hybridMultilevel"/>
    <w:tmpl w:val="042C6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36FB3"/>
    <w:multiLevelType w:val="multilevel"/>
    <w:tmpl w:val="E97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7196F"/>
    <w:multiLevelType w:val="hybridMultilevel"/>
    <w:tmpl w:val="1DFE16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C2AE8"/>
    <w:multiLevelType w:val="hybridMultilevel"/>
    <w:tmpl w:val="07D48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62A80"/>
    <w:multiLevelType w:val="multilevel"/>
    <w:tmpl w:val="6780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31996"/>
    <w:multiLevelType w:val="hybridMultilevel"/>
    <w:tmpl w:val="9C98EF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46AD2"/>
    <w:multiLevelType w:val="hybridMultilevel"/>
    <w:tmpl w:val="15D6F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34100"/>
    <w:multiLevelType w:val="hybridMultilevel"/>
    <w:tmpl w:val="2626F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4"/>
  </w:num>
  <w:num w:numId="5">
    <w:abstractNumId w:val="11"/>
  </w:num>
  <w:num w:numId="6">
    <w:abstractNumId w:val="16"/>
  </w:num>
  <w:num w:numId="7">
    <w:abstractNumId w:val="6"/>
  </w:num>
  <w:num w:numId="8">
    <w:abstractNumId w:val="2"/>
  </w:num>
  <w:num w:numId="9">
    <w:abstractNumId w:val="9"/>
  </w:num>
  <w:num w:numId="10">
    <w:abstractNumId w:val="12"/>
  </w:num>
  <w:num w:numId="11">
    <w:abstractNumId w:val="8"/>
  </w:num>
  <w:num w:numId="12">
    <w:abstractNumId w:val="0"/>
  </w:num>
  <w:num w:numId="13">
    <w:abstractNumId w:val="15"/>
  </w:num>
  <w:num w:numId="14">
    <w:abstractNumId w:val="7"/>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A3"/>
    <w:rsid w:val="000000F7"/>
    <w:rsid w:val="000016C6"/>
    <w:rsid w:val="00003E5C"/>
    <w:rsid w:val="00006AEF"/>
    <w:rsid w:val="00007AE5"/>
    <w:rsid w:val="00011ABC"/>
    <w:rsid w:val="00011EEF"/>
    <w:rsid w:val="00016377"/>
    <w:rsid w:val="00017026"/>
    <w:rsid w:val="00020370"/>
    <w:rsid w:val="00024327"/>
    <w:rsid w:val="000258BF"/>
    <w:rsid w:val="000368A3"/>
    <w:rsid w:val="00043656"/>
    <w:rsid w:val="00043D08"/>
    <w:rsid w:val="00047A79"/>
    <w:rsid w:val="00047E41"/>
    <w:rsid w:val="00052D17"/>
    <w:rsid w:val="000656A7"/>
    <w:rsid w:val="00075233"/>
    <w:rsid w:val="00083CE8"/>
    <w:rsid w:val="0009023A"/>
    <w:rsid w:val="0009078F"/>
    <w:rsid w:val="0009480E"/>
    <w:rsid w:val="00096DFF"/>
    <w:rsid w:val="000A4B67"/>
    <w:rsid w:val="000A5F71"/>
    <w:rsid w:val="000A6DD9"/>
    <w:rsid w:val="000B001F"/>
    <w:rsid w:val="000B240D"/>
    <w:rsid w:val="000B28E2"/>
    <w:rsid w:val="000B7B9B"/>
    <w:rsid w:val="000B7F8A"/>
    <w:rsid w:val="000C6B8C"/>
    <w:rsid w:val="000D010E"/>
    <w:rsid w:val="000D1CDC"/>
    <w:rsid w:val="000D210E"/>
    <w:rsid w:val="000D349A"/>
    <w:rsid w:val="000E1CB3"/>
    <w:rsid w:val="000E1E3A"/>
    <w:rsid w:val="00102B59"/>
    <w:rsid w:val="00113BF7"/>
    <w:rsid w:val="00120251"/>
    <w:rsid w:val="00121F2C"/>
    <w:rsid w:val="00124976"/>
    <w:rsid w:val="00131158"/>
    <w:rsid w:val="00131673"/>
    <w:rsid w:val="00145422"/>
    <w:rsid w:val="001554BA"/>
    <w:rsid w:val="001612DC"/>
    <w:rsid w:val="001716E5"/>
    <w:rsid w:val="00176605"/>
    <w:rsid w:val="00176F73"/>
    <w:rsid w:val="0018006A"/>
    <w:rsid w:val="00185906"/>
    <w:rsid w:val="001A49A0"/>
    <w:rsid w:val="001A5CDB"/>
    <w:rsid w:val="001A63F7"/>
    <w:rsid w:val="001B04FA"/>
    <w:rsid w:val="001B786D"/>
    <w:rsid w:val="001C25F0"/>
    <w:rsid w:val="001C3105"/>
    <w:rsid w:val="001C3A66"/>
    <w:rsid w:val="001C7D6A"/>
    <w:rsid w:val="001E082C"/>
    <w:rsid w:val="001E1F5F"/>
    <w:rsid w:val="001E2739"/>
    <w:rsid w:val="001F4CBE"/>
    <w:rsid w:val="001F7DE5"/>
    <w:rsid w:val="00203D10"/>
    <w:rsid w:val="00207710"/>
    <w:rsid w:val="002171EA"/>
    <w:rsid w:val="002201EE"/>
    <w:rsid w:val="00221262"/>
    <w:rsid w:val="00223669"/>
    <w:rsid w:val="00224CE0"/>
    <w:rsid w:val="00225792"/>
    <w:rsid w:val="00226BB7"/>
    <w:rsid w:val="00235E69"/>
    <w:rsid w:val="00242AA3"/>
    <w:rsid w:val="002437E6"/>
    <w:rsid w:val="00250625"/>
    <w:rsid w:val="002732E5"/>
    <w:rsid w:val="00281B2A"/>
    <w:rsid w:val="002830A1"/>
    <w:rsid w:val="0028477A"/>
    <w:rsid w:val="00285A51"/>
    <w:rsid w:val="002869F2"/>
    <w:rsid w:val="00290F44"/>
    <w:rsid w:val="0029225C"/>
    <w:rsid w:val="0029293C"/>
    <w:rsid w:val="002A0807"/>
    <w:rsid w:val="002A181E"/>
    <w:rsid w:val="002A1A47"/>
    <w:rsid w:val="002A209A"/>
    <w:rsid w:val="002A72F0"/>
    <w:rsid w:val="002B192A"/>
    <w:rsid w:val="002B3D55"/>
    <w:rsid w:val="002C4C31"/>
    <w:rsid w:val="002C4F91"/>
    <w:rsid w:val="002D75F1"/>
    <w:rsid w:val="002E1AC8"/>
    <w:rsid w:val="002E31FD"/>
    <w:rsid w:val="002E4100"/>
    <w:rsid w:val="002E52D7"/>
    <w:rsid w:val="002E543B"/>
    <w:rsid w:val="002E634F"/>
    <w:rsid w:val="002F23F4"/>
    <w:rsid w:val="002F4317"/>
    <w:rsid w:val="002F451B"/>
    <w:rsid w:val="002F6986"/>
    <w:rsid w:val="002F6C06"/>
    <w:rsid w:val="003140A6"/>
    <w:rsid w:val="00322E05"/>
    <w:rsid w:val="00324475"/>
    <w:rsid w:val="00327145"/>
    <w:rsid w:val="003279D1"/>
    <w:rsid w:val="003367A3"/>
    <w:rsid w:val="0034023B"/>
    <w:rsid w:val="00342C2C"/>
    <w:rsid w:val="00343678"/>
    <w:rsid w:val="0034792F"/>
    <w:rsid w:val="00353200"/>
    <w:rsid w:val="0035404A"/>
    <w:rsid w:val="00355E47"/>
    <w:rsid w:val="00362FB3"/>
    <w:rsid w:val="0036635B"/>
    <w:rsid w:val="00366D2D"/>
    <w:rsid w:val="003714E4"/>
    <w:rsid w:val="003734EE"/>
    <w:rsid w:val="00387F87"/>
    <w:rsid w:val="003A23AE"/>
    <w:rsid w:val="003A47CB"/>
    <w:rsid w:val="003A55E3"/>
    <w:rsid w:val="003B3F3B"/>
    <w:rsid w:val="003C7E46"/>
    <w:rsid w:val="003D3B97"/>
    <w:rsid w:val="003D4163"/>
    <w:rsid w:val="003D4BB7"/>
    <w:rsid w:val="003D5286"/>
    <w:rsid w:val="003E31DA"/>
    <w:rsid w:val="003E47A2"/>
    <w:rsid w:val="003F5E34"/>
    <w:rsid w:val="003F79DB"/>
    <w:rsid w:val="0040182A"/>
    <w:rsid w:val="004075AD"/>
    <w:rsid w:val="00422DB6"/>
    <w:rsid w:val="004234B3"/>
    <w:rsid w:val="004338DA"/>
    <w:rsid w:val="00436912"/>
    <w:rsid w:val="0044504F"/>
    <w:rsid w:val="004565F9"/>
    <w:rsid w:val="00477E77"/>
    <w:rsid w:val="00481202"/>
    <w:rsid w:val="00492FD0"/>
    <w:rsid w:val="004A449E"/>
    <w:rsid w:val="004A5486"/>
    <w:rsid w:val="004A7D40"/>
    <w:rsid w:val="004B316A"/>
    <w:rsid w:val="004B3442"/>
    <w:rsid w:val="004B7D84"/>
    <w:rsid w:val="004C2D5E"/>
    <w:rsid w:val="004C5943"/>
    <w:rsid w:val="004C71F5"/>
    <w:rsid w:val="004D31C5"/>
    <w:rsid w:val="004D3A1D"/>
    <w:rsid w:val="004F7277"/>
    <w:rsid w:val="0050255C"/>
    <w:rsid w:val="00504BBE"/>
    <w:rsid w:val="0050500D"/>
    <w:rsid w:val="005108E4"/>
    <w:rsid w:val="00511F6B"/>
    <w:rsid w:val="005147E1"/>
    <w:rsid w:val="005233D2"/>
    <w:rsid w:val="00524292"/>
    <w:rsid w:val="00526B34"/>
    <w:rsid w:val="00536AE0"/>
    <w:rsid w:val="00537CDD"/>
    <w:rsid w:val="00537F97"/>
    <w:rsid w:val="00542C4D"/>
    <w:rsid w:val="00543A85"/>
    <w:rsid w:val="00546D4B"/>
    <w:rsid w:val="00552947"/>
    <w:rsid w:val="0055566C"/>
    <w:rsid w:val="005564D4"/>
    <w:rsid w:val="005578ED"/>
    <w:rsid w:val="00560A97"/>
    <w:rsid w:val="00577CCF"/>
    <w:rsid w:val="005849BB"/>
    <w:rsid w:val="00590908"/>
    <w:rsid w:val="0059278F"/>
    <w:rsid w:val="005954FC"/>
    <w:rsid w:val="005A0F6E"/>
    <w:rsid w:val="005A17A4"/>
    <w:rsid w:val="005B1D97"/>
    <w:rsid w:val="005B3768"/>
    <w:rsid w:val="005C544E"/>
    <w:rsid w:val="005E6648"/>
    <w:rsid w:val="005E701A"/>
    <w:rsid w:val="005E74A2"/>
    <w:rsid w:val="005F6DBC"/>
    <w:rsid w:val="005F755F"/>
    <w:rsid w:val="006033C1"/>
    <w:rsid w:val="00604B25"/>
    <w:rsid w:val="00610413"/>
    <w:rsid w:val="00610AB7"/>
    <w:rsid w:val="00624CDE"/>
    <w:rsid w:val="00630F3C"/>
    <w:rsid w:val="00632280"/>
    <w:rsid w:val="006350CA"/>
    <w:rsid w:val="00641A84"/>
    <w:rsid w:val="006456B1"/>
    <w:rsid w:val="00645A68"/>
    <w:rsid w:val="0064745B"/>
    <w:rsid w:val="00656AA4"/>
    <w:rsid w:val="006624D5"/>
    <w:rsid w:val="00664EF6"/>
    <w:rsid w:val="00670097"/>
    <w:rsid w:val="00674DAE"/>
    <w:rsid w:val="006817CD"/>
    <w:rsid w:val="0068443E"/>
    <w:rsid w:val="006912F2"/>
    <w:rsid w:val="00696474"/>
    <w:rsid w:val="006A445E"/>
    <w:rsid w:val="006A5B26"/>
    <w:rsid w:val="006B36A0"/>
    <w:rsid w:val="006E1FB0"/>
    <w:rsid w:val="006E2FDB"/>
    <w:rsid w:val="006F3A4B"/>
    <w:rsid w:val="006F6929"/>
    <w:rsid w:val="006F70F3"/>
    <w:rsid w:val="00700CBB"/>
    <w:rsid w:val="0070184A"/>
    <w:rsid w:val="00701F18"/>
    <w:rsid w:val="007033E5"/>
    <w:rsid w:val="00710F0E"/>
    <w:rsid w:val="00712C86"/>
    <w:rsid w:val="0071381F"/>
    <w:rsid w:val="00717B8F"/>
    <w:rsid w:val="00740953"/>
    <w:rsid w:val="00746445"/>
    <w:rsid w:val="00747E85"/>
    <w:rsid w:val="0075461F"/>
    <w:rsid w:val="00757958"/>
    <w:rsid w:val="007615F9"/>
    <w:rsid w:val="0076261D"/>
    <w:rsid w:val="0078167D"/>
    <w:rsid w:val="00782079"/>
    <w:rsid w:val="007911CD"/>
    <w:rsid w:val="00791888"/>
    <w:rsid w:val="007B3B10"/>
    <w:rsid w:val="007C6CE1"/>
    <w:rsid w:val="007C704F"/>
    <w:rsid w:val="007E4797"/>
    <w:rsid w:val="007F3B04"/>
    <w:rsid w:val="007F3D7E"/>
    <w:rsid w:val="007F4672"/>
    <w:rsid w:val="007F4986"/>
    <w:rsid w:val="007F5B30"/>
    <w:rsid w:val="00811A9A"/>
    <w:rsid w:val="0082750E"/>
    <w:rsid w:val="00842233"/>
    <w:rsid w:val="00843963"/>
    <w:rsid w:val="00847DD2"/>
    <w:rsid w:val="00850133"/>
    <w:rsid w:val="00850801"/>
    <w:rsid w:val="00866BCE"/>
    <w:rsid w:val="008676F6"/>
    <w:rsid w:val="0087013C"/>
    <w:rsid w:val="00873834"/>
    <w:rsid w:val="00880E64"/>
    <w:rsid w:val="008837A4"/>
    <w:rsid w:val="00886009"/>
    <w:rsid w:val="00893818"/>
    <w:rsid w:val="0089590B"/>
    <w:rsid w:val="008960F6"/>
    <w:rsid w:val="008967C0"/>
    <w:rsid w:val="008A26B6"/>
    <w:rsid w:val="008A2D37"/>
    <w:rsid w:val="008A5996"/>
    <w:rsid w:val="008A59BC"/>
    <w:rsid w:val="008B0A8D"/>
    <w:rsid w:val="008B1641"/>
    <w:rsid w:val="008B64DD"/>
    <w:rsid w:val="008C25B3"/>
    <w:rsid w:val="008D1C2A"/>
    <w:rsid w:val="008D4FA1"/>
    <w:rsid w:val="008D5061"/>
    <w:rsid w:val="008E2B00"/>
    <w:rsid w:val="008F3874"/>
    <w:rsid w:val="008F6ECD"/>
    <w:rsid w:val="00912ECE"/>
    <w:rsid w:val="00925AA7"/>
    <w:rsid w:val="00933E00"/>
    <w:rsid w:val="00935253"/>
    <w:rsid w:val="00936ED7"/>
    <w:rsid w:val="00940DED"/>
    <w:rsid w:val="00945437"/>
    <w:rsid w:val="00946EC6"/>
    <w:rsid w:val="009540E2"/>
    <w:rsid w:val="00954998"/>
    <w:rsid w:val="0097119B"/>
    <w:rsid w:val="00980D92"/>
    <w:rsid w:val="00982E89"/>
    <w:rsid w:val="0098371E"/>
    <w:rsid w:val="00994965"/>
    <w:rsid w:val="009A00FB"/>
    <w:rsid w:val="009A3E44"/>
    <w:rsid w:val="009B1A3F"/>
    <w:rsid w:val="009B3BC5"/>
    <w:rsid w:val="009C0B11"/>
    <w:rsid w:val="009C1F98"/>
    <w:rsid w:val="009C5A33"/>
    <w:rsid w:val="009C7168"/>
    <w:rsid w:val="009E06F3"/>
    <w:rsid w:val="009E4117"/>
    <w:rsid w:val="009E5E3E"/>
    <w:rsid w:val="009F247D"/>
    <w:rsid w:val="00A0183A"/>
    <w:rsid w:val="00A2106F"/>
    <w:rsid w:val="00A21A16"/>
    <w:rsid w:val="00A26536"/>
    <w:rsid w:val="00A277B2"/>
    <w:rsid w:val="00A30ABF"/>
    <w:rsid w:val="00A405BF"/>
    <w:rsid w:val="00A413D7"/>
    <w:rsid w:val="00A42747"/>
    <w:rsid w:val="00A477CA"/>
    <w:rsid w:val="00A54203"/>
    <w:rsid w:val="00A54C67"/>
    <w:rsid w:val="00A54F48"/>
    <w:rsid w:val="00A55308"/>
    <w:rsid w:val="00A6225E"/>
    <w:rsid w:val="00A741FB"/>
    <w:rsid w:val="00A814F3"/>
    <w:rsid w:val="00A843F4"/>
    <w:rsid w:val="00A92CE8"/>
    <w:rsid w:val="00A962D0"/>
    <w:rsid w:val="00AA13E3"/>
    <w:rsid w:val="00AA2968"/>
    <w:rsid w:val="00AA61D6"/>
    <w:rsid w:val="00AA6D86"/>
    <w:rsid w:val="00AB0B04"/>
    <w:rsid w:val="00AB3ADF"/>
    <w:rsid w:val="00AC30B0"/>
    <w:rsid w:val="00AC7E1C"/>
    <w:rsid w:val="00AD149B"/>
    <w:rsid w:val="00AE34CC"/>
    <w:rsid w:val="00AE3947"/>
    <w:rsid w:val="00AE7D2B"/>
    <w:rsid w:val="00B06451"/>
    <w:rsid w:val="00B133D3"/>
    <w:rsid w:val="00B30AFB"/>
    <w:rsid w:val="00B41290"/>
    <w:rsid w:val="00B4292E"/>
    <w:rsid w:val="00B43B96"/>
    <w:rsid w:val="00B50CA7"/>
    <w:rsid w:val="00B52CE6"/>
    <w:rsid w:val="00B57039"/>
    <w:rsid w:val="00B57A72"/>
    <w:rsid w:val="00B66E07"/>
    <w:rsid w:val="00B7148F"/>
    <w:rsid w:val="00B72DCB"/>
    <w:rsid w:val="00B7665A"/>
    <w:rsid w:val="00B773BD"/>
    <w:rsid w:val="00B77C48"/>
    <w:rsid w:val="00B85801"/>
    <w:rsid w:val="00B90E9C"/>
    <w:rsid w:val="00B91EE9"/>
    <w:rsid w:val="00B93B9A"/>
    <w:rsid w:val="00BA0823"/>
    <w:rsid w:val="00BA260F"/>
    <w:rsid w:val="00BA45EA"/>
    <w:rsid w:val="00BB03CC"/>
    <w:rsid w:val="00BB3E3B"/>
    <w:rsid w:val="00BB6092"/>
    <w:rsid w:val="00BC1E46"/>
    <w:rsid w:val="00BC7017"/>
    <w:rsid w:val="00BC7E2C"/>
    <w:rsid w:val="00BD057C"/>
    <w:rsid w:val="00BD0783"/>
    <w:rsid w:val="00BD5378"/>
    <w:rsid w:val="00BE23B2"/>
    <w:rsid w:val="00BE7809"/>
    <w:rsid w:val="00BF3C2F"/>
    <w:rsid w:val="00BF3E52"/>
    <w:rsid w:val="00C0020C"/>
    <w:rsid w:val="00C03F10"/>
    <w:rsid w:val="00C07A07"/>
    <w:rsid w:val="00C10426"/>
    <w:rsid w:val="00C145C5"/>
    <w:rsid w:val="00C16A5E"/>
    <w:rsid w:val="00C17E19"/>
    <w:rsid w:val="00C26318"/>
    <w:rsid w:val="00C33938"/>
    <w:rsid w:val="00C34F69"/>
    <w:rsid w:val="00C374F3"/>
    <w:rsid w:val="00C414E8"/>
    <w:rsid w:val="00C46CA5"/>
    <w:rsid w:val="00C46DEB"/>
    <w:rsid w:val="00C504B9"/>
    <w:rsid w:val="00C50D31"/>
    <w:rsid w:val="00C523F0"/>
    <w:rsid w:val="00C5346C"/>
    <w:rsid w:val="00C55F02"/>
    <w:rsid w:val="00C62855"/>
    <w:rsid w:val="00C67C82"/>
    <w:rsid w:val="00C72471"/>
    <w:rsid w:val="00C76367"/>
    <w:rsid w:val="00C76DEA"/>
    <w:rsid w:val="00C8178E"/>
    <w:rsid w:val="00C84FF7"/>
    <w:rsid w:val="00C876A5"/>
    <w:rsid w:val="00C94DF8"/>
    <w:rsid w:val="00CA4D94"/>
    <w:rsid w:val="00CA6BA0"/>
    <w:rsid w:val="00CB5BD4"/>
    <w:rsid w:val="00CC2000"/>
    <w:rsid w:val="00CC3AC1"/>
    <w:rsid w:val="00CD200C"/>
    <w:rsid w:val="00CD37DB"/>
    <w:rsid w:val="00CD4BA1"/>
    <w:rsid w:val="00CE0093"/>
    <w:rsid w:val="00CE04FC"/>
    <w:rsid w:val="00CE6D26"/>
    <w:rsid w:val="00CF428C"/>
    <w:rsid w:val="00CF6EF8"/>
    <w:rsid w:val="00D01F6E"/>
    <w:rsid w:val="00D075A8"/>
    <w:rsid w:val="00D07861"/>
    <w:rsid w:val="00D107E0"/>
    <w:rsid w:val="00D1147B"/>
    <w:rsid w:val="00D1321E"/>
    <w:rsid w:val="00D13F2E"/>
    <w:rsid w:val="00D16D51"/>
    <w:rsid w:val="00D22F7C"/>
    <w:rsid w:val="00D261ED"/>
    <w:rsid w:val="00D305D5"/>
    <w:rsid w:val="00D33ED2"/>
    <w:rsid w:val="00D35AB5"/>
    <w:rsid w:val="00D53D36"/>
    <w:rsid w:val="00D54698"/>
    <w:rsid w:val="00D57816"/>
    <w:rsid w:val="00D64E56"/>
    <w:rsid w:val="00D717F7"/>
    <w:rsid w:val="00D84025"/>
    <w:rsid w:val="00D84D55"/>
    <w:rsid w:val="00D857B9"/>
    <w:rsid w:val="00D9031B"/>
    <w:rsid w:val="00D9243D"/>
    <w:rsid w:val="00D927CC"/>
    <w:rsid w:val="00DA3FAB"/>
    <w:rsid w:val="00DB56D4"/>
    <w:rsid w:val="00DC5E3D"/>
    <w:rsid w:val="00DC61CD"/>
    <w:rsid w:val="00DD4BD8"/>
    <w:rsid w:val="00DD673A"/>
    <w:rsid w:val="00DE1B79"/>
    <w:rsid w:val="00DE3CB4"/>
    <w:rsid w:val="00DF4503"/>
    <w:rsid w:val="00E01D63"/>
    <w:rsid w:val="00E103C3"/>
    <w:rsid w:val="00E11AAE"/>
    <w:rsid w:val="00E1443D"/>
    <w:rsid w:val="00E15492"/>
    <w:rsid w:val="00E175E2"/>
    <w:rsid w:val="00E205C9"/>
    <w:rsid w:val="00E22329"/>
    <w:rsid w:val="00E234DE"/>
    <w:rsid w:val="00E32C0C"/>
    <w:rsid w:val="00E348B0"/>
    <w:rsid w:val="00E355E6"/>
    <w:rsid w:val="00E3601B"/>
    <w:rsid w:val="00E371C5"/>
    <w:rsid w:val="00E41319"/>
    <w:rsid w:val="00E55B02"/>
    <w:rsid w:val="00E61F65"/>
    <w:rsid w:val="00E70E94"/>
    <w:rsid w:val="00E7329A"/>
    <w:rsid w:val="00E73D73"/>
    <w:rsid w:val="00E766FE"/>
    <w:rsid w:val="00E80E97"/>
    <w:rsid w:val="00E967E1"/>
    <w:rsid w:val="00E97DBE"/>
    <w:rsid w:val="00EA223B"/>
    <w:rsid w:val="00EA4407"/>
    <w:rsid w:val="00EA5838"/>
    <w:rsid w:val="00EA594F"/>
    <w:rsid w:val="00EB4502"/>
    <w:rsid w:val="00EB4E02"/>
    <w:rsid w:val="00EC02F6"/>
    <w:rsid w:val="00EC0D56"/>
    <w:rsid w:val="00ED2190"/>
    <w:rsid w:val="00ED544E"/>
    <w:rsid w:val="00ED6EF7"/>
    <w:rsid w:val="00EE1D74"/>
    <w:rsid w:val="00EF2EF2"/>
    <w:rsid w:val="00F03C8B"/>
    <w:rsid w:val="00F11FB5"/>
    <w:rsid w:val="00F13EE2"/>
    <w:rsid w:val="00F156CE"/>
    <w:rsid w:val="00F2180D"/>
    <w:rsid w:val="00F25785"/>
    <w:rsid w:val="00F25DC6"/>
    <w:rsid w:val="00F26413"/>
    <w:rsid w:val="00F308ED"/>
    <w:rsid w:val="00F33240"/>
    <w:rsid w:val="00F36D5B"/>
    <w:rsid w:val="00F402B0"/>
    <w:rsid w:val="00F47429"/>
    <w:rsid w:val="00F61A1E"/>
    <w:rsid w:val="00F722DC"/>
    <w:rsid w:val="00F72FC0"/>
    <w:rsid w:val="00F75A42"/>
    <w:rsid w:val="00F9085D"/>
    <w:rsid w:val="00F936EF"/>
    <w:rsid w:val="00F96350"/>
    <w:rsid w:val="00F9782F"/>
    <w:rsid w:val="00FA03F1"/>
    <w:rsid w:val="00FA0FCC"/>
    <w:rsid w:val="00FA1DC1"/>
    <w:rsid w:val="00FA3D27"/>
    <w:rsid w:val="00FA7FA3"/>
    <w:rsid w:val="00FB7824"/>
    <w:rsid w:val="00FC077E"/>
    <w:rsid w:val="00FC6415"/>
    <w:rsid w:val="00FD0AD0"/>
    <w:rsid w:val="00FD2462"/>
    <w:rsid w:val="00FD29DF"/>
    <w:rsid w:val="00FD64E5"/>
    <w:rsid w:val="00FD7F0F"/>
    <w:rsid w:val="00FD7FCE"/>
    <w:rsid w:val="00FE76FD"/>
    <w:rsid w:val="00FF1D3A"/>
    <w:rsid w:val="00FF561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C0A4320-D483-46F3-B5D1-BAC3F4C1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FA7F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F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A7FA3"/>
    <w:pPr>
      <w:spacing w:line="276" w:lineRule="auto"/>
      <w:outlineLvl w:val="9"/>
    </w:pPr>
    <w:rPr>
      <w:lang w:eastAsia="ja-JP"/>
    </w:rPr>
  </w:style>
  <w:style w:type="paragraph" w:styleId="TOC2">
    <w:name w:val="toc 2"/>
    <w:basedOn w:val="Normal"/>
    <w:next w:val="Normal"/>
    <w:autoRedefine/>
    <w:uiPriority w:val="39"/>
    <w:semiHidden/>
    <w:unhideWhenUsed/>
    <w:qFormat/>
    <w:rsid w:val="00FA7FA3"/>
    <w:pPr>
      <w:spacing w:after="100" w:line="276" w:lineRule="auto"/>
      <w:ind w:left="220"/>
    </w:pPr>
    <w:rPr>
      <w:rFonts w:asciiTheme="minorHAnsi" w:eastAsiaTheme="minorEastAsia" w:hAnsiTheme="minorHAnsi"/>
      <w:sz w:val="22"/>
      <w:lang w:eastAsia="ja-JP"/>
    </w:rPr>
  </w:style>
  <w:style w:type="paragraph" w:styleId="TOC1">
    <w:name w:val="toc 1"/>
    <w:basedOn w:val="Normal"/>
    <w:next w:val="Normal"/>
    <w:autoRedefine/>
    <w:uiPriority w:val="39"/>
    <w:semiHidden/>
    <w:unhideWhenUsed/>
    <w:qFormat/>
    <w:rsid w:val="00FA7FA3"/>
    <w:pPr>
      <w:spacing w:after="100" w:line="276" w:lineRule="auto"/>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FA7FA3"/>
    <w:pPr>
      <w:spacing w:after="100" w:line="276" w:lineRule="auto"/>
      <w:ind w:left="440"/>
    </w:pPr>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FA7FA3"/>
    <w:rPr>
      <w:rFonts w:ascii="Tahoma" w:hAnsi="Tahoma" w:cs="Tahoma"/>
      <w:sz w:val="16"/>
      <w:szCs w:val="16"/>
    </w:rPr>
  </w:style>
  <w:style w:type="character" w:customStyle="1" w:styleId="BalloonTextChar">
    <w:name w:val="Balloon Text Char"/>
    <w:basedOn w:val="DefaultParagraphFont"/>
    <w:link w:val="BalloonText"/>
    <w:uiPriority w:val="99"/>
    <w:semiHidden/>
    <w:rsid w:val="00FA7FA3"/>
    <w:rPr>
      <w:rFonts w:ascii="Tahoma" w:hAnsi="Tahoma" w:cs="Tahoma"/>
      <w:sz w:val="16"/>
      <w:szCs w:val="16"/>
    </w:rPr>
  </w:style>
  <w:style w:type="paragraph" w:styleId="Header">
    <w:name w:val="header"/>
    <w:basedOn w:val="Normal"/>
    <w:link w:val="HeaderChar"/>
    <w:uiPriority w:val="99"/>
    <w:unhideWhenUsed/>
    <w:rsid w:val="00006AEF"/>
    <w:pPr>
      <w:tabs>
        <w:tab w:val="center" w:pos="4680"/>
        <w:tab w:val="right" w:pos="9360"/>
      </w:tabs>
    </w:pPr>
  </w:style>
  <w:style w:type="character" w:customStyle="1" w:styleId="HeaderChar">
    <w:name w:val="Header Char"/>
    <w:basedOn w:val="DefaultParagraphFont"/>
    <w:link w:val="Header"/>
    <w:uiPriority w:val="99"/>
    <w:rsid w:val="00006AEF"/>
    <w:rPr>
      <w:rFonts w:ascii="Times New Roman" w:hAnsi="Times New Roman"/>
      <w:sz w:val="24"/>
    </w:rPr>
  </w:style>
  <w:style w:type="paragraph" w:styleId="Footer">
    <w:name w:val="footer"/>
    <w:basedOn w:val="Normal"/>
    <w:link w:val="FooterChar"/>
    <w:uiPriority w:val="99"/>
    <w:unhideWhenUsed/>
    <w:rsid w:val="00006AEF"/>
    <w:pPr>
      <w:tabs>
        <w:tab w:val="center" w:pos="4680"/>
        <w:tab w:val="right" w:pos="9360"/>
      </w:tabs>
    </w:pPr>
  </w:style>
  <w:style w:type="character" w:customStyle="1" w:styleId="FooterChar">
    <w:name w:val="Footer Char"/>
    <w:basedOn w:val="DefaultParagraphFont"/>
    <w:link w:val="Footer"/>
    <w:uiPriority w:val="99"/>
    <w:rsid w:val="00006AEF"/>
    <w:rPr>
      <w:rFonts w:ascii="Times New Roman" w:hAnsi="Times New Roman"/>
      <w:sz w:val="24"/>
    </w:rPr>
  </w:style>
  <w:style w:type="character" w:styleId="FootnoteReference">
    <w:name w:val="footnote reference"/>
    <w:semiHidden/>
    <w:rsid w:val="001C25F0"/>
  </w:style>
  <w:style w:type="paragraph" w:styleId="FootnoteText">
    <w:name w:val="footnote text"/>
    <w:basedOn w:val="Normal"/>
    <w:link w:val="FootnoteTextChar"/>
    <w:semiHidden/>
    <w:rsid w:val="001C25F0"/>
    <w:rPr>
      <w:rFonts w:eastAsia="Times New Roman" w:cs="Times New Roman"/>
      <w:sz w:val="20"/>
      <w:szCs w:val="20"/>
    </w:rPr>
  </w:style>
  <w:style w:type="character" w:customStyle="1" w:styleId="FootnoteTextChar">
    <w:name w:val="Footnote Text Char"/>
    <w:basedOn w:val="DefaultParagraphFont"/>
    <w:link w:val="FootnoteText"/>
    <w:semiHidden/>
    <w:rsid w:val="001C25F0"/>
    <w:rPr>
      <w:rFonts w:ascii="Times New Roman" w:eastAsia="Times New Roman" w:hAnsi="Times New Roman" w:cs="Times New Roman"/>
      <w:sz w:val="20"/>
      <w:szCs w:val="20"/>
    </w:rPr>
  </w:style>
  <w:style w:type="character" w:styleId="Emphasis">
    <w:name w:val="Emphasis"/>
    <w:basedOn w:val="DefaultParagraphFont"/>
    <w:uiPriority w:val="20"/>
    <w:qFormat/>
    <w:rsid w:val="001C25F0"/>
    <w:rPr>
      <w:i/>
      <w:iCs/>
    </w:rPr>
  </w:style>
  <w:style w:type="paragraph" w:customStyle="1" w:styleId="MacPacTrailer">
    <w:name w:val="MacPac Trailer"/>
    <w:rsid w:val="001C3A66"/>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1C25F0"/>
    <w:rPr>
      <w:color w:val="808080"/>
    </w:rPr>
  </w:style>
  <w:style w:type="paragraph" w:styleId="ListParagraph">
    <w:name w:val="List Paragraph"/>
    <w:basedOn w:val="Normal"/>
    <w:uiPriority w:val="34"/>
    <w:qFormat/>
    <w:rsid w:val="001C25F0"/>
    <w:pPr>
      <w:spacing w:after="200" w:line="276"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1C25F0"/>
    <w:rPr>
      <w:sz w:val="16"/>
      <w:szCs w:val="16"/>
    </w:rPr>
  </w:style>
  <w:style w:type="paragraph" w:styleId="CommentText">
    <w:name w:val="annotation text"/>
    <w:basedOn w:val="Normal"/>
    <w:link w:val="CommentTextChar"/>
    <w:uiPriority w:val="99"/>
    <w:semiHidden/>
    <w:unhideWhenUsed/>
    <w:rsid w:val="001C25F0"/>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C25F0"/>
    <w:rPr>
      <w:sz w:val="20"/>
      <w:szCs w:val="20"/>
    </w:rPr>
  </w:style>
  <w:style w:type="paragraph" w:styleId="CommentSubject">
    <w:name w:val="annotation subject"/>
    <w:basedOn w:val="CommentText"/>
    <w:next w:val="CommentText"/>
    <w:link w:val="CommentSubjectChar"/>
    <w:uiPriority w:val="99"/>
    <w:semiHidden/>
    <w:unhideWhenUsed/>
    <w:rsid w:val="001C25F0"/>
    <w:rPr>
      <w:b/>
      <w:bCs/>
    </w:rPr>
  </w:style>
  <w:style w:type="character" w:customStyle="1" w:styleId="CommentSubjectChar">
    <w:name w:val="Comment Subject Char"/>
    <w:basedOn w:val="CommentTextChar"/>
    <w:link w:val="CommentSubject"/>
    <w:uiPriority w:val="99"/>
    <w:semiHidden/>
    <w:rsid w:val="001C25F0"/>
    <w:rPr>
      <w:b/>
      <w:bCs/>
      <w:sz w:val="20"/>
      <w:szCs w:val="20"/>
    </w:rPr>
  </w:style>
  <w:style w:type="character" w:styleId="Hyperlink">
    <w:name w:val="Hyperlink"/>
    <w:basedOn w:val="DefaultParagraphFont"/>
    <w:uiPriority w:val="99"/>
    <w:unhideWhenUsed/>
    <w:rsid w:val="001C2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8E62-5B90-4217-B1E6-E862BD6E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9657</Words>
  <Characters>55045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Ferrell, Shannon</dc:creator>
  <cp:lastModifiedBy>Casey, Kareta</cp:lastModifiedBy>
  <cp:revision>5</cp:revision>
  <dcterms:created xsi:type="dcterms:W3CDTF">2016-09-27T16:07:00Z</dcterms:created>
  <dcterms:modified xsi:type="dcterms:W3CDTF">2016-10-04T16:01:00Z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UFAAPw6bUgrQkNEI/uix01DNcO60QcOcmBI+L4i7IJyZn/z3hdAMSYOkbdCs5kF+g2kwBFm/piJP85R9
k8maxWZyvFfFKfQ1FLtwKiFjadghNYxmyUFHyjvjvjqvw6Y1U/AWCx0BFI46+vd9k8maxWZyvFfF
KfQ1FLtwKiFjadghNYxmyUFHyjvjvjqvw6Y1U/AWhe5AjrHhx7Pa95AlqY1169y1+8+QfVUBz4oS
XkQEEmvrTbToQLlUb</vt:lpwstr>
  </property>
  <property fmtid="{D5CDD505-2E9C-101B-9397-08002B2CF9AE}" pid="3" name="MAIL_MSG_ID2">
    <vt:lpwstr>RzOP9vfuuDWsX9kQ6pWpj+XV2e3Q3jk+Zz/E8PESeUpMyeKiXDGY/SlQcZk
sPnzf+VyY5kDHSh0l31YRz+qXP4=</vt:lpwstr>
  </property>
  <property fmtid="{D5CDD505-2E9C-101B-9397-08002B2CF9AE}" pid="4" name="RESPONSE_SENDER_NAME">
    <vt:lpwstr>4AAA9mrMv1QjWAuWK0Nivl23UEGKpx2VjaKvyYsAecAq+uItqgja1LD/Pw==</vt:lpwstr>
  </property>
  <property fmtid="{D5CDD505-2E9C-101B-9397-08002B2CF9AE}" pid="5" name="EMAIL_OWNER_ADDRESS">
    <vt:lpwstr>ABAAMV6B7YzPbaL1fQwAViJKoXh9GjMkjVx6CU7F+cM8AWI+5S0lhYc53CHKEDuZi7WL</vt:lpwstr>
  </property>
  <property fmtid="{D5CDD505-2E9C-101B-9397-08002B2CF9AE}" pid="6" name="WS_TRACKING_ID">
    <vt:lpwstr>10eeff2a-bd2b-4108-8407-180b634b9311</vt:lpwstr>
  </property>
</Properties>
</file>