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04" w:rsidRPr="00567407" w:rsidRDefault="006E3F04" w:rsidP="006E3F04">
      <w:pPr>
        <w:jc w:val="center"/>
        <w:rPr>
          <w:b/>
        </w:rPr>
      </w:pPr>
      <w:r w:rsidRPr="00567407">
        <w:rPr>
          <w:b/>
        </w:rPr>
        <w:t>American Agricultural Law Association, 2019 Annual Educational Symposium</w:t>
      </w:r>
    </w:p>
    <w:p w:rsidR="006E3F04" w:rsidRPr="00567407" w:rsidRDefault="006E3F04" w:rsidP="006E3F04">
      <w:pPr>
        <w:jc w:val="center"/>
        <w:rPr>
          <w:b/>
        </w:rPr>
      </w:pPr>
      <w:r w:rsidRPr="00567407">
        <w:rPr>
          <w:b/>
        </w:rPr>
        <w:t>Bock Agricultural Law &amp; Policy Program Panel</w:t>
      </w:r>
    </w:p>
    <w:p w:rsidR="006E3F04" w:rsidRPr="00567407" w:rsidRDefault="006E3F04" w:rsidP="006E3F04">
      <w:pPr>
        <w:jc w:val="center"/>
        <w:rPr>
          <w:b/>
        </w:rPr>
      </w:pPr>
      <w:r w:rsidRPr="00567407">
        <w:rPr>
          <w:b/>
        </w:rPr>
        <w:t>In Search of Sustainable Food: Perspectives from the Supply Chain</w:t>
      </w:r>
    </w:p>
    <w:p w:rsidR="006E3F04" w:rsidRPr="00567407" w:rsidRDefault="006E3F04" w:rsidP="006E3F04">
      <w:pPr>
        <w:pBdr>
          <w:bottom w:val="single" w:sz="12" w:space="1" w:color="auto"/>
        </w:pBdr>
        <w:jc w:val="center"/>
        <w:rPr>
          <w:b/>
        </w:rPr>
      </w:pPr>
      <w:r w:rsidRPr="00567407">
        <w:rPr>
          <w:b/>
        </w:rPr>
        <w:t>Outline</w:t>
      </w:r>
      <w:r>
        <w:rPr>
          <w:b/>
        </w:rPr>
        <w:t xml:space="preserve"> (August 2019)</w:t>
      </w:r>
    </w:p>
    <w:p w:rsidR="006E3F04" w:rsidRDefault="006E3F04" w:rsidP="006E3F04">
      <w:pPr>
        <w:pBdr>
          <w:bottom w:val="single" w:sz="12" w:space="1" w:color="auto"/>
        </w:pBdr>
      </w:pPr>
    </w:p>
    <w:p w:rsidR="006E3F04" w:rsidRDefault="006E3F04" w:rsidP="006E3F04"/>
    <w:p w:rsidR="006E3F04" w:rsidRPr="00567407" w:rsidRDefault="006E3F04" w:rsidP="006E3F04">
      <w:pPr>
        <w:rPr>
          <w:b/>
        </w:rPr>
      </w:pPr>
      <w:r w:rsidRPr="00567407">
        <w:rPr>
          <w:b/>
        </w:rPr>
        <w:t xml:space="preserve">Abstract: </w:t>
      </w:r>
    </w:p>
    <w:p w:rsidR="006E3F04" w:rsidRDefault="006E3F04" w:rsidP="006E3F04"/>
    <w:p w:rsidR="006E3F04" w:rsidRPr="00BB3BE6" w:rsidRDefault="006E3F04" w:rsidP="006E3F04">
      <w:pPr>
        <w:ind w:left="720" w:right="720"/>
        <w:jc w:val="both"/>
        <w:rPr>
          <w:i/>
        </w:rPr>
      </w:pPr>
      <w:r w:rsidRPr="00BB3BE6">
        <w:rPr>
          <w:i/>
        </w:rPr>
        <w:t>Consumer demand increasingly pushes the food supply chain to improve the sustainability of food.  Sustainability begins at the farm level where the pressures from consumers can result in farmers adjusting their practices and operations, efforts that can increase risk, cost and management complexity.  Agribusiness companies in the supply chain, including food companies, retailers and input suppliers, all manage complex efforts to source sustainably-produced commodities; efforts include assuring the supply chain, including the consumer, that they have achieved this meaningfully.  This panel will review sustainability issues within the supply chain, offer perspectives, and raise questions for practitioners and academics.</w:t>
      </w:r>
    </w:p>
    <w:p w:rsidR="006E3F04" w:rsidRDefault="006E3F04" w:rsidP="006E3F04"/>
    <w:p w:rsidR="006E3F04" w:rsidRPr="00AE2A6A" w:rsidRDefault="006E3F04" w:rsidP="006E3F04">
      <w:pPr>
        <w:pStyle w:val="ListParagraph"/>
        <w:numPr>
          <w:ilvl w:val="0"/>
          <w:numId w:val="1"/>
        </w:numPr>
        <w:rPr>
          <w:b/>
        </w:rPr>
      </w:pPr>
      <w:r w:rsidRPr="00AE2A6A">
        <w:rPr>
          <w:b/>
        </w:rPr>
        <w:t>Introduction</w:t>
      </w:r>
    </w:p>
    <w:p w:rsidR="00184F2E" w:rsidRDefault="00184F2E"/>
    <w:p w:rsidR="00C90BE2" w:rsidRDefault="00215991">
      <w:r>
        <w:t>The topic of sustainable food production and systems continues to gain prominence and importance as work stretches across multiple points of concern from environmental to health.</w:t>
      </w:r>
      <w:r>
        <w:rPr>
          <w:rStyle w:val="FootnoteReference"/>
        </w:rPr>
        <w:footnoteReference w:id="1"/>
      </w:r>
      <w:r>
        <w:t xml:space="preserve">  It is a challenging topic for discussion, let alone effective implementation, given lack of knowledge and understanding at all levels of a food system, goals that can be conflicting and the need for trade-offs.  </w:t>
      </w:r>
      <w:r w:rsidR="00A07EB6">
        <w:t xml:space="preserve">Additional pressure on this discussion is being applied by the intensifying challenges posed by climate change.  </w:t>
      </w:r>
      <w:r>
        <w:t xml:space="preserve">The discussion by this panel will involve perspectives from within the </w:t>
      </w:r>
      <w:r w:rsidR="00A07EB6">
        <w:t xml:space="preserve">U.S. food system, reviewing </w:t>
      </w:r>
      <w:r>
        <w:t>the issues</w:t>
      </w:r>
      <w:r w:rsidR="00A07EB6">
        <w:t xml:space="preserve"> as they arise in practice and as efforts are implemented to achieve sustainability.  Intended as</w:t>
      </w:r>
      <w:r>
        <w:t xml:space="preserve"> food for thought</w:t>
      </w:r>
      <w:r w:rsidR="00A07EB6">
        <w:t>, the discussion seeks to help inform</w:t>
      </w:r>
      <w:r>
        <w:t xml:space="preserve"> research, practice,</w:t>
      </w:r>
      <w:r w:rsidR="00A07EB6">
        <w:t xml:space="preserve"> policy and</w:t>
      </w:r>
      <w:r>
        <w:t xml:space="preserve"> negotiatio</w:t>
      </w:r>
      <w:r w:rsidR="00A07EB6">
        <w:t>ns.</w:t>
      </w:r>
    </w:p>
    <w:p w:rsidR="00A820D7" w:rsidRDefault="00A820D7"/>
    <w:p w:rsidR="00A820D7" w:rsidRPr="002E2D3F" w:rsidRDefault="00A820D7" w:rsidP="00A820D7">
      <w:pPr>
        <w:pStyle w:val="ListParagraph"/>
        <w:numPr>
          <w:ilvl w:val="0"/>
          <w:numId w:val="1"/>
        </w:numPr>
        <w:rPr>
          <w:b/>
        </w:rPr>
      </w:pPr>
      <w:r w:rsidRPr="002E2D3F">
        <w:rPr>
          <w:b/>
        </w:rPr>
        <w:t>Understanding the Demand for Sustainable Supply Chains</w:t>
      </w:r>
    </w:p>
    <w:p w:rsidR="00A820D7" w:rsidRDefault="00A820D7" w:rsidP="00A820D7"/>
    <w:p w:rsidR="00A820D7" w:rsidRPr="00B51CC5" w:rsidRDefault="003D60B1" w:rsidP="00A820D7">
      <w:pPr>
        <w:pStyle w:val="ListParagraph"/>
        <w:numPr>
          <w:ilvl w:val="0"/>
          <w:numId w:val="2"/>
        </w:numPr>
        <w:rPr>
          <w:i/>
        </w:rPr>
      </w:pPr>
      <w:r w:rsidRPr="00B51CC5">
        <w:rPr>
          <w:i/>
        </w:rPr>
        <w:t xml:space="preserve">Driven by </w:t>
      </w:r>
      <w:r w:rsidR="00A820D7" w:rsidRPr="00B51CC5">
        <w:rPr>
          <w:i/>
        </w:rPr>
        <w:t>Voluntary Commitments</w:t>
      </w:r>
      <w:r w:rsidRPr="00B51CC5">
        <w:rPr>
          <w:i/>
        </w:rPr>
        <w:t>, Consumers</w:t>
      </w:r>
      <w:r w:rsidR="00A820D7" w:rsidRPr="00B51CC5">
        <w:rPr>
          <w:i/>
        </w:rPr>
        <w:t xml:space="preserve"> or Policy and Regulation</w:t>
      </w:r>
    </w:p>
    <w:p w:rsidR="003D60B1" w:rsidRDefault="003D60B1" w:rsidP="003D60B1">
      <w:pPr>
        <w:pStyle w:val="ListParagraph"/>
        <w:ind w:left="1080"/>
      </w:pPr>
    </w:p>
    <w:p w:rsidR="007F4B69" w:rsidRDefault="00A07EB6" w:rsidP="002E2D3F">
      <w:pPr>
        <w:pStyle w:val="ListParagraph"/>
        <w:numPr>
          <w:ilvl w:val="0"/>
          <w:numId w:val="9"/>
        </w:numPr>
      </w:pPr>
      <w:r>
        <w:t>Major food companies at work on this</w:t>
      </w:r>
      <w:r w:rsidR="0061028E">
        <w:t xml:space="preserve">; </w:t>
      </w:r>
      <w:r>
        <w:t>an effort to employ data, science and technology to “govern their supply chains” as they seek to address challenges that are environmental, political and commercial.</w:t>
      </w:r>
      <w:r>
        <w:rPr>
          <w:rStyle w:val="FootnoteReference"/>
        </w:rPr>
        <w:footnoteReference w:id="2"/>
      </w:r>
    </w:p>
    <w:p w:rsidR="005B76C0" w:rsidRDefault="005B76C0" w:rsidP="005B76C0">
      <w:pPr>
        <w:pStyle w:val="ListParagraph"/>
        <w:ind w:left="1800"/>
      </w:pPr>
    </w:p>
    <w:p w:rsidR="005B76C0" w:rsidRDefault="005B76C0" w:rsidP="005B76C0">
      <w:pPr>
        <w:pStyle w:val="ListParagraph"/>
        <w:numPr>
          <w:ilvl w:val="0"/>
          <w:numId w:val="9"/>
        </w:numPr>
      </w:pPr>
      <w:r>
        <w:t>International in scope, questions and concerns are prevalent about the role of the United States and whether it is keeping pace.</w:t>
      </w:r>
      <w:r>
        <w:rPr>
          <w:rStyle w:val="FootnoteReference"/>
        </w:rPr>
        <w:footnoteReference w:id="3"/>
      </w:r>
    </w:p>
    <w:p w:rsidR="00A07EB6" w:rsidRDefault="00A07EB6" w:rsidP="00A07EB6">
      <w:pPr>
        <w:pStyle w:val="ListParagraph"/>
        <w:ind w:left="1800"/>
      </w:pPr>
    </w:p>
    <w:p w:rsidR="002E2D3F" w:rsidRDefault="00A440D8" w:rsidP="002E2D3F">
      <w:pPr>
        <w:pStyle w:val="ListParagraph"/>
        <w:numPr>
          <w:ilvl w:val="0"/>
          <w:numId w:val="9"/>
        </w:numPr>
      </w:pPr>
      <w:r>
        <w:t xml:space="preserve">For example, </w:t>
      </w:r>
      <w:r w:rsidR="003D60B1">
        <w:t>Nielsen found 48% of U.S. consumers would change consumption ha</w:t>
      </w:r>
      <w:r w:rsidR="00095AEC">
        <w:t xml:space="preserve">bits </w:t>
      </w:r>
      <w:r w:rsidR="003D60B1">
        <w:t>to reduce environmental impacts; sustainable consumer good spending topped $128 billion in 2018.</w:t>
      </w:r>
      <w:r w:rsidR="003D60B1">
        <w:rPr>
          <w:rStyle w:val="FootnoteReference"/>
        </w:rPr>
        <w:footnoteReference w:id="4"/>
      </w:r>
    </w:p>
    <w:p w:rsidR="003D60B1" w:rsidRDefault="003D60B1" w:rsidP="003D60B1">
      <w:pPr>
        <w:pStyle w:val="ListParagraph"/>
        <w:ind w:left="1800"/>
      </w:pPr>
    </w:p>
    <w:p w:rsidR="003D60B1" w:rsidRDefault="009A794A" w:rsidP="002E2D3F">
      <w:pPr>
        <w:pStyle w:val="ListParagraph"/>
        <w:numPr>
          <w:ilvl w:val="0"/>
          <w:numId w:val="9"/>
        </w:numPr>
      </w:pPr>
      <w:r>
        <w:t xml:space="preserve">Expanding direct-to-consumer sales (e.g., farmers’ markets); growth and impact of social media, internet and other technology, especially among the large group of younger consumers (e.g., </w:t>
      </w:r>
      <w:proofErr w:type="spellStart"/>
      <w:r>
        <w:t>Millenials</w:t>
      </w:r>
      <w:proofErr w:type="spellEnd"/>
      <w:r>
        <w:t>).</w:t>
      </w:r>
      <w:r>
        <w:rPr>
          <w:rStyle w:val="FootnoteReference"/>
        </w:rPr>
        <w:footnoteReference w:id="5"/>
      </w:r>
    </w:p>
    <w:p w:rsidR="003D60B1" w:rsidRDefault="003D60B1" w:rsidP="003D60B1">
      <w:pPr>
        <w:pStyle w:val="ListParagraph"/>
        <w:ind w:left="1800"/>
      </w:pPr>
    </w:p>
    <w:p w:rsidR="00806570" w:rsidRDefault="003D60B1" w:rsidP="00806570">
      <w:pPr>
        <w:pStyle w:val="ListParagraph"/>
        <w:numPr>
          <w:ilvl w:val="0"/>
          <w:numId w:val="9"/>
        </w:numPr>
      </w:pPr>
      <w:r>
        <w:t xml:space="preserve">Policy and </w:t>
      </w:r>
      <w:r w:rsidR="009A794A">
        <w:t>regulatory drivers; research investments</w:t>
      </w:r>
      <w:r w:rsidR="00806570">
        <w:t>.</w:t>
      </w:r>
      <w:r w:rsidR="00806570">
        <w:rPr>
          <w:rStyle w:val="FootnoteReference"/>
        </w:rPr>
        <w:footnoteReference w:id="6"/>
      </w:r>
    </w:p>
    <w:p w:rsidR="003D60B1" w:rsidRDefault="003D60B1" w:rsidP="003D60B1">
      <w:pPr>
        <w:pStyle w:val="ListParagraph"/>
        <w:ind w:left="1800"/>
      </w:pPr>
    </w:p>
    <w:p w:rsidR="00A820D7" w:rsidRPr="00B51CC5" w:rsidRDefault="003D60B1" w:rsidP="00A820D7">
      <w:pPr>
        <w:pStyle w:val="ListParagraph"/>
        <w:numPr>
          <w:ilvl w:val="0"/>
          <w:numId w:val="2"/>
        </w:numPr>
        <w:rPr>
          <w:i/>
        </w:rPr>
      </w:pPr>
      <w:r w:rsidRPr="00B51CC5">
        <w:rPr>
          <w:i/>
        </w:rPr>
        <w:t>Costs and Benefits; Differentiation</w:t>
      </w:r>
      <w:r w:rsidR="00AA0083">
        <w:rPr>
          <w:i/>
        </w:rPr>
        <w:t>; Supply Chain Risk Mitigation</w:t>
      </w:r>
    </w:p>
    <w:p w:rsidR="00B51CC5" w:rsidRDefault="00B51CC5" w:rsidP="00B51CC5">
      <w:pPr>
        <w:pStyle w:val="ListParagraph"/>
        <w:ind w:left="1080"/>
      </w:pPr>
    </w:p>
    <w:p w:rsidR="00B51CC5" w:rsidRDefault="00FA2792" w:rsidP="00B51CC5">
      <w:pPr>
        <w:pStyle w:val="ListParagraph"/>
        <w:numPr>
          <w:ilvl w:val="0"/>
          <w:numId w:val="10"/>
        </w:numPr>
      </w:pPr>
      <w:r>
        <w:t>Food supply chains are multi-tiered, often with many actors between producer and retailer or consumer; challenging when much of sustainability achievement or failure is far removed from buyer.</w:t>
      </w:r>
      <w:r w:rsidRPr="00FA2792">
        <w:rPr>
          <w:rStyle w:val="CommentReference"/>
        </w:rPr>
        <w:t xml:space="preserve"> </w:t>
      </w:r>
      <w:r>
        <w:rPr>
          <w:rStyle w:val="FootnoteReference"/>
        </w:rPr>
        <w:footnoteReference w:id="7"/>
      </w:r>
    </w:p>
    <w:p w:rsidR="00A07EB6" w:rsidRDefault="00A07EB6" w:rsidP="00A07EB6">
      <w:pPr>
        <w:pStyle w:val="ListParagraph"/>
        <w:ind w:left="1800"/>
      </w:pPr>
    </w:p>
    <w:p w:rsidR="00A07EB6" w:rsidRDefault="00A07EB6" w:rsidP="00B51CC5">
      <w:pPr>
        <w:pStyle w:val="ListParagraph"/>
        <w:numPr>
          <w:ilvl w:val="0"/>
          <w:numId w:val="10"/>
        </w:numPr>
      </w:pPr>
      <w:r>
        <w:t>Keeping in mind the complexity of modern food supply chains and lack of transparency</w:t>
      </w:r>
      <w:r w:rsidR="000A3FEC">
        <w:t>, working across many actors on an often</w:t>
      </w:r>
      <w:r w:rsidR="000673C0">
        <w:t>-</w:t>
      </w:r>
      <w:r w:rsidR="000A3FEC">
        <w:t>global scale</w:t>
      </w:r>
      <w:r w:rsidR="0042119C">
        <w:t xml:space="preserve"> but also having to work within local communities and with localized issues</w:t>
      </w:r>
      <w:r>
        <w:t>.</w:t>
      </w:r>
      <w:r>
        <w:rPr>
          <w:rStyle w:val="FootnoteReference"/>
        </w:rPr>
        <w:footnoteReference w:id="8"/>
      </w:r>
    </w:p>
    <w:p w:rsidR="00FA2792" w:rsidRDefault="00FA2792" w:rsidP="00FA2792">
      <w:pPr>
        <w:pStyle w:val="ListParagraph"/>
      </w:pPr>
    </w:p>
    <w:p w:rsidR="00FA2792" w:rsidRDefault="00FA2792" w:rsidP="00B51CC5">
      <w:pPr>
        <w:pStyle w:val="ListParagraph"/>
        <w:numPr>
          <w:ilvl w:val="0"/>
          <w:numId w:val="10"/>
        </w:numPr>
      </w:pPr>
      <w:r>
        <w:t>Complexity added where sustainability goals are consumer driven, assessments are by companies and experts but have to be implemented and followed by individual farmers</w:t>
      </w:r>
      <w:r w:rsidR="000E427F">
        <w:t xml:space="preserve"> on an international scale</w:t>
      </w:r>
      <w:r>
        <w:t>.</w:t>
      </w:r>
      <w:r w:rsidR="000E427F">
        <w:rPr>
          <w:rStyle w:val="FootnoteReference"/>
        </w:rPr>
        <w:footnoteReference w:id="9"/>
      </w:r>
    </w:p>
    <w:p w:rsidR="00A820D7" w:rsidRDefault="00A820D7" w:rsidP="00A820D7">
      <w:pPr>
        <w:pStyle w:val="ListParagraph"/>
      </w:pPr>
    </w:p>
    <w:p w:rsidR="00AA0083" w:rsidRDefault="00AA0083" w:rsidP="00AA0083">
      <w:pPr>
        <w:pStyle w:val="ListParagraph"/>
        <w:numPr>
          <w:ilvl w:val="0"/>
          <w:numId w:val="10"/>
        </w:numPr>
      </w:pPr>
      <w:r>
        <w:t>Concept of the food value chain.</w:t>
      </w:r>
      <w:r>
        <w:rPr>
          <w:rStyle w:val="FootnoteReference"/>
        </w:rPr>
        <w:footnoteReference w:id="10"/>
      </w:r>
    </w:p>
    <w:p w:rsidR="00AA0083" w:rsidRDefault="00AA0083" w:rsidP="00A820D7">
      <w:pPr>
        <w:pStyle w:val="ListParagraph"/>
      </w:pPr>
    </w:p>
    <w:p w:rsidR="00A820D7" w:rsidRPr="00095AEC" w:rsidRDefault="00A820D7" w:rsidP="00A820D7">
      <w:pPr>
        <w:pStyle w:val="ListParagraph"/>
        <w:numPr>
          <w:ilvl w:val="0"/>
          <w:numId w:val="1"/>
        </w:numPr>
        <w:rPr>
          <w:b/>
        </w:rPr>
      </w:pPr>
      <w:r w:rsidRPr="00095AEC">
        <w:rPr>
          <w:b/>
        </w:rPr>
        <w:t>D</w:t>
      </w:r>
      <w:r w:rsidR="008C6E04" w:rsidRPr="00095AEC">
        <w:rPr>
          <w:b/>
        </w:rPr>
        <w:t>efining Sustainability at</w:t>
      </w:r>
      <w:r w:rsidRPr="00095AEC">
        <w:rPr>
          <w:b/>
        </w:rPr>
        <w:t xml:space="preserve"> the Farm</w:t>
      </w:r>
      <w:r w:rsidR="008C6E04" w:rsidRPr="00095AEC">
        <w:rPr>
          <w:b/>
        </w:rPr>
        <w:t xml:space="preserve"> Level</w:t>
      </w:r>
      <w:r w:rsidRPr="00095AEC">
        <w:rPr>
          <w:b/>
        </w:rPr>
        <w:t>; the Search for Rules of the Road</w:t>
      </w:r>
    </w:p>
    <w:p w:rsidR="00A820D7" w:rsidRDefault="00A820D7" w:rsidP="00A820D7"/>
    <w:p w:rsidR="00A820D7" w:rsidRPr="00B51CC5" w:rsidRDefault="00A820D7" w:rsidP="00A820D7">
      <w:pPr>
        <w:pStyle w:val="ListParagraph"/>
        <w:numPr>
          <w:ilvl w:val="0"/>
          <w:numId w:val="3"/>
        </w:numPr>
        <w:rPr>
          <w:i/>
        </w:rPr>
      </w:pPr>
      <w:r w:rsidRPr="00B51CC5">
        <w:rPr>
          <w:i/>
        </w:rPr>
        <w:t>Defining Sustainability; Metrics, Benchmarking and Measurement or Assessment</w:t>
      </w:r>
    </w:p>
    <w:p w:rsidR="00A820D7" w:rsidRDefault="00A820D7" w:rsidP="00A820D7">
      <w:pPr>
        <w:pStyle w:val="ListParagraph"/>
      </w:pPr>
    </w:p>
    <w:p w:rsidR="000673C0" w:rsidRDefault="000673C0" w:rsidP="00A820D7">
      <w:pPr>
        <w:pStyle w:val="ListParagraph"/>
        <w:numPr>
          <w:ilvl w:val="0"/>
          <w:numId w:val="4"/>
        </w:numPr>
      </w:pPr>
      <w:r>
        <w:t>Sustainability can have many definitions and understandings; has been historically focused on issues of production, such as degradation of resources needed for production; with multiple dimensions</w:t>
      </w:r>
      <w:r w:rsidR="000D4A09">
        <w:t>, the keys almost always incorporate:</w:t>
      </w:r>
    </w:p>
    <w:p w:rsidR="000D4A09" w:rsidRDefault="000D4A09" w:rsidP="000D4A09">
      <w:pPr>
        <w:pStyle w:val="ListParagraph"/>
        <w:ind w:left="1440"/>
      </w:pPr>
    </w:p>
    <w:p w:rsidR="000D4A09" w:rsidRDefault="000D4A09" w:rsidP="000D4A09">
      <w:pPr>
        <w:pStyle w:val="ListParagraph"/>
        <w:numPr>
          <w:ilvl w:val="1"/>
          <w:numId w:val="4"/>
        </w:numPr>
      </w:pPr>
      <w:r>
        <w:t>Maintaining environmental integrity or viability, protecting and conserving natural resources (e.g., water, soil, biodiversity, etc.) and the environment necessary for production and upon which economic and social components depend;</w:t>
      </w:r>
    </w:p>
    <w:p w:rsidR="000D4A09" w:rsidRDefault="000D4A09" w:rsidP="000D4A09">
      <w:pPr>
        <w:pStyle w:val="ListParagraph"/>
        <w:ind w:left="2160"/>
      </w:pPr>
    </w:p>
    <w:p w:rsidR="000D4A09" w:rsidRDefault="000D4A09" w:rsidP="000D4A09">
      <w:pPr>
        <w:pStyle w:val="ListParagraph"/>
        <w:numPr>
          <w:ilvl w:val="1"/>
          <w:numId w:val="4"/>
        </w:numPr>
      </w:pPr>
      <w:r>
        <w:t>Economic issues for both producers and consumers; and</w:t>
      </w:r>
    </w:p>
    <w:p w:rsidR="000D4A09" w:rsidRDefault="000D4A09" w:rsidP="000D4A09">
      <w:pPr>
        <w:pStyle w:val="ListParagraph"/>
      </w:pPr>
    </w:p>
    <w:p w:rsidR="000D4A09" w:rsidRDefault="000D4A09" w:rsidP="000D4A09">
      <w:pPr>
        <w:pStyle w:val="ListParagraph"/>
        <w:numPr>
          <w:ilvl w:val="1"/>
          <w:numId w:val="4"/>
        </w:numPr>
      </w:pPr>
      <w:r>
        <w:t>Social issues such as health, nutrition, equity and human welfare.</w:t>
      </w:r>
    </w:p>
    <w:p w:rsidR="000D4A09" w:rsidRDefault="000D4A09" w:rsidP="000D4A09">
      <w:pPr>
        <w:pStyle w:val="ListParagraph"/>
      </w:pPr>
    </w:p>
    <w:p w:rsidR="000D4A09" w:rsidRDefault="000D4A09" w:rsidP="000D4A09">
      <w:pPr>
        <w:pStyle w:val="ListParagraph"/>
        <w:numPr>
          <w:ilvl w:val="1"/>
          <w:numId w:val="4"/>
        </w:numPr>
      </w:pPr>
      <w:r>
        <w:t>Temporal issues that achieving sustainability in the near-term should not come at the expense of sustainability in the future or over the long-term.</w:t>
      </w:r>
      <w:r>
        <w:rPr>
          <w:rStyle w:val="FootnoteReference"/>
        </w:rPr>
        <w:footnoteReference w:id="11"/>
      </w:r>
    </w:p>
    <w:p w:rsidR="000D4A09" w:rsidRDefault="000D4A09" w:rsidP="000D4A09"/>
    <w:p w:rsidR="000673C0" w:rsidRDefault="000673C0" w:rsidP="00A820D7">
      <w:pPr>
        <w:pStyle w:val="ListParagraph"/>
        <w:numPr>
          <w:ilvl w:val="0"/>
          <w:numId w:val="4"/>
        </w:numPr>
      </w:pPr>
      <w:r>
        <w:t>Standards and metrics are not considered the same, although they overlap and interconnect; they have been the focus of significant research and work, especially by the food companies.</w:t>
      </w:r>
      <w:r>
        <w:rPr>
          <w:rStyle w:val="FootnoteReference"/>
        </w:rPr>
        <w:footnoteReference w:id="12"/>
      </w:r>
    </w:p>
    <w:p w:rsidR="000673C0" w:rsidRDefault="000673C0" w:rsidP="000673C0">
      <w:pPr>
        <w:pStyle w:val="ListParagraph"/>
        <w:ind w:left="1440"/>
      </w:pPr>
    </w:p>
    <w:p w:rsidR="000673C0" w:rsidRDefault="000673C0" w:rsidP="000673C0">
      <w:pPr>
        <w:pStyle w:val="ListParagraph"/>
        <w:numPr>
          <w:ilvl w:val="1"/>
          <w:numId w:val="4"/>
        </w:numPr>
      </w:pPr>
      <w:r>
        <w:t>Standards: typically qualitative, compliance-driven using best practices; help identify and manage risks, strengthen image and brand; at best are developed using science that can help provide legitimacy and reduce political challenges.</w:t>
      </w:r>
    </w:p>
    <w:p w:rsidR="000673C0" w:rsidRDefault="000673C0" w:rsidP="000673C0">
      <w:pPr>
        <w:pStyle w:val="ListParagraph"/>
        <w:ind w:left="2160"/>
      </w:pPr>
    </w:p>
    <w:p w:rsidR="000673C0" w:rsidRDefault="000673C0" w:rsidP="000673C0">
      <w:pPr>
        <w:pStyle w:val="ListParagraph"/>
        <w:numPr>
          <w:ilvl w:val="1"/>
          <w:numId w:val="4"/>
        </w:numPr>
      </w:pPr>
      <w:r>
        <w:t>Metrics:  quantitative performance indicators that focus on outcomes and progress; measure and drive continuous improvement with incentives tied to them; provide for auditing, verification and certification.</w:t>
      </w:r>
    </w:p>
    <w:p w:rsidR="00095AEC" w:rsidRDefault="00095AEC" w:rsidP="000673C0"/>
    <w:p w:rsidR="00A820D7" w:rsidRDefault="00095AEC" w:rsidP="00A820D7">
      <w:pPr>
        <w:pStyle w:val="ListParagraph"/>
        <w:numPr>
          <w:ilvl w:val="0"/>
          <w:numId w:val="4"/>
        </w:numPr>
      </w:pPr>
      <w:r>
        <w:t>One example of science-based metrics using detailed agronomic data from Field</w:t>
      </w:r>
      <w:r w:rsidR="000D4A09">
        <w:t xml:space="preserve"> </w:t>
      </w:r>
      <w:r>
        <w:t>to</w:t>
      </w:r>
      <w:r w:rsidR="000D4A09">
        <w:t xml:space="preserve"> </w:t>
      </w:r>
      <w:r>
        <w:t>Market.</w:t>
      </w:r>
      <w:r>
        <w:rPr>
          <w:rStyle w:val="FootnoteReference"/>
        </w:rPr>
        <w:footnoteReference w:id="13"/>
      </w:r>
    </w:p>
    <w:p w:rsidR="00095AEC" w:rsidRDefault="00095AEC" w:rsidP="00095AEC">
      <w:pPr>
        <w:pStyle w:val="ListParagraph"/>
      </w:pPr>
    </w:p>
    <w:p w:rsidR="0061028E" w:rsidRDefault="0061028E" w:rsidP="00A820D7">
      <w:pPr>
        <w:pStyle w:val="ListParagraph"/>
        <w:numPr>
          <w:ilvl w:val="0"/>
          <w:numId w:val="4"/>
        </w:numPr>
      </w:pPr>
      <w:r>
        <w:t>Other Definitional Issues with Producers.</w:t>
      </w:r>
    </w:p>
    <w:p w:rsidR="0061028E" w:rsidRDefault="0061028E" w:rsidP="0061028E">
      <w:pPr>
        <w:pStyle w:val="ListParagraph"/>
      </w:pPr>
    </w:p>
    <w:p w:rsidR="0061028E" w:rsidRDefault="0061028E" w:rsidP="0061028E">
      <w:pPr>
        <w:pStyle w:val="ListParagraph"/>
        <w:numPr>
          <w:ilvl w:val="1"/>
          <w:numId w:val="4"/>
        </w:numPr>
      </w:pPr>
      <w:r>
        <w:t>New Concepts such as Regenerative Agriculture; largely a focus on soil health; and carbon farming.</w:t>
      </w:r>
      <w:r>
        <w:rPr>
          <w:rStyle w:val="FootnoteReference"/>
        </w:rPr>
        <w:footnoteReference w:id="14"/>
      </w:r>
    </w:p>
    <w:p w:rsidR="0061028E" w:rsidRDefault="0061028E" w:rsidP="0061028E">
      <w:pPr>
        <w:pStyle w:val="ListParagraph"/>
        <w:ind w:left="2160"/>
      </w:pPr>
    </w:p>
    <w:p w:rsidR="0061028E" w:rsidRDefault="0061028E" w:rsidP="0061028E">
      <w:pPr>
        <w:pStyle w:val="ListParagraph"/>
        <w:numPr>
          <w:ilvl w:val="1"/>
          <w:numId w:val="4"/>
        </w:numPr>
      </w:pPr>
      <w:r>
        <w:t>Priority for Water Stewardship; Valuing Water Stewardship Activities, an example.</w:t>
      </w:r>
      <w:r>
        <w:rPr>
          <w:rStyle w:val="FootnoteReference"/>
        </w:rPr>
        <w:footnoteReference w:id="15"/>
      </w:r>
    </w:p>
    <w:p w:rsidR="0061028E" w:rsidRDefault="0061028E" w:rsidP="0061028E">
      <w:pPr>
        <w:pStyle w:val="ListParagraph"/>
      </w:pPr>
    </w:p>
    <w:p w:rsidR="0061028E" w:rsidRDefault="0061028E" w:rsidP="000E427F">
      <w:pPr>
        <w:pStyle w:val="ListParagraph"/>
        <w:numPr>
          <w:ilvl w:val="1"/>
          <w:numId w:val="4"/>
        </w:numPr>
      </w:pPr>
      <w:r>
        <w:t>Labor and other issues: connections between producers and consumers; issues of ethics, knowledge, culture, social justice and equity.</w:t>
      </w:r>
      <w:r>
        <w:rPr>
          <w:rStyle w:val="FootnoteReference"/>
        </w:rPr>
        <w:footnoteReference w:id="16"/>
      </w:r>
    </w:p>
    <w:p w:rsidR="00095AEC" w:rsidRDefault="00095AEC" w:rsidP="00095AEC"/>
    <w:p w:rsidR="00A820D7" w:rsidRPr="00B51CC5" w:rsidRDefault="00A820D7" w:rsidP="008C6E04">
      <w:pPr>
        <w:pStyle w:val="ListParagraph"/>
        <w:numPr>
          <w:ilvl w:val="0"/>
          <w:numId w:val="3"/>
        </w:numPr>
        <w:rPr>
          <w:i/>
        </w:rPr>
      </w:pPr>
      <w:r w:rsidRPr="00B51CC5">
        <w:rPr>
          <w:i/>
        </w:rPr>
        <w:t>Developing Protocols and Standards for the Supply Chain</w:t>
      </w:r>
    </w:p>
    <w:p w:rsidR="008C6E04" w:rsidRDefault="008C6E04" w:rsidP="008C6E04">
      <w:pPr>
        <w:pStyle w:val="ListParagraph"/>
      </w:pPr>
    </w:p>
    <w:p w:rsidR="000E427F" w:rsidRDefault="000E427F" w:rsidP="008C6E04">
      <w:pPr>
        <w:pStyle w:val="ListParagraph"/>
        <w:numPr>
          <w:ilvl w:val="0"/>
          <w:numId w:val="6"/>
        </w:numPr>
      </w:pPr>
      <w:r>
        <w:t>Differences between approaches based on performance and those based on values:</w:t>
      </w:r>
    </w:p>
    <w:p w:rsidR="000E427F" w:rsidRDefault="000E427F" w:rsidP="000E427F">
      <w:pPr>
        <w:pStyle w:val="ListParagraph"/>
        <w:ind w:left="1440"/>
      </w:pPr>
    </w:p>
    <w:p w:rsidR="000E427F" w:rsidRDefault="000E427F" w:rsidP="000E427F">
      <w:pPr>
        <w:pStyle w:val="ListParagraph"/>
        <w:numPr>
          <w:ilvl w:val="1"/>
          <w:numId w:val="6"/>
        </w:numPr>
      </w:pPr>
      <w:r>
        <w:t>Performance-based: a focus on measurement; establishing targets and benchmarks to motivate transformation.</w:t>
      </w:r>
    </w:p>
    <w:p w:rsidR="000E427F" w:rsidRDefault="000E427F" w:rsidP="000E427F">
      <w:pPr>
        <w:pStyle w:val="ListParagraph"/>
        <w:ind w:left="2160"/>
      </w:pPr>
    </w:p>
    <w:p w:rsidR="000E427F" w:rsidRDefault="000E427F" w:rsidP="000E427F">
      <w:pPr>
        <w:pStyle w:val="ListParagraph"/>
        <w:numPr>
          <w:ilvl w:val="1"/>
          <w:numId w:val="6"/>
        </w:numPr>
      </w:pPr>
      <w:r>
        <w:t>Values-based: focus on communication and mediating sustainability with coordinated and cooperative action to achieve transformation.</w:t>
      </w:r>
      <w:r>
        <w:rPr>
          <w:rStyle w:val="FootnoteReference"/>
        </w:rPr>
        <w:footnoteReference w:id="17"/>
      </w:r>
    </w:p>
    <w:p w:rsidR="000E427F" w:rsidRDefault="000E427F" w:rsidP="000E427F"/>
    <w:p w:rsidR="008C6E04" w:rsidRDefault="00095AEC" w:rsidP="008C6E04">
      <w:pPr>
        <w:pStyle w:val="ListParagraph"/>
        <w:numPr>
          <w:ilvl w:val="0"/>
          <w:numId w:val="6"/>
        </w:numPr>
      </w:pPr>
      <w:r>
        <w:t xml:space="preserve">One important </w:t>
      </w:r>
      <w:r w:rsidR="008C6E04" w:rsidRPr="008C6E04">
        <w:t xml:space="preserve">difference </w:t>
      </w:r>
      <w:r>
        <w:t xml:space="preserve">is </w:t>
      </w:r>
      <w:r w:rsidR="008C6E04" w:rsidRPr="008C6E04">
        <w:t>between contract growers that are meeting certain spec</w:t>
      </w:r>
      <w:r>
        <w:t>ification</w:t>
      </w:r>
      <w:r w:rsidR="008C6E04" w:rsidRPr="008C6E04">
        <w:t xml:space="preserve">s </w:t>
      </w:r>
      <w:r>
        <w:t xml:space="preserve">under the contract versus </w:t>
      </w:r>
      <w:r w:rsidR="008C6E04" w:rsidRPr="008C6E04">
        <w:t>commodity growers in longer and m</w:t>
      </w:r>
      <w:r w:rsidR="00B51CC5">
        <w:t xml:space="preserve">ore complex supply chains; the </w:t>
      </w:r>
      <w:r w:rsidR="008C6E04" w:rsidRPr="008C6E04">
        <w:t>latter</w:t>
      </w:r>
      <w:r w:rsidR="00B51CC5">
        <w:t xml:space="preserve"> requires </w:t>
      </w:r>
      <w:r w:rsidR="008C6E04" w:rsidRPr="008C6E04">
        <w:t>a collaborative approach within supply chain to en</w:t>
      </w:r>
      <w:r w:rsidR="00B51CC5">
        <w:t>gage farmers</w:t>
      </w:r>
      <w:r w:rsidR="008C6E04" w:rsidRPr="008C6E04">
        <w:t>.</w:t>
      </w:r>
    </w:p>
    <w:p w:rsidR="00B51CC5" w:rsidRDefault="00B51CC5" w:rsidP="00B51CC5">
      <w:pPr>
        <w:pStyle w:val="ListParagraph"/>
        <w:ind w:left="1440"/>
      </w:pPr>
    </w:p>
    <w:p w:rsidR="008C6E04" w:rsidRDefault="00B51CC5" w:rsidP="008C6E04">
      <w:pPr>
        <w:pStyle w:val="ListParagraph"/>
        <w:numPr>
          <w:ilvl w:val="0"/>
          <w:numId w:val="6"/>
        </w:numPr>
      </w:pPr>
      <w:r>
        <w:t>Example of Field</w:t>
      </w:r>
      <w:r w:rsidR="000E427F">
        <w:t xml:space="preserve"> </w:t>
      </w:r>
      <w:r>
        <w:t>to</w:t>
      </w:r>
      <w:r w:rsidR="000E427F">
        <w:t xml:space="preserve"> </w:t>
      </w:r>
      <w:r>
        <w:t>Market’s six-step process:  (1) Request for new or revised metric; (2) review by committee; (3) technical working group to develop, including technical documentation; (4) submit for peer review and comment; (5) make available for public comment; and (6) implementation.</w:t>
      </w:r>
      <w:r>
        <w:rPr>
          <w:rStyle w:val="FootnoteReference"/>
        </w:rPr>
        <w:footnoteReference w:id="18"/>
      </w:r>
    </w:p>
    <w:p w:rsidR="008C6E04" w:rsidRPr="000E427F" w:rsidRDefault="008C6E04" w:rsidP="000E427F">
      <w:pPr>
        <w:rPr>
          <w:i/>
        </w:rPr>
      </w:pPr>
    </w:p>
    <w:p w:rsidR="00A820D7" w:rsidRPr="00B2613B" w:rsidRDefault="00A820D7" w:rsidP="00A820D7">
      <w:pPr>
        <w:pStyle w:val="ListParagraph"/>
        <w:numPr>
          <w:ilvl w:val="0"/>
          <w:numId w:val="3"/>
        </w:numPr>
        <w:rPr>
          <w:i/>
        </w:rPr>
      </w:pPr>
      <w:r w:rsidRPr="00B2613B">
        <w:rPr>
          <w:i/>
        </w:rPr>
        <w:t>Partnering with Industry on Sustainability</w:t>
      </w:r>
    </w:p>
    <w:p w:rsidR="00A820D7" w:rsidRDefault="00A820D7" w:rsidP="00A820D7">
      <w:pPr>
        <w:pStyle w:val="ListParagraph"/>
      </w:pPr>
    </w:p>
    <w:p w:rsidR="00A820D7" w:rsidRDefault="00B2613B" w:rsidP="00A820D7">
      <w:pPr>
        <w:pStyle w:val="ListParagraph"/>
        <w:numPr>
          <w:ilvl w:val="0"/>
          <w:numId w:val="5"/>
        </w:numPr>
      </w:pPr>
      <w:r>
        <w:t xml:space="preserve">Many </w:t>
      </w:r>
      <w:r w:rsidR="00A820D7" w:rsidRPr="00A820D7">
        <w:t>organizations partnering with supply chains</w:t>
      </w:r>
      <w:r>
        <w:t xml:space="preserve"> and companies </w:t>
      </w:r>
      <w:r w:rsidR="00A820D7" w:rsidRPr="00A820D7">
        <w:t>to engage farmers in sustainability</w:t>
      </w:r>
      <w:r>
        <w:t xml:space="preserve">; include </w:t>
      </w:r>
      <w:r w:rsidR="00A820D7" w:rsidRPr="00A820D7">
        <w:t>ag</w:t>
      </w:r>
      <w:r>
        <w:t>ricultural input</w:t>
      </w:r>
      <w:r w:rsidR="00A820D7" w:rsidRPr="00A820D7">
        <w:t xml:space="preserve"> retailers, </w:t>
      </w:r>
      <w:r>
        <w:t>Certified Crop Advisors (CCA)</w:t>
      </w:r>
      <w:r w:rsidR="00A820D7" w:rsidRPr="00A820D7">
        <w:t xml:space="preserve">, </w:t>
      </w:r>
      <w:r>
        <w:t xml:space="preserve">land-grant </w:t>
      </w:r>
      <w:r w:rsidR="00A820D7" w:rsidRPr="00A820D7">
        <w:t>Extension, local</w:t>
      </w:r>
      <w:r>
        <w:t xml:space="preserve"> nongovernmental organizations (NGO)</w:t>
      </w:r>
      <w:r w:rsidR="00A820D7" w:rsidRPr="00A820D7">
        <w:t>, grain companies</w:t>
      </w:r>
      <w:r>
        <w:t xml:space="preserve"> and elevators, producer organizations</w:t>
      </w:r>
      <w:r w:rsidR="00A820D7" w:rsidRPr="00A820D7">
        <w:t xml:space="preserve">, and </w:t>
      </w:r>
      <w:r>
        <w:t>USDA</w:t>
      </w:r>
      <w:r w:rsidR="00A820D7" w:rsidRPr="00A820D7">
        <w:t>.</w:t>
      </w:r>
      <w:r>
        <w:rPr>
          <w:rStyle w:val="FootnoteReference"/>
        </w:rPr>
        <w:footnoteReference w:id="19"/>
      </w:r>
    </w:p>
    <w:p w:rsidR="00B2613B" w:rsidRDefault="00B2613B" w:rsidP="00B2613B">
      <w:pPr>
        <w:pStyle w:val="ListParagraph"/>
        <w:ind w:left="1440"/>
      </w:pPr>
    </w:p>
    <w:p w:rsidR="008C6E04" w:rsidRDefault="008C6E04" w:rsidP="00A820D7">
      <w:pPr>
        <w:pStyle w:val="ListParagraph"/>
        <w:numPr>
          <w:ilvl w:val="0"/>
          <w:numId w:val="5"/>
        </w:numPr>
      </w:pPr>
      <w:r>
        <w:t>Case Studies and Examples</w:t>
      </w:r>
      <w:r w:rsidR="00332572">
        <w:t>; Lessons Learned</w:t>
      </w:r>
      <w:r>
        <w:t>.</w:t>
      </w:r>
      <w:r>
        <w:rPr>
          <w:rStyle w:val="FootnoteReference"/>
        </w:rPr>
        <w:footnoteReference w:id="20"/>
      </w:r>
    </w:p>
    <w:p w:rsidR="00A820D7" w:rsidRDefault="00A820D7" w:rsidP="008C6E04"/>
    <w:p w:rsidR="008C6E04" w:rsidRPr="00B2613B" w:rsidRDefault="00A820D7" w:rsidP="008C6E04">
      <w:pPr>
        <w:pStyle w:val="ListParagraph"/>
        <w:numPr>
          <w:ilvl w:val="0"/>
          <w:numId w:val="1"/>
        </w:numPr>
        <w:rPr>
          <w:b/>
        </w:rPr>
      </w:pPr>
      <w:r w:rsidRPr="00B2613B">
        <w:rPr>
          <w:b/>
        </w:rPr>
        <w:t>D</w:t>
      </w:r>
      <w:r w:rsidR="00CB388D">
        <w:rPr>
          <w:b/>
        </w:rPr>
        <w:t>elivering Sustainability and Managing the Ever-Evolving Sustainable Supply Chain.</w:t>
      </w:r>
    </w:p>
    <w:p w:rsidR="008C6E04" w:rsidRDefault="008C6E04" w:rsidP="008C6E04">
      <w:pPr>
        <w:pStyle w:val="ListParagraph"/>
        <w:ind w:left="1080"/>
      </w:pPr>
    </w:p>
    <w:p w:rsidR="008C6E04" w:rsidRPr="00CB388D" w:rsidRDefault="008C6E04" w:rsidP="008C6E04">
      <w:pPr>
        <w:pStyle w:val="ListParagraph"/>
        <w:numPr>
          <w:ilvl w:val="0"/>
          <w:numId w:val="8"/>
        </w:numPr>
      </w:pPr>
      <w:r w:rsidRPr="00CB388D">
        <w:rPr>
          <w:i/>
        </w:rPr>
        <w:t>Branding and Messaging to Consumers</w:t>
      </w:r>
      <w:r w:rsidR="00CB388D">
        <w:rPr>
          <w:i/>
        </w:rPr>
        <w:t xml:space="preserve"> and Other Stakeholders</w:t>
      </w:r>
      <w:r w:rsidR="00B2613B" w:rsidRPr="00CB388D">
        <w:rPr>
          <w:i/>
        </w:rPr>
        <w:t>.</w:t>
      </w:r>
    </w:p>
    <w:p w:rsidR="00CB388D" w:rsidRDefault="00CB388D" w:rsidP="00CB388D">
      <w:pPr>
        <w:pStyle w:val="ListParagraph"/>
        <w:ind w:left="1440"/>
      </w:pPr>
    </w:p>
    <w:p w:rsidR="00CB388D" w:rsidRDefault="003B1A73" w:rsidP="00CB388D">
      <w:pPr>
        <w:pStyle w:val="ListParagraph"/>
        <w:numPr>
          <w:ilvl w:val="0"/>
          <w:numId w:val="12"/>
        </w:numPr>
      </w:pPr>
      <w:r>
        <w:t>Younger consumers and social media demands; disconnection from farm production.</w:t>
      </w:r>
      <w:r>
        <w:rPr>
          <w:rStyle w:val="FootnoteReference"/>
        </w:rPr>
        <w:footnoteReference w:id="21"/>
      </w:r>
    </w:p>
    <w:p w:rsidR="003B1A73" w:rsidRDefault="003B1A73" w:rsidP="003B1A73">
      <w:pPr>
        <w:pStyle w:val="ListParagraph"/>
        <w:ind w:left="2160"/>
      </w:pPr>
    </w:p>
    <w:p w:rsidR="003B1A73" w:rsidRPr="00CB388D" w:rsidRDefault="00371749" w:rsidP="00CB388D">
      <w:pPr>
        <w:pStyle w:val="ListParagraph"/>
        <w:numPr>
          <w:ilvl w:val="0"/>
          <w:numId w:val="12"/>
        </w:numPr>
      </w:pPr>
      <w:r>
        <w:t>Examples and lessons learned;</w:t>
      </w:r>
      <w:r w:rsidR="00661450">
        <w:t xml:space="preserve"> feedback and</w:t>
      </w:r>
      <w:r>
        <w:t xml:space="preserve"> adaptation.</w:t>
      </w:r>
    </w:p>
    <w:p w:rsidR="00B2613B" w:rsidRDefault="00B2613B" w:rsidP="00B2613B">
      <w:pPr>
        <w:pStyle w:val="ListParagraph"/>
        <w:ind w:left="1440"/>
      </w:pPr>
    </w:p>
    <w:p w:rsidR="00332572" w:rsidRPr="00AA0083" w:rsidRDefault="008C6E04" w:rsidP="00332572">
      <w:pPr>
        <w:pStyle w:val="ListParagraph"/>
        <w:numPr>
          <w:ilvl w:val="0"/>
          <w:numId w:val="8"/>
        </w:numPr>
        <w:rPr>
          <w:i/>
        </w:rPr>
      </w:pPr>
      <w:r w:rsidRPr="00AA0083">
        <w:rPr>
          <w:i/>
        </w:rPr>
        <w:t xml:space="preserve">Messaging </w:t>
      </w:r>
      <w:r w:rsidR="007F7A89">
        <w:rPr>
          <w:i/>
        </w:rPr>
        <w:t>and Developments in</w:t>
      </w:r>
      <w:r w:rsidRPr="00AA0083">
        <w:rPr>
          <w:i/>
        </w:rPr>
        <w:t xml:space="preserve"> the Policy </w:t>
      </w:r>
      <w:r w:rsidR="00332572" w:rsidRPr="00AA0083">
        <w:rPr>
          <w:i/>
        </w:rPr>
        <w:t xml:space="preserve">and Public </w:t>
      </w:r>
      <w:r w:rsidRPr="00AA0083">
        <w:rPr>
          <w:i/>
        </w:rPr>
        <w:t>Arena</w:t>
      </w:r>
      <w:r w:rsidR="00332572" w:rsidRPr="00AA0083">
        <w:rPr>
          <w:i/>
        </w:rPr>
        <w:t>s</w:t>
      </w:r>
      <w:r w:rsidR="00AA0083">
        <w:rPr>
          <w:i/>
        </w:rPr>
        <w:t>.</w:t>
      </w:r>
    </w:p>
    <w:p w:rsidR="00AA0083" w:rsidRPr="00AA0083" w:rsidRDefault="00AA0083" w:rsidP="00AA0083">
      <w:pPr>
        <w:pStyle w:val="ListParagraph"/>
        <w:ind w:left="1440"/>
        <w:rPr>
          <w:i/>
        </w:rPr>
      </w:pPr>
    </w:p>
    <w:p w:rsidR="007F7A89" w:rsidRPr="00801542" w:rsidRDefault="007F7A89" w:rsidP="00332572">
      <w:pPr>
        <w:pStyle w:val="ListParagraph"/>
        <w:numPr>
          <w:ilvl w:val="0"/>
          <w:numId w:val="12"/>
        </w:numPr>
        <w:rPr>
          <w:i/>
        </w:rPr>
      </w:pPr>
      <w:r>
        <w:t>From the Farm Bill and local agricultural markets to food waste and international efforts at shaping policy and outcomes.</w:t>
      </w:r>
      <w:r>
        <w:rPr>
          <w:rStyle w:val="FootnoteReference"/>
        </w:rPr>
        <w:footnoteReference w:id="22"/>
      </w:r>
    </w:p>
    <w:p w:rsidR="00801542" w:rsidRPr="00801542" w:rsidRDefault="00801542" w:rsidP="00801542">
      <w:pPr>
        <w:pStyle w:val="ListParagraph"/>
        <w:ind w:left="2160"/>
        <w:rPr>
          <w:i/>
        </w:rPr>
      </w:pPr>
    </w:p>
    <w:p w:rsidR="00320920" w:rsidRPr="00320920" w:rsidRDefault="00801542" w:rsidP="00332572">
      <w:pPr>
        <w:pStyle w:val="ListParagraph"/>
        <w:numPr>
          <w:ilvl w:val="0"/>
          <w:numId w:val="12"/>
        </w:numPr>
        <w:rPr>
          <w:i/>
        </w:rPr>
      </w:pPr>
      <w:r>
        <w:rPr>
          <w:iCs/>
        </w:rPr>
        <w:t>The Farm Bill’s conservation programs</w:t>
      </w:r>
      <w:r w:rsidR="002D206F">
        <w:rPr>
          <w:iCs/>
        </w:rPr>
        <w:t xml:space="preserve"> are the primary investment in addressing environmental/natural resource impacts form farming</w:t>
      </w:r>
      <w:r w:rsidR="00320920">
        <w:rPr>
          <w:iCs/>
        </w:rPr>
        <w:t>.</w:t>
      </w:r>
      <w:r w:rsidR="00320920">
        <w:rPr>
          <w:rStyle w:val="FootnoteReference"/>
          <w:iCs/>
        </w:rPr>
        <w:footnoteReference w:id="23"/>
      </w:r>
      <w:r w:rsidR="002D206F">
        <w:rPr>
          <w:iCs/>
        </w:rPr>
        <w:t xml:space="preserve"> </w:t>
      </w:r>
    </w:p>
    <w:p w:rsidR="00320920" w:rsidRPr="00320920" w:rsidRDefault="00320920" w:rsidP="00320920">
      <w:pPr>
        <w:pStyle w:val="ListParagraph"/>
        <w:rPr>
          <w:iCs/>
        </w:rPr>
      </w:pPr>
    </w:p>
    <w:p w:rsidR="00801542" w:rsidRPr="007F7A89" w:rsidRDefault="00320920" w:rsidP="00320920">
      <w:pPr>
        <w:pStyle w:val="ListParagraph"/>
        <w:numPr>
          <w:ilvl w:val="1"/>
          <w:numId w:val="12"/>
        </w:numPr>
        <w:rPr>
          <w:i/>
        </w:rPr>
      </w:pPr>
      <w:r>
        <w:rPr>
          <w:iCs/>
        </w:rPr>
        <w:t>T</w:t>
      </w:r>
      <w:r w:rsidR="002D206F">
        <w:rPr>
          <w:iCs/>
        </w:rPr>
        <w:t>hey present obstacles and opportunities to help farmers adopt sustainable practices and adapt.</w:t>
      </w:r>
      <w:r w:rsidR="00801542">
        <w:rPr>
          <w:rStyle w:val="FootnoteReference"/>
          <w:iCs/>
        </w:rPr>
        <w:footnoteReference w:id="24"/>
      </w:r>
    </w:p>
    <w:p w:rsidR="007F7A89" w:rsidRPr="007F7A89" w:rsidRDefault="007F7A89" w:rsidP="007F7A89">
      <w:pPr>
        <w:pStyle w:val="ListParagraph"/>
        <w:ind w:left="2160"/>
        <w:rPr>
          <w:i/>
        </w:rPr>
      </w:pPr>
    </w:p>
    <w:p w:rsidR="00332572" w:rsidRPr="00AA0083" w:rsidRDefault="007F7A89" w:rsidP="00332572">
      <w:pPr>
        <w:pStyle w:val="ListParagraph"/>
        <w:numPr>
          <w:ilvl w:val="0"/>
          <w:numId w:val="12"/>
        </w:numPr>
        <w:rPr>
          <w:i/>
        </w:rPr>
      </w:pPr>
      <w:r>
        <w:t>Growing pressure on corporations produces pressure on policy</w:t>
      </w:r>
      <w:r w:rsidR="007032E4">
        <w:t xml:space="preserve"> and vice versa.</w:t>
      </w:r>
      <w:r w:rsidR="003F06EE">
        <w:rPr>
          <w:rStyle w:val="FootnoteReference"/>
        </w:rPr>
        <w:footnoteReference w:id="25"/>
      </w:r>
    </w:p>
    <w:p w:rsidR="00AA0083" w:rsidRPr="007F7A89" w:rsidRDefault="00AA0083" w:rsidP="00AA0083">
      <w:pPr>
        <w:pStyle w:val="ListParagraph"/>
        <w:ind w:left="2160"/>
        <w:rPr>
          <w:iCs/>
        </w:rPr>
      </w:pPr>
    </w:p>
    <w:p w:rsidR="00AA0083" w:rsidRPr="00AA0083" w:rsidRDefault="007032E4" w:rsidP="00AA0083">
      <w:pPr>
        <w:pStyle w:val="ListParagraph"/>
        <w:numPr>
          <w:ilvl w:val="0"/>
          <w:numId w:val="12"/>
        </w:numPr>
        <w:rPr>
          <w:iCs/>
        </w:rPr>
      </w:pPr>
      <w:r>
        <w:rPr>
          <w:iCs/>
        </w:rPr>
        <w:t xml:space="preserve">Another source of pressures </w:t>
      </w:r>
      <w:r w:rsidR="002A2C0A">
        <w:rPr>
          <w:iCs/>
        </w:rPr>
        <w:t xml:space="preserve">builds as we grapple with </w:t>
      </w:r>
      <w:r>
        <w:rPr>
          <w:iCs/>
        </w:rPr>
        <w:t>c</w:t>
      </w:r>
      <w:r w:rsidR="00AA0083" w:rsidRPr="00AA0083">
        <w:rPr>
          <w:iCs/>
        </w:rPr>
        <w:t xml:space="preserve">limate </w:t>
      </w:r>
      <w:r>
        <w:rPr>
          <w:iCs/>
        </w:rPr>
        <w:t>c</w:t>
      </w:r>
      <w:r w:rsidR="00AA0083" w:rsidRPr="00AA0083">
        <w:rPr>
          <w:iCs/>
        </w:rPr>
        <w:t>hange.</w:t>
      </w:r>
      <w:r w:rsidR="00AA0083" w:rsidRPr="00AA0083">
        <w:rPr>
          <w:rStyle w:val="FootnoteReference"/>
          <w:iCs/>
        </w:rPr>
        <w:footnoteReference w:id="26"/>
      </w:r>
    </w:p>
    <w:p w:rsidR="00CB388D" w:rsidRDefault="00CB388D" w:rsidP="00CB388D">
      <w:pPr>
        <w:pStyle w:val="ListParagraph"/>
      </w:pPr>
    </w:p>
    <w:p w:rsidR="008C6E04" w:rsidRPr="00332572" w:rsidRDefault="00CB388D" w:rsidP="00CB388D">
      <w:pPr>
        <w:pStyle w:val="ListParagraph"/>
        <w:numPr>
          <w:ilvl w:val="0"/>
          <w:numId w:val="8"/>
        </w:numPr>
        <w:rPr>
          <w:i/>
        </w:rPr>
      </w:pPr>
      <w:r>
        <w:t>T</w:t>
      </w:r>
      <w:r w:rsidRPr="00CB388D">
        <w:rPr>
          <w:i/>
        </w:rPr>
        <w:t xml:space="preserve">he Role(s) of </w:t>
      </w:r>
      <w:r w:rsidR="008C6E04" w:rsidRPr="00CB388D">
        <w:rPr>
          <w:i/>
        </w:rPr>
        <w:t>Technology</w:t>
      </w:r>
      <w:r>
        <w:rPr>
          <w:i/>
        </w:rPr>
        <w:t>, Research</w:t>
      </w:r>
      <w:r w:rsidRPr="00CB388D">
        <w:rPr>
          <w:i/>
        </w:rPr>
        <w:t xml:space="preserve"> and Data</w:t>
      </w:r>
      <w:r>
        <w:t>.</w:t>
      </w:r>
    </w:p>
    <w:p w:rsidR="00332572" w:rsidRDefault="00332572" w:rsidP="00332572">
      <w:pPr>
        <w:pStyle w:val="ListParagraph"/>
        <w:ind w:left="1440"/>
      </w:pPr>
    </w:p>
    <w:p w:rsidR="00332572" w:rsidRDefault="002A2C0A" w:rsidP="00332572">
      <w:pPr>
        <w:pStyle w:val="ListParagraph"/>
        <w:numPr>
          <w:ilvl w:val="0"/>
          <w:numId w:val="12"/>
        </w:numPr>
      </w:pPr>
      <w:r>
        <w:t>From smart machines and sensors delivering farm data for the potential for improving farm management and sustainable production.</w:t>
      </w:r>
      <w:r w:rsidRPr="002A2C0A">
        <w:rPr>
          <w:rStyle w:val="FootnoteReference"/>
        </w:rPr>
        <w:footnoteReference w:id="27"/>
      </w:r>
    </w:p>
    <w:p w:rsidR="00801542" w:rsidRDefault="00801542" w:rsidP="00801542">
      <w:pPr>
        <w:pStyle w:val="ListParagraph"/>
        <w:ind w:left="2160"/>
      </w:pPr>
    </w:p>
    <w:p w:rsidR="00801542" w:rsidRDefault="00801542" w:rsidP="00332572">
      <w:pPr>
        <w:pStyle w:val="ListParagraph"/>
        <w:numPr>
          <w:ilvl w:val="0"/>
          <w:numId w:val="12"/>
        </w:numPr>
      </w:pPr>
      <w:r>
        <w:t xml:space="preserve">Emerging technologies and potential; will </w:t>
      </w:r>
      <w:proofErr w:type="spellStart"/>
      <w:r>
        <w:t>Blockchain</w:t>
      </w:r>
      <w:proofErr w:type="spellEnd"/>
      <w:r>
        <w:t xml:space="preserve"> help?</w:t>
      </w:r>
      <w:r>
        <w:rPr>
          <w:rStyle w:val="FootnoteReference"/>
        </w:rPr>
        <w:footnoteReference w:id="28"/>
      </w:r>
    </w:p>
    <w:p w:rsidR="002A2C0A" w:rsidRDefault="002A2C0A" w:rsidP="002A2C0A">
      <w:pPr>
        <w:pStyle w:val="ListParagraph"/>
        <w:ind w:left="2160"/>
      </w:pPr>
    </w:p>
    <w:p w:rsidR="002A2C0A" w:rsidRPr="002A2C0A" w:rsidRDefault="002A2C0A" w:rsidP="00332572">
      <w:pPr>
        <w:pStyle w:val="ListParagraph"/>
        <w:numPr>
          <w:ilvl w:val="0"/>
          <w:numId w:val="12"/>
        </w:numPr>
      </w:pPr>
      <w:r>
        <w:t>Experiences in data management, working with producers.</w:t>
      </w:r>
    </w:p>
    <w:p w:rsidR="00332572" w:rsidRPr="00CB388D" w:rsidRDefault="00332572" w:rsidP="00332572">
      <w:pPr>
        <w:pStyle w:val="ListParagraph"/>
        <w:ind w:left="2160"/>
        <w:rPr>
          <w:i/>
        </w:rPr>
      </w:pPr>
    </w:p>
    <w:p w:rsidR="00A820D7" w:rsidRPr="002D206F" w:rsidRDefault="00A820D7" w:rsidP="00A820D7">
      <w:pPr>
        <w:pStyle w:val="ListParagraph"/>
        <w:numPr>
          <w:ilvl w:val="0"/>
          <w:numId w:val="1"/>
        </w:numPr>
        <w:rPr>
          <w:b/>
        </w:rPr>
      </w:pPr>
      <w:r w:rsidRPr="00CB388D">
        <w:rPr>
          <w:b/>
        </w:rPr>
        <w:t>Conclusion</w:t>
      </w:r>
    </w:p>
    <w:p w:rsidR="002D206F" w:rsidRDefault="002D206F" w:rsidP="002D206F">
      <w:pPr>
        <w:rPr>
          <w:b/>
        </w:rPr>
      </w:pPr>
    </w:p>
    <w:p w:rsidR="002D206F" w:rsidRPr="002D206F" w:rsidRDefault="0042119C" w:rsidP="002D206F">
      <w:pPr>
        <w:rPr>
          <w:bCs/>
        </w:rPr>
      </w:pPr>
      <w:r>
        <w:rPr>
          <w:bCs/>
        </w:rPr>
        <w:t>Growing consumer pressures and increasing concerns about the impact of food production are pushing on all levels of the food supply chain to make continuing improvements to sustainability</w:t>
      </w:r>
      <w:r w:rsidR="009E49E5">
        <w:rPr>
          <w:bCs/>
        </w:rPr>
        <w:t>; climate change is adding further pressure, concern, urgency and challenge</w:t>
      </w:r>
      <w:r>
        <w:rPr>
          <w:bCs/>
        </w:rPr>
        <w:t>.  This discussion featured real-world experiences from the U.S. food supply chain, raising issues and topics for further research and work.  The information offers academics, practitioners and policymakers perspectives for consideration and further work.  Ultimately, technology and policy will play key roles but achieving a sustainable food system will continue to require millions of localized decisions and practices</w:t>
      </w:r>
      <w:r w:rsidR="009E49E5">
        <w:rPr>
          <w:bCs/>
        </w:rPr>
        <w:t xml:space="preserve"> with impacts aggregated across regions and on a global scale.  The lessons that experience can teach will remain among the most valuable data points available.</w:t>
      </w:r>
    </w:p>
    <w:sectPr w:rsidR="002D206F" w:rsidRPr="002D20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EC" w:rsidRDefault="009251EC" w:rsidP="00437F94">
      <w:r>
        <w:separator/>
      </w:r>
    </w:p>
  </w:endnote>
  <w:endnote w:type="continuationSeparator" w:id="0">
    <w:p w:rsidR="009251EC" w:rsidRDefault="009251EC" w:rsidP="0043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867936"/>
      <w:docPartObj>
        <w:docPartGallery w:val="Page Numbers (Bottom of Page)"/>
        <w:docPartUnique/>
      </w:docPartObj>
    </w:sdtPr>
    <w:sdtEndPr>
      <w:rPr>
        <w:noProof/>
      </w:rPr>
    </w:sdtEndPr>
    <w:sdtContent>
      <w:p w:rsidR="00332572" w:rsidRDefault="00332572">
        <w:pPr>
          <w:pStyle w:val="Footer"/>
          <w:jc w:val="center"/>
        </w:pPr>
        <w:r>
          <w:fldChar w:fldCharType="begin"/>
        </w:r>
        <w:r>
          <w:instrText xml:space="preserve"> PAGE   \* MERGEFORMAT </w:instrText>
        </w:r>
        <w:r>
          <w:fldChar w:fldCharType="separate"/>
        </w:r>
        <w:r w:rsidR="00822E4D">
          <w:rPr>
            <w:noProof/>
          </w:rPr>
          <w:t>4</w:t>
        </w:r>
        <w:r>
          <w:rPr>
            <w:noProof/>
          </w:rPr>
          <w:fldChar w:fldCharType="end"/>
        </w:r>
      </w:p>
    </w:sdtContent>
  </w:sdt>
  <w:p w:rsidR="00332572" w:rsidRDefault="0033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EC" w:rsidRDefault="009251EC" w:rsidP="00437F94">
      <w:r>
        <w:separator/>
      </w:r>
    </w:p>
  </w:footnote>
  <w:footnote w:type="continuationSeparator" w:id="0">
    <w:p w:rsidR="009251EC" w:rsidRDefault="009251EC" w:rsidP="00437F94">
      <w:r>
        <w:continuationSeparator/>
      </w:r>
    </w:p>
  </w:footnote>
  <w:footnote w:id="1">
    <w:p w:rsidR="00215991" w:rsidRDefault="00215991">
      <w:pPr>
        <w:pStyle w:val="FootnoteText"/>
      </w:pPr>
      <w:r>
        <w:rPr>
          <w:rStyle w:val="FootnoteReference"/>
        </w:rPr>
        <w:footnoteRef/>
      </w:r>
      <w:r>
        <w:t xml:space="preserve"> See e.g., </w:t>
      </w:r>
      <w:proofErr w:type="spellStart"/>
      <w:r w:rsidRPr="00215991">
        <w:t>Béné</w:t>
      </w:r>
      <w:proofErr w:type="spellEnd"/>
      <w:r w:rsidRPr="00215991">
        <w:t xml:space="preserve">, Christophe, Peter </w:t>
      </w:r>
      <w:proofErr w:type="spellStart"/>
      <w:r w:rsidRPr="00215991">
        <w:t>Oosterveer</w:t>
      </w:r>
      <w:proofErr w:type="spellEnd"/>
      <w:r w:rsidRPr="00215991">
        <w:t xml:space="preserve">, Lea </w:t>
      </w:r>
      <w:proofErr w:type="spellStart"/>
      <w:r w:rsidRPr="00215991">
        <w:t>Lamotte</w:t>
      </w:r>
      <w:proofErr w:type="spellEnd"/>
      <w:r w:rsidRPr="00215991">
        <w:t xml:space="preserve">, </w:t>
      </w:r>
      <w:proofErr w:type="spellStart"/>
      <w:r w:rsidRPr="00215991">
        <w:t>Inge</w:t>
      </w:r>
      <w:proofErr w:type="spellEnd"/>
      <w:r w:rsidRPr="00215991">
        <w:t xml:space="preserve"> D. </w:t>
      </w:r>
      <w:proofErr w:type="spellStart"/>
      <w:r w:rsidRPr="00215991">
        <w:t>Brouwer</w:t>
      </w:r>
      <w:proofErr w:type="spellEnd"/>
      <w:r w:rsidRPr="00215991">
        <w:t xml:space="preserve">, Stef de </w:t>
      </w:r>
      <w:proofErr w:type="spellStart"/>
      <w:r w:rsidRPr="00215991">
        <w:t>Haan</w:t>
      </w:r>
      <w:proofErr w:type="spellEnd"/>
      <w:r w:rsidRPr="00215991">
        <w:t xml:space="preserve">, Steve D. Prager, Elise F. </w:t>
      </w:r>
      <w:proofErr w:type="spellStart"/>
      <w:r w:rsidRPr="00215991">
        <w:t>Talsma</w:t>
      </w:r>
      <w:proofErr w:type="spellEnd"/>
      <w:r w:rsidRPr="00215991">
        <w:t xml:space="preserve">, and Colin K. </w:t>
      </w:r>
      <w:proofErr w:type="spellStart"/>
      <w:r w:rsidRPr="00215991">
        <w:t>Khoury</w:t>
      </w:r>
      <w:proofErr w:type="spellEnd"/>
      <w:r w:rsidRPr="00215991">
        <w:t xml:space="preserve">. </w:t>
      </w:r>
      <w:r>
        <w:t>“</w:t>
      </w:r>
      <w:r w:rsidRPr="00215991">
        <w:t>When food systems meet sustainability–Current narratives and implications for actions.</w:t>
      </w:r>
      <w:r>
        <w:t>”</w:t>
      </w:r>
      <w:r w:rsidRPr="00215991">
        <w:t xml:space="preserve"> </w:t>
      </w:r>
      <w:r w:rsidRPr="00215991">
        <w:rPr>
          <w:i/>
          <w:iCs/>
        </w:rPr>
        <w:t>World Development</w:t>
      </w:r>
      <w:r w:rsidRPr="00215991">
        <w:t xml:space="preserve"> 113 (2019): 116-130.</w:t>
      </w:r>
    </w:p>
  </w:footnote>
  <w:footnote w:id="2">
    <w:p w:rsidR="00A07EB6" w:rsidRDefault="00A07EB6" w:rsidP="00A07EB6">
      <w:pPr>
        <w:pStyle w:val="FootnoteText"/>
      </w:pPr>
      <w:r>
        <w:rPr>
          <w:rStyle w:val="FootnoteReference"/>
        </w:rPr>
        <w:footnoteRef/>
      </w:r>
      <w:r>
        <w:t xml:space="preserve"> See e.g., </w:t>
      </w:r>
      <w:proofErr w:type="spellStart"/>
      <w:r w:rsidRPr="00A820D7">
        <w:t>Freidberg</w:t>
      </w:r>
      <w:proofErr w:type="spellEnd"/>
      <w:r w:rsidRPr="00A820D7">
        <w:t xml:space="preserve">, Susanne. "Big food and little data: the slow harvest of corporate food supply chain sustainability initiatives." </w:t>
      </w:r>
      <w:r w:rsidRPr="00A07EB6">
        <w:rPr>
          <w:i/>
          <w:iCs/>
        </w:rPr>
        <w:t>Annals of the American Association of Geographers</w:t>
      </w:r>
      <w:r>
        <w:t xml:space="preserve"> 107, no. 6 (2017): 1389-1406.</w:t>
      </w:r>
    </w:p>
  </w:footnote>
  <w:footnote w:id="3">
    <w:p w:rsidR="005B76C0" w:rsidRDefault="005B76C0" w:rsidP="005B76C0">
      <w:pPr>
        <w:pStyle w:val="FootnoteText"/>
      </w:pPr>
      <w:r>
        <w:rPr>
          <w:rStyle w:val="FootnoteReference"/>
        </w:rPr>
        <w:footnoteRef/>
      </w:r>
      <w:r>
        <w:t xml:space="preserve"> See e.g., </w:t>
      </w:r>
      <w:r w:rsidRPr="00A820D7">
        <w:t xml:space="preserve">Miles, Albie, Marcia S. </w:t>
      </w:r>
      <w:proofErr w:type="spellStart"/>
      <w:r w:rsidRPr="00A820D7">
        <w:t>DeLonge</w:t>
      </w:r>
      <w:proofErr w:type="spellEnd"/>
      <w:r w:rsidRPr="00A820D7">
        <w:t xml:space="preserve">, and Liz Carlisle. </w:t>
      </w:r>
      <w:r w:rsidR="0061028E">
        <w:t>“</w:t>
      </w:r>
      <w:r w:rsidRPr="00A820D7">
        <w:t xml:space="preserve">Triggering a positive research and policy feedback cycle to support a transition to </w:t>
      </w:r>
      <w:proofErr w:type="spellStart"/>
      <w:r w:rsidRPr="00A820D7">
        <w:t>agroecology</w:t>
      </w:r>
      <w:proofErr w:type="spellEnd"/>
      <w:r w:rsidRPr="00A820D7">
        <w:t xml:space="preserve"> and sustainable food systems.</w:t>
      </w:r>
      <w:r w:rsidR="0061028E">
        <w:t>”</w:t>
      </w:r>
      <w:r w:rsidRPr="00A820D7">
        <w:t xml:space="preserve"> </w:t>
      </w:r>
      <w:proofErr w:type="spellStart"/>
      <w:r w:rsidRPr="0061028E">
        <w:rPr>
          <w:i/>
          <w:iCs/>
        </w:rPr>
        <w:t>Agroecology</w:t>
      </w:r>
      <w:proofErr w:type="spellEnd"/>
      <w:r w:rsidRPr="0061028E">
        <w:rPr>
          <w:i/>
          <w:iCs/>
        </w:rPr>
        <w:t xml:space="preserve"> and Sustainable Food Systems</w:t>
      </w:r>
      <w:r>
        <w:t xml:space="preserve"> 41, no. 7 (2017): 855-879</w:t>
      </w:r>
      <w:r w:rsidRPr="00A820D7">
        <w:t>.</w:t>
      </w:r>
    </w:p>
  </w:footnote>
  <w:footnote w:id="4">
    <w:p w:rsidR="003D60B1" w:rsidRDefault="003D60B1">
      <w:pPr>
        <w:pStyle w:val="FootnoteText"/>
      </w:pPr>
      <w:r>
        <w:rPr>
          <w:rStyle w:val="FootnoteReference"/>
        </w:rPr>
        <w:footnoteRef/>
      </w:r>
      <w:r>
        <w:t xml:space="preserve"> See, Nielsen.com, “Was 2018 the Year of the Influential Sustainable Consumer?</w:t>
      </w:r>
      <w:proofErr w:type="gramStart"/>
      <w:r>
        <w:t>”,</w:t>
      </w:r>
      <w:proofErr w:type="gramEnd"/>
      <w:r>
        <w:t xml:space="preserve"> </w:t>
      </w:r>
      <w:hyperlink r:id="rId1" w:history="1">
        <w:r w:rsidRPr="00005961">
          <w:rPr>
            <w:rStyle w:val="Hyperlink"/>
          </w:rPr>
          <w:t>https://www.nielsen.com/us/en/insights/article/2018/was-2018-the-year-of-the-influential-sustainable-consumer/</w:t>
        </w:r>
      </w:hyperlink>
      <w:r>
        <w:t xml:space="preserve">.  </w:t>
      </w:r>
    </w:p>
  </w:footnote>
  <w:footnote w:id="5">
    <w:p w:rsidR="009A794A" w:rsidRDefault="009A794A" w:rsidP="009A794A">
      <w:pPr>
        <w:pStyle w:val="FootnoteText"/>
      </w:pPr>
      <w:r>
        <w:rPr>
          <w:rStyle w:val="FootnoteReference"/>
        </w:rPr>
        <w:footnoteRef/>
      </w:r>
      <w:r>
        <w:t xml:space="preserve"> See e.g., </w:t>
      </w:r>
      <w:r w:rsidRPr="00B2613B">
        <w:t xml:space="preserve">Campbell, Jeffrey M., and Marianne C. </w:t>
      </w:r>
      <w:proofErr w:type="spellStart"/>
      <w:r w:rsidRPr="00B2613B">
        <w:t>Bickle</w:t>
      </w:r>
      <w:proofErr w:type="spellEnd"/>
      <w:r w:rsidRPr="00B2613B">
        <w:t xml:space="preserve">. </w:t>
      </w:r>
      <w:r>
        <w:t>“</w:t>
      </w:r>
      <w:r w:rsidRPr="00B2613B">
        <w:t>Bridging the Gap between Millennial Consumers, Social Media, and Agricultural Branding Programs: A Qualitative Assessment.</w:t>
      </w:r>
      <w:r>
        <w:t>”</w:t>
      </w:r>
      <w:r w:rsidRPr="00B2613B">
        <w:t xml:space="preserve"> </w:t>
      </w:r>
      <w:r w:rsidRPr="009A794A">
        <w:rPr>
          <w:i/>
          <w:iCs/>
        </w:rPr>
        <w:t>Journal of International Food &amp; Agribusiness Marketing</w:t>
      </w:r>
      <w:r w:rsidRPr="00B2613B">
        <w:t xml:space="preserve"> 29, no. 4 (2017): 346-365.</w:t>
      </w:r>
    </w:p>
  </w:footnote>
  <w:footnote w:id="6">
    <w:p w:rsidR="00806570" w:rsidRDefault="00806570">
      <w:pPr>
        <w:pStyle w:val="FootnoteText"/>
      </w:pPr>
      <w:r>
        <w:rPr>
          <w:rStyle w:val="FootnoteReference"/>
        </w:rPr>
        <w:footnoteRef/>
      </w:r>
      <w:r>
        <w:t xml:space="preserve"> See, </w:t>
      </w:r>
      <w:r w:rsidR="009A794A" w:rsidRPr="009A794A">
        <w:t>7 U.S.C. §3103</w:t>
      </w:r>
      <w:r w:rsidR="009A794A">
        <w:t xml:space="preserve">; </w:t>
      </w:r>
      <w:r>
        <w:t xml:space="preserve">USDA-NIFA, </w:t>
      </w:r>
      <w:hyperlink r:id="rId2" w:history="1">
        <w:r w:rsidRPr="00005961">
          <w:rPr>
            <w:rStyle w:val="Hyperlink"/>
          </w:rPr>
          <w:t>https://nifa.usda.gov/program/sustainable-agriculture-program</w:t>
        </w:r>
      </w:hyperlink>
      <w:r w:rsidR="009A794A">
        <w:t>; Sustainable Agriculture Research &amp; Education (</w:t>
      </w:r>
      <w:r>
        <w:t>SARE</w:t>
      </w:r>
      <w:r w:rsidR="009A794A">
        <w:t>)</w:t>
      </w:r>
      <w:r>
        <w:t xml:space="preserve">, </w:t>
      </w:r>
      <w:hyperlink r:id="rId3" w:history="1">
        <w:r w:rsidRPr="00005961">
          <w:rPr>
            <w:rStyle w:val="Hyperlink"/>
          </w:rPr>
          <w:t>https://www.sare.org/</w:t>
        </w:r>
      </w:hyperlink>
      <w:r>
        <w:t xml:space="preserve">. </w:t>
      </w:r>
    </w:p>
  </w:footnote>
  <w:footnote w:id="7">
    <w:p w:rsidR="00FA2792" w:rsidRDefault="00FA2792" w:rsidP="00FA2792">
      <w:pPr>
        <w:pStyle w:val="FootnoteText"/>
      </w:pPr>
      <w:r>
        <w:rPr>
          <w:rStyle w:val="FootnoteReference"/>
        </w:rPr>
        <w:footnoteRef/>
      </w:r>
      <w:r>
        <w:t xml:space="preserve"> See e.g., </w:t>
      </w:r>
      <w:r w:rsidRPr="00A820D7">
        <w:t xml:space="preserve">Wilhelm, Miriam M., Constantin </w:t>
      </w:r>
      <w:proofErr w:type="spellStart"/>
      <w:r w:rsidRPr="00A820D7">
        <w:t>Blome</w:t>
      </w:r>
      <w:proofErr w:type="spellEnd"/>
      <w:r w:rsidRPr="00A820D7">
        <w:t xml:space="preserve">, Vikram </w:t>
      </w:r>
      <w:proofErr w:type="spellStart"/>
      <w:r w:rsidRPr="00A820D7">
        <w:t>Bhakoo</w:t>
      </w:r>
      <w:proofErr w:type="spellEnd"/>
      <w:r w:rsidRPr="00A820D7">
        <w:t xml:space="preserve">, and Antony </w:t>
      </w:r>
      <w:proofErr w:type="spellStart"/>
      <w:r w:rsidRPr="00A820D7">
        <w:t>Paulraj</w:t>
      </w:r>
      <w:proofErr w:type="spellEnd"/>
      <w:r w:rsidRPr="00A820D7">
        <w:t xml:space="preserve">. </w:t>
      </w:r>
      <w:r>
        <w:t>“</w:t>
      </w:r>
      <w:r w:rsidRPr="00A820D7">
        <w:t>Sustainability in multi-tier supply chains: Understanding the double agency role of the first-tier supplier.</w:t>
      </w:r>
      <w:r>
        <w:t>”</w:t>
      </w:r>
      <w:r w:rsidRPr="00A820D7">
        <w:t xml:space="preserve"> </w:t>
      </w:r>
      <w:r w:rsidRPr="00FA2792">
        <w:rPr>
          <w:i/>
          <w:iCs/>
        </w:rPr>
        <w:t>Journal of Operations Management</w:t>
      </w:r>
      <w:r w:rsidRPr="00A820D7">
        <w:t xml:space="preserve"> 41 (2016): 42-60.</w:t>
      </w:r>
    </w:p>
  </w:footnote>
  <w:footnote w:id="8">
    <w:p w:rsidR="00A07EB6" w:rsidRDefault="00A07EB6">
      <w:pPr>
        <w:pStyle w:val="FootnoteText"/>
      </w:pPr>
      <w:r>
        <w:rPr>
          <w:rStyle w:val="FootnoteReference"/>
        </w:rPr>
        <w:footnoteRef/>
      </w:r>
      <w:r>
        <w:t xml:space="preserve"> See e.g., </w:t>
      </w:r>
      <w:proofErr w:type="spellStart"/>
      <w:r>
        <w:t>Freidberg</w:t>
      </w:r>
      <w:proofErr w:type="spellEnd"/>
      <w:r>
        <w:t xml:space="preserve">, supra note </w:t>
      </w:r>
      <w:r w:rsidR="009A794A">
        <w:t>2</w:t>
      </w:r>
      <w:r w:rsidR="0042119C">
        <w:t xml:space="preserve">; </w:t>
      </w:r>
      <w:proofErr w:type="spellStart"/>
      <w:r w:rsidR="0042119C" w:rsidRPr="002D206F">
        <w:t>Endres</w:t>
      </w:r>
      <w:proofErr w:type="spellEnd"/>
      <w:r w:rsidR="0042119C" w:rsidRPr="002D206F">
        <w:t xml:space="preserve">, A. Bryan, Lisa Schlessinger, and Renata </w:t>
      </w:r>
      <w:proofErr w:type="spellStart"/>
      <w:r w:rsidR="0042119C" w:rsidRPr="002D206F">
        <w:t>Endres</w:t>
      </w:r>
      <w:proofErr w:type="spellEnd"/>
      <w:r w:rsidR="0042119C" w:rsidRPr="002D206F">
        <w:t xml:space="preserve">. </w:t>
      </w:r>
      <w:r w:rsidR="0042119C">
        <w:t>“</w:t>
      </w:r>
      <w:r w:rsidR="0042119C" w:rsidRPr="002D206F">
        <w:t>Embracing the Sharing Economy and Preparing for Risk: The CSA Experience.</w:t>
      </w:r>
      <w:r w:rsidR="0042119C">
        <w:t>”</w:t>
      </w:r>
      <w:r w:rsidR="0042119C" w:rsidRPr="002D206F">
        <w:t xml:space="preserve"> </w:t>
      </w:r>
      <w:r w:rsidR="0042119C" w:rsidRPr="002D206F">
        <w:rPr>
          <w:i/>
          <w:iCs/>
        </w:rPr>
        <w:t>Drake J. Agric. L.</w:t>
      </w:r>
      <w:r w:rsidR="0042119C" w:rsidRPr="002D206F">
        <w:t xml:space="preserve"> 23 (2018): 147</w:t>
      </w:r>
      <w:r w:rsidR="0042119C">
        <w:t>.</w:t>
      </w:r>
    </w:p>
  </w:footnote>
  <w:footnote w:id="9">
    <w:p w:rsidR="000E427F" w:rsidRDefault="000E427F">
      <w:pPr>
        <w:pStyle w:val="FootnoteText"/>
      </w:pPr>
      <w:r>
        <w:rPr>
          <w:rStyle w:val="FootnoteReference"/>
        </w:rPr>
        <w:footnoteRef/>
      </w:r>
      <w:r>
        <w:t xml:space="preserve"> See e.g., </w:t>
      </w:r>
      <w:proofErr w:type="spellStart"/>
      <w:r w:rsidRPr="000E427F">
        <w:t>Alrøe</w:t>
      </w:r>
      <w:proofErr w:type="spellEnd"/>
      <w:r w:rsidRPr="000E427F">
        <w:t xml:space="preserve">, Hugo, Marion </w:t>
      </w:r>
      <w:proofErr w:type="spellStart"/>
      <w:r w:rsidRPr="000E427F">
        <w:t>Sautier</w:t>
      </w:r>
      <w:proofErr w:type="spellEnd"/>
      <w:r w:rsidRPr="000E427F">
        <w:t xml:space="preserve">, Katharine </w:t>
      </w:r>
      <w:proofErr w:type="spellStart"/>
      <w:r w:rsidRPr="000E427F">
        <w:t>Legun</w:t>
      </w:r>
      <w:proofErr w:type="spellEnd"/>
      <w:r w:rsidRPr="000E427F">
        <w:t xml:space="preserve">, Jay Whitehead, </w:t>
      </w:r>
      <w:proofErr w:type="spellStart"/>
      <w:r w:rsidRPr="000E427F">
        <w:t>Egon</w:t>
      </w:r>
      <w:proofErr w:type="spellEnd"/>
      <w:r w:rsidRPr="000E427F">
        <w:t xml:space="preserve"> </w:t>
      </w:r>
      <w:proofErr w:type="spellStart"/>
      <w:r w:rsidRPr="000E427F">
        <w:t>Noe</w:t>
      </w:r>
      <w:proofErr w:type="spellEnd"/>
      <w:r w:rsidRPr="000E427F">
        <w:t xml:space="preserve">, Henrik Moller, and Jon </w:t>
      </w:r>
      <w:proofErr w:type="spellStart"/>
      <w:r w:rsidRPr="000E427F">
        <w:t>Manhire</w:t>
      </w:r>
      <w:proofErr w:type="spellEnd"/>
      <w:r w:rsidRPr="000E427F">
        <w:t xml:space="preserve">. </w:t>
      </w:r>
      <w:r>
        <w:t>“</w:t>
      </w:r>
      <w:r w:rsidRPr="000E427F">
        <w:t>Performance versus values in sustainability transformation of food systems.</w:t>
      </w:r>
      <w:r>
        <w:t>”</w:t>
      </w:r>
      <w:r w:rsidRPr="000E427F">
        <w:t xml:space="preserve"> </w:t>
      </w:r>
      <w:r w:rsidRPr="000E427F">
        <w:rPr>
          <w:i/>
          <w:iCs/>
        </w:rPr>
        <w:t>Sustainability</w:t>
      </w:r>
      <w:r w:rsidRPr="000E427F">
        <w:t xml:space="preserve"> 9, no. 3 (2017): 332.</w:t>
      </w:r>
    </w:p>
  </w:footnote>
  <w:footnote w:id="10">
    <w:p w:rsidR="00AA0083" w:rsidRDefault="00AA0083" w:rsidP="00AA0083">
      <w:pPr>
        <w:pStyle w:val="FootnoteText"/>
      </w:pPr>
      <w:r>
        <w:rPr>
          <w:rStyle w:val="FootnoteReference"/>
        </w:rPr>
        <w:footnoteRef/>
      </w:r>
      <w:r>
        <w:t xml:space="preserve"> See e.g., </w:t>
      </w:r>
      <w:r w:rsidRPr="003B1A73">
        <w:t xml:space="preserve">Diamond, Adam, Debra </w:t>
      </w:r>
      <w:proofErr w:type="spellStart"/>
      <w:r w:rsidRPr="003B1A73">
        <w:t>Tropp</w:t>
      </w:r>
      <w:proofErr w:type="spellEnd"/>
      <w:r w:rsidRPr="003B1A73">
        <w:t xml:space="preserve">, James Barham, Michelle Frain Muldoon, </w:t>
      </w:r>
      <w:proofErr w:type="spellStart"/>
      <w:r w:rsidRPr="003B1A73">
        <w:t>Stacia</w:t>
      </w:r>
      <w:proofErr w:type="spellEnd"/>
      <w:r w:rsidRPr="003B1A73">
        <w:t xml:space="preserve"> </w:t>
      </w:r>
      <w:proofErr w:type="spellStart"/>
      <w:r w:rsidRPr="003B1A73">
        <w:t>Kiraly</w:t>
      </w:r>
      <w:proofErr w:type="spellEnd"/>
      <w:r w:rsidRPr="003B1A73">
        <w:t>, and Patty Cantrell. Food Value Chains: Creating Shared Value to Enhance Marketing Success. U.S. Dept. of Agriculture, Agricultural Marketing Service, May 2014</w:t>
      </w:r>
      <w:r>
        <w:t xml:space="preserve"> (</w:t>
      </w:r>
      <w:hyperlink r:id="rId4" w:history="1">
        <w:r w:rsidRPr="00653F6D">
          <w:rPr>
            <w:rStyle w:val="Hyperlink"/>
          </w:rPr>
          <w:t>http://dx.doi.org/10.9752/MS141.05-2014</w:t>
        </w:r>
      </w:hyperlink>
      <w:r>
        <w:t>) available online</w:t>
      </w:r>
      <w:proofErr w:type="gramStart"/>
      <w:r>
        <w:t xml:space="preserve">,  </w:t>
      </w:r>
      <w:proofErr w:type="gramEnd"/>
      <w:r w:rsidR="009251EC">
        <w:fldChar w:fldCharType="begin"/>
      </w:r>
      <w:r w:rsidR="009251EC">
        <w:instrText xml:space="preserve"> HYPERLINK "https://www.ams.usda.gov/sites/default/files/media/Food%20Value%20Chains%20Creating%20Shared%20Value%20to%2</w:instrText>
      </w:r>
      <w:r w:rsidR="009251EC">
        <w:instrText xml:space="preserve">0Enhance%20Marketing%20Success.pdf" </w:instrText>
      </w:r>
      <w:r w:rsidR="009251EC">
        <w:fldChar w:fldCharType="separate"/>
      </w:r>
      <w:r w:rsidRPr="00005961">
        <w:rPr>
          <w:rStyle w:val="Hyperlink"/>
        </w:rPr>
        <w:t>https://www.ams.usda.gov/sites/default/files/media/Food%20Value%20Chains%20Creating%20Shared%20Value%20to%20Enhance%20Marketing%20Success.pdf</w:t>
      </w:r>
      <w:r w:rsidR="009251EC">
        <w:rPr>
          <w:rStyle w:val="Hyperlink"/>
        </w:rPr>
        <w:fldChar w:fldCharType="end"/>
      </w:r>
      <w:r>
        <w:t xml:space="preserve">.  </w:t>
      </w:r>
    </w:p>
  </w:footnote>
  <w:footnote w:id="11">
    <w:p w:rsidR="000D4A09" w:rsidRDefault="000D4A09">
      <w:pPr>
        <w:pStyle w:val="FootnoteText"/>
      </w:pPr>
      <w:r>
        <w:rPr>
          <w:rStyle w:val="FootnoteReference"/>
        </w:rPr>
        <w:footnoteRef/>
      </w:r>
      <w:r>
        <w:t xml:space="preserve"> See e.g., Bene et al., supra note 1.</w:t>
      </w:r>
    </w:p>
  </w:footnote>
  <w:footnote w:id="12">
    <w:p w:rsidR="000673C0" w:rsidRDefault="000673C0">
      <w:pPr>
        <w:pStyle w:val="FootnoteText"/>
      </w:pPr>
      <w:r>
        <w:rPr>
          <w:rStyle w:val="FootnoteReference"/>
        </w:rPr>
        <w:footnoteRef/>
      </w:r>
      <w:r>
        <w:t xml:space="preserve"> Friedberg, supra note </w:t>
      </w:r>
      <w:r w:rsidR="009A794A">
        <w:t>2</w:t>
      </w:r>
      <w:r>
        <w:t>, at 1391-92.</w:t>
      </w:r>
    </w:p>
  </w:footnote>
  <w:footnote w:id="13">
    <w:p w:rsidR="00095AEC" w:rsidRDefault="00095AEC">
      <w:pPr>
        <w:pStyle w:val="FootnoteText"/>
      </w:pPr>
      <w:r>
        <w:rPr>
          <w:rStyle w:val="FootnoteReference"/>
        </w:rPr>
        <w:footnoteRef/>
      </w:r>
      <w:r>
        <w:t xml:space="preserve"> Field-to-Market, Sustainability Metrics, </w:t>
      </w:r>
      <w:hyperlink r:id="rId5" w:history="1">
        <w:r w:rsidRPr="00005961">
          <w:rPr>
            <w:rStyle w:val="Hyperlink"/>
          </w:rPr>
          <w:t>https://fieldtomarket.org/our-program/sustainability-metrics/</w:t>
        </w:r>
      </w:hyperlink>
      <w:r>
        <w:t xml:space="preserve">.  </w:t>
      </w:r>
    </w:p>
  </w:footnote>
  <w:footnote w:id="14">
    <w:p w:rsidR="0061028E" w:rsidRDefault="0061028E" w:rsidP="0061028E">
      <w:pPr>
        <w:pStyle w:val="FootnoteText"/>
      </w:pPr>
      <w:r>
        <w:rPr>
          <w:rStyle w:val="FootnoteReference"/>
        </w:rPr>
        <w:footnoteRef/>
      </w:r>
      <w:r>
        <w:t xml:space="preserve"> See e.g., </w:t>
      </w:r>
      <w:proofErr w:type="spellStart"/>
      <w:r w:rsidR="000E427F">
        <w:t>Codur</w:t>
      </w:r>
      <w:proofErr w:type="spellEnd"/>
      <w:r w:rsidR="000E427F">
        <w:t xml:space="preserve">, Anne-Marie and J. </w:t>
      </w:r>
      <w:proofErr w:type="spellStart"/>
      <w:r w:rsidR="000E427F">
        <w:t>Watston</w:t>
      </w:r>
      <w:proofErr w:type="spellEnd"/>
      <w:r w:rsidR="000E427F">
        <w:t xml:space="preserve">, “Climate smart or regenerative agriculture? Defining climate policies based on soil health.”  </w:t>
      </w:r>
      <w:r w:rsidR="000E427F" w:rsidRPr="000E427F">
        <w:rPr>
          <w:i/>
          <w:iCs/>
        </w:rPr>
        <w:t>Global Development and Environmental Institute</w:t>
      </w:r>
      <w:r w:rsidR="000E427F">
        <w:t xml:space="preserve">, Tufts University, Policy Brief No. 9 (April 2018), </w:t>
      </w:r>
      <w:hyperlink r:id="rId6" w:history="1">
        <w:r w:rsidRPr="00005961">
          <w:rPr>
            <w:rStyle w:val="Hyperlink"/>
          </w:rPr>
          <w:t>http://ase.tufts.edu/gdae/Pubs/climate/ClimatePolicyBrief9.pdf</w:t>
        </w:r>
      </w:hyperlink>
      <w:r>
        <w:t xml:space="preserve">.  See also, </w:t>
      </w:r>
      <w:hyperlink r:id="rId7" w:history="1">
        <w:r w:rsidRPr="00005961">
          <w:rPr>
            <w:rStyle w:val="Hyperlink"/>
          </w:rPr>
          <w:t>https://medium.com/circulatenews/regenerative-agriculture-how-to-grow-food-for-a-healthy-planet-9a5f637c0f3e</w:t>
        </w:r>
      </w:hyperlink>
      <w:r>
        <w:t xml:space="preserve">.  </w:t>
      </w:r>
    </w:p>
  </w:footnote>
  <w:footnote w:id="15">
    <w:p w:rsidR="0061028E" w:rsidRDefault="0061028E" w:rsidP="0061028E">
      <w:pPr>
        <w:pStyle w:val="FootnoteText"/>
      </w:pPr>
      <w:r>
        <w:rPr>
          <w:rStyle w:val="FootnoteReference"/>
        </w:rPr>
        <w:footnoteRef/>
      </w:r>
      <w:r>
        <w:t xml:space="preserve"> </w:t>
      </w:r>
      <w:r w:rsidRPr="00B2613B">
        <w:t xml:space="preserve">Volumetric Water Benefit Accounting (VWBA): A Method </w:t>
      </w:r>
      <w:proofErr w:type="gramStart"/>
      <w:r w:rsidRPr="00B2613B">
        <w:t>For</w:t>
      </w:r>
      <w:proofErr w:type="gramEnd"/>
      <w:r w:rsidRPr="00B2613B">
        <w:t xml:space="preserve"> Implementing and Valuing Water Stewardship Activities</w:t>
      </w:r>
      <w:r>
        <w:t xml:space="preserve">, World Resources Institute, </w:t>
      </w:r>
      <w:hyperlink r:id="rId8" w:history="1">
        <w:r w:rsidRPr="00005961">
          <w:rPr>
            <w:rStyle w:val="Hyperlink"/>
          </w:rPr>
          <w:t>https://wriorg.s3.amazonaws.com/s3fs-public/volumetric-water-benefit-accounting.pdf</w:t>
        </w:r>
      </w:hyperlink>
      <w:r>
        <w:t xml:space="preserve">.  </w:t>
      </w:r>
    </w:p>
  </w:footnote>
  <w:footnote w:id="16">
    <w:p w:rsidR="0061028E" w:rsidRDefault="0061028E">
      <w:pPr>
        <w:pStyle w:val="FootnoteText"/>
      </w:pPr>
      <w:r>
        <w:rPr>
          <w:rStyle w:val="FootnoteReference"/>
        </w:rPr>
        <w:footnoteRef/>
      </w:r>
      <w:r>
        <w:t xml:space="preserve"> </w:t>
      </w:r>
      <w:r w:rsidR="009A794A">
        <w:t>See e.g., Miles et al., supra note 3.</w:t>
      </w:r>
    </w:p>
  </w:footnote>
  <w:footnote w:id="17">
    <w:p w:rsidR="000E427F" w:rsidRDefault="000E427F">
      <w:pPr>
        <w:pStyle w:val="FootnoteText"/>
      </w:pPr>
      <w:r>
        <w:rPr>
          <w:rStyle w:val="FootnoteReference"/>
        </w:rPr>
        <w:footnoteRef/>
      </w:r>
      <w:r>
        <w:t xml:space="preserve"> See, </w:t>
      </w:r>
      <w:proofErr w:type="spellStart"/>
      <w:r w:rsidRPr="000E427F">
        <w:t>Alrøe</w:t>
      </w:r>
      <w:proofErr w:type="spellEnd"/>
      <w:r>
        <w:t xml:space="preserve"> et al., supra note 10.</w:t>
      </w:r>
    </w:p>
  </w:footnote>
  <w:footnote w:id="18">
    <w:p w:rsidR="00B51CC5" w:rsidRDefault="00B51CC5">
      <w:pPr>
        <w:pStyle w:val="FootnoteText"/>
      </w:pPr>
      <w:r>
        <w:rPr>
          <w:rStyle w:val="FootnoteReference"/>
        </w:rPr>
        <w:footnoteRef/>
      </w:r>
      <w:r>
        <w:t xml:space="preserve"> Field-to-Market, Metrics Standard Operating Procedure, </w:t>
      </w:r>
      <w:hyperlink r:id="rId9" w:history="1">
        <w:r w:rsidRPr="00005961">
          <w:rPr>
            <w:rStyle w:val="Hyperlink"/>
          </w:rPr>
          <w:t>http://fieldtomarket.org/media/2018/09/FTM_Metrics-Development-SOP-2018.pdf</w:t>
        </w:r>
      </w:hyperlink>
      <w:r>
        <w:t xml:space="preserve">.  </w:t>
      </w:r>
    </w:p>
  </w:footnote>
  <w:footnote w:id="19">
    <w:p w:rsidR="00B2613B" w:rsidRDefault="00B2613B">
      <w:pPr>
        <w:pStyle w:val="FootnoteText"/>
      </w:pPr>
      <w:r>
        <w:rPr>
          <w:rStyle w:val="FootnoteReference"/>
        </w:rPr>
        <w:footnoteRef/>
      </w:r>
      <w:r>
        <w:t xml:space="preserve"> </w:t>
      </w:r>
      <w:r w:rsidR="00371749">
        <w:t xml:space="preserve">See e.g., </w:t>
      </w:r>
      <w:r>
        <w:t xml:space="preserve">Field to Market example, </w:t>
      </w:r>
      <w:hyperlink r:id="rId10" w:history="1">
        <w:r w:rsidRPr="00005961">
          <w:rPr>
            <w:rStyle w:val="Hyperlink"/>
          </w:rPr>
          <w:t>https://fieldtomarket.org/our-members/</w:t>
        </w:r>
      </w:hyperlink>
      <w:r w:rsidR="00371749">
        <w:t xml:space="preserve">; </w:t>
      </w:r>
      <w:r>
        <w:t xml:space="preserve">Danone, </w:t>
      </w:r>
      <w:hyperlink r:id="rId11" w:history="1">
        <w:r w:rsidRPr="00005961">
          <w:rPr>
            <w:rStyle w:val="Hyperlink"/>
          </w:rPr>
          <w:t>https://www.danone.com/about-danone/sustainable-value-creation/our-company-goals.html</w:t>
        </w:r>
      </w:hyperlink>
      <w:r w:rsidR="00371749">
        <w:t xml:space="preserve">; </w:t>
      </w:r>
      <w:r>
        <w:t xml:space="preserve">National Sustainable Agriculture Coalition, </w:t>
      </w:r>
      <w:hyperlink r:id="rId12" w:history="1">
        <w:r w:rsidRPr="00005961">
          <w:rPr>
            <w:rStyle w:val="Hyperlink"/>
          </w:rPr>
          <w:t>https://sustainableagriculture.net/about-us/</w:t>
        </w:r>
      </w:hyperlink>
      <w:r>
        <w:t xml:space="preserve">.  </w:t>
      </w:r>
    </w:p>
  </w:footnote>
  <w:footnote w:id="20">
    <w:p w:rsidR="008C6E04" w:rsidRDefault="008C6E04" w:rsidP="00B2613B">
      <w:pPr>
        <w:pStyle w:val="CommentText"/>
      </w:pPr>
      <w:r>
        <w:rPr>
          <w:rStyle w:val="FootnoteReference"/>
        </w:rPr>
        <w:footnoteRef/>
      </w:r>
      <w:r>
        <w:t xml:space="preserve"> See, Field to Market: projects directory,  </w:t>
      </w:r>
      <w:hyperlink r:id="rId13" w:history="1">
        <w:r>
          <w:rPr>
            <w:rStyle w:val="Hyperlink"/>
          </w:rPr>
          <w:t>https://fieldtomarket.org/our-program/fieldprint-projects-directory/</w:t>
        </w:r>
      </w:hyperlink>
      <w:r>
        <w:t xml:space="preserve">; case studies based on annual awards program: </w:t>
      </w:r>
      <w:hyperlink r:id="rId14" w:history="1">
        <w:r>
          <w:rPr>
            <w:rStyle w:val="Hyperlink"/>
          </w:rPr>
          <w:t>https://fieldtomarket.org/our-program/case-studies/</w:t>
        </w:r>
      </w:hyperlink>
      <w:r>
        <w:t xml:space="preserve">; additional examples, </w:t>
      </w:r>
      <w:hyperlink r:id="rId15" w:history="1">
        <w:r>
          <w:rPr>
            <w:rStyle w:val="Hyperlink"/>
          </w:rPr>
          <w:t>https://fieldtomarket.org/our-program/cross-sector-partnerships/</w:t>
        </w:r>
      </w:hyperlink>
      <w:r w:rsidR="00371749">
        <w:rPr>
          <w:rStyle w:val="Hyperlink"/>
        </w:rPr>
        <w:t>.</w:t>
      </w:r>
    </w:p>
  </w:footnote>
  <w:footnote w:id="21">
    <w:p w:rsidR="003B1A73" w:rsidRDefault="003B1A73" w:rsidP="003B1A73">
      <w:pPr>
        <w:pStyle w:val="FootnoteText"/>
      </w:pPr>
      <w:r>
        <w:rPr>
          <w:rStyle w:val="FootnoteReference"/>
        </w:rPr>
        <w:footnoteRef/>
      </w:r>
      <w:r>
        <w:t xml:space="preserve"> See e.g., </w:t>
      </w:r>
      <w:r w:rsidRPr="00B2613B">
        <w:t>Campbell and</w:t>
      </w:r>
      <w:r>
        <w:t xml:space="preserve"> </w:t>
      </w:r>
      <w:proofErr w:type="spellStart"/>
      <w:r w:rsidRPr="00B2613B">
        <w:t>Bickle</w:t>
      </w:r>
      <w:proofErr w:type="spellEnd"/>
      <w:r>
        <w:t>, supra note 5</w:t>
      </w:r>
      <w:r w:rsidRPr="00B2613B">
        <w:t>.</w:t>
      </w:r>
    </w:p>
  </w:footnote>
  <w:footnote w:id="22">
    <w:p w:rsidR="007F7A89" w:rsidRDefault="007F7A89">
      <w:pPr>
        <w:pStyle w:val="FootnoteText"/>
      </w:pPr>
      <w:r>
        <w:rPr>
          <w:rStyle w:val="FootnoteReference"/>
        </w:rPr>
        <w:footnoteRef/>
      </w:r>
      <w:r>
        <w:t xml:space="preserve"> See e.g., National Sustainable Agriculture Coalition, NSAC’s Blog, “A Closer Look at the 2018 Farm Bill: Local Agriculture Market Program,” January 22, 2019, </w:t>
      </w:r>
      <w:hyperlink r:id="rId16" w:history="1">
        <w:r w:rsidRPr="00653F6D">
          <w:rPr>
            <w:rStyle w:val="Hyperlink"/>
          </w:rPr>
          <w:t>http://sustainableagriculture.net/blog/2018-farm-bill-local-agriculture-market-program/</w:t>
        </w:r>
      </w:hyperlink>
      <w:r>
        <w:t xml:space="preserve">; </w:t>
      </w:r>
      <w:r w:rsidR="007032E4" w:rsidRPr="007032E4">
        <w:t xml:space="preserve">Ellison, B. "The Farm Bill Looks to Tackle Food Loss and Waste." </w:t>
      </w:r>
      <w:proofErr w:type="spellStart"/>
      <w:r w:rsidR="007032E4" w:rsidRPr="007032E4">
        <w:t>farmdoc</w:t>
      </w:r>
      <w:proofErr w:type="spellEnd"/>
      <w:r w:rsidR="007032E4" w:rsidRPr="007032E4">
        <w:t xml:space="preserve"> daily (9):123, Department of Agricultural and Consumer Economics, University of Illinois at Urbana-Champaign, July 3, 2019</w:t>
      </w:r>
      <w:r w:rsidR="007032E4">
        <w:t xml:space="preserve">, </w:t>
      </w:r>
      <w:hyperlink r:id="rId17" w:history="1">
        <w:r w:rsidR="007032E4" w:rsidRPr="00653F6D">
          <w:rPr>
            <w:rStyle w:val="Hyperlink"/>
          </w:rPr>
          <w:t>https://farmdocdaily.illinois.edu/2019/07/the-farm-bill-looks-to-tackle-food-loss-and-waste.html</w:t>
        </w:r>
      </w:hyperlink>
      <w:r w:rsidR="007032E4">
        <w:t xml:space="preserve">; </w:t>
      </w:r>
      <w:r>
        <w:t xml:space="preserve">G20 Insights, Policy Area: Food Security and Sustainable Agriculture, </w:t>
      </w:r>
      <w:hyperlink r:id="rId18" w:history="1">
        <w:r w:rsidRPr="00653F6D">
          <w:rPr>
            <w:rStyle w:val="Hyperlink"/>
          </w:rPr>
          <w:t>https://www.g20-insights.org/policy_area/food-security-and-sustainable-agriculture/</w:t>
        </w:r>
      </w:hyperlink>
      <w:r>
        <w:t xml:space="preserve">.  </w:t>
      </w:r>
    </w:p>
  </w:footnote>
  <w:footnote w:id="23">
    <w:p w:rsidR="00320920" w:rsidRDefault="00320920">
      <w:pPr>
        <w:pStyle w:val="FootnoteText"/>
      </w:pPr>
      <w:r>
        <w:rPr>
          <w:rStyle w:val="FootnoteReference"/>
        </w:rPr>
        <w:footnoteRef/>
      </w:r>
      <w:r>
        <w:t xml:space="preserve"> See e.g., </w:t>
      </w:r>
      <w:r w:rsidRPr="00801542">
        <w:t xml:space="preserve">Phelps, Jess R. </w:t>
      </w:r>
      <w:r>
        <w:t>“</w:t>
      </w:r>
      <w:r w:rsidRPr="00801542">
        <w:t xml:space="preserve">Conservation, </w:t>
      </w:r>
      <w:proofErr w:type="spellStart"/>
      <w:r w:rsidRPr="00801542">
        <w:t>Regionality</w:t>
      </w:r>
      <w:proofErr w:type="spellEnd"/>
      <w:r w:rsidRPr="00801542">
        <w:t>, and the Farm Bill.</w:t>
      </w:r>
      <w:r>
        <w:t>”</w:t>
      </w:r>
      <w:r w:rsidRPr="00801542">
        <w:t xml:space="preserve"> </w:t>
      </w:r>
      <w:r w:rsidRPr="00801542">
        <w:rPr>
          <w:i/>
          <w:iCs/>
        </w:rPr>
        <w:t>Me. L. Rev</w:t>
      </w:r>
      <w:r w:rsidRPr="00801542">
        <w:t>. 71 (2018): 293</w:t>
      </w:r>
      <w:r>
        <w:t xml:space="preserve">; </w:t>
      </w:r>
      <w:r w:rsidRPr="00320920">
        <w:t xml:space="preserve">Coppess, Jonathan W. </w:t>
      </w:r>
      <w:r>
        <w:t>“</w:t>
      </w:r>
      <w:r w:rsidRPr="00320920">
        <w:t>A Perspective on Agricultural Policy in the Age of Nutrient Loss.</w:t>
      </w:r>
      <w:r>
        <w:t>”</w:t>
      </w:r>
      <w:r w:rsidRPr="00320920">
        <w:t xml:space="preserve"> </w:t>
      </w:r>
      <w:r w:rsidRPr="00320920">
        <w:rPr>
          <w:i/>
          <w:iCs/>
        </w:rPr>
        <w:t>Drake J. Agric. L.</w:t>
      </w:r>
      <w:r w:rsidRPr="00320920">
        <w:t xml:space="preserve"> 23 (2018): 29</w:t>
      </w:r>
      <w:r>
        <w:t>;</w:t>
      </w:r>
      <w:r w:rsidRPr="00320920">
        <w:t xml:space="preserve"> Coppess, Jonathan. </w:t>
      </w:r>
      <w:r>
        <w:t>“</w:t>
      </w:r>
      <w:r w:rsidRPr="00320920">
        <w:t>A Return to the Crossroads: Farming, Nutrient Loss, and Conservation.</w:t>
      </w:r>
      <w:r>
        <w:t>”</w:t>
      </w:r>
      <w:r w:rsidRPr="00320920">
        <w:t xml:space="preserve"> </w:t>
      </w:r>
      <w:r w:rsidRPr="00320920">
        <w:rPr>
          <w:i/>
          <w:iCs/>
        </w:rPr>
        <w:t>UALR L. Rev.</w:t>
      </w:r>
      <w:r w:rsidRPr="00320920">
        <w:t xml:space="preserve"> 39 (2016): 351.</w:t>
      </w:r>
      <w:r>
        <w:t xml:space="preserve"> </w:t>
      </w:r>
    </w:p>
  </w:footnote>
  <w:footnote w:id="24">
    <w:p w:rsidR="00801542" w:rsidRDefault="00801542">
      <w:pPr>
        <w:pStyle w:val="FootnoteText"/>
      </w:pPr>
      <w:r>
        <w:rPr>
          <w:rStyle w:val="FootnoteReference"/>
        </w:rPr>
        <w:footnoteRef/>
      </w:r>
      <w:r>
        <w:t xml:space="preserve"> See e.g., </w:t>
      </w:r>
      <w:r w:rsidR="00320920" w:rsidRPr="002D206F">
        <w:t xml:space="preserve">Doering, Otto. </w:t>
      </w:r>
      <w:r w:rsidR="00320920">
        <w:t>“</w:t>
      </w:r>
      <w:r w:rsidR="00320920" w:rsidRPr="002D206F">
        <w:t>Federal policies as incentives or disincentives to ecologically sustainable agricultural systems.</w:t>
      </w:r>
      <w:r w:rsidR="00320920">
        <w:t>”</w:t>
      </w:r>
      <w:r w:rsidR="00320920" w:rsidRPr="002D206F">
        <w:t xml:space="preserve"> In </w:t>
      </w:r>
      <w:r w:rsidR="00320920" w:rsidRPr="002D206F">
        <w:rPr>
          <w:i/>
          <w:iCs/>
        </w:rPr>
        <w:t>Integrating Sustainable Agriculture, Ecology, and Environmental Policy</w:t>
      </w:r>
      <w:r w:rsidR="00320920" w:rsidRPr="002D206F">
        <w:t>, pp. 21-36</w:t>
      </w:r>
      <w:r w:rsidR="00320920">
        <w:t xml:space="preserve"> (</w:t>
      </w:r>
      <w:r w:rsidR="00320920" w:rsidRPr="002D206F">
        <w:t>Routledge, 2018</w:t>
      </w:r>
      <w:r w:rsidR="00320920">
        <w:t>)</w:t>
      </w:r>
      <w:r>
        <w:t xml:space="preserve">; </w:t>
      </w:r>
      <w:r w:rsidR="002D206F" w:rsidRPr="002D206F">
        <w:t xml:space="preserve">Jordan, Anna L. </w:t>
      </w:r>
      <w:r w:rsidR="002D206F">
        <w:t>“</w:t>
      </w:r>
      <w:r w:rsidR="002D206F" w:rsidRPr="002D206F">
        <w:t>The Commercialization of Conservation: Using Economic Principles to Promote Sustainability.</w:t>
      </w:r>
      <w:r w:rsidR="002D206F">
        <w:t>”</w:t>
      </w:r>
      <w:r w:rsidR="002D206F" w:rsidRPr="002D206F">
        <w:t xml:space="preserve"> </w:t>
      </w:r>
      <w:r w:rsidR="002D206F" w:rsidRPr="002D206F">
        <w:rPr>
          <w:i/>
          <w:iCs/>
        </w:rPr>
        <w:t xml:space="preserve">Drake J. Agric. L. </w:t>
      </w:r>
      <w:r w:rsidR="002D206F" w:rsidRPr="002D206F">
        <w:t>22 (2017): 383.</w:t>
      </w:r>
    </w:p>
  </w:footnote>
  <w:footnote w:id="25">
    <w:p w:rsidR="003F06EE" w:rsidRDefault="003F06EE">
      <w:pPr>
        <w:pStyle w:val="FootnoteText"/>
      </w:pPr>
      <w:r>
        <w:rPr>
          <w:rStyle w:val="FootnoteReference"/>
        </w:rPr>
        <w:footnoteRef/>
      </w:r>
      <w:r>
        <w:t xml:space="preserve"> </w:t>
      </w:r>
      <w:r w:rsidR="00371749">
        <w:t>See e.g.,</w:t>
      </w:r>
      <w:r w:rsidR="007F7A89">
        <w:t xml:space="preserve"> S</w:t>
      </w:r>
      <w:r w:rsidR="00371749">
        <w:t xml:space="preserve">ustainable Food Policy Alliance, Issue, Environment, </w:t>
      </w:r>
      <w:hyperlink r:id="rId19" w:history="1">
        <w:r w:rsidR="00371749" w:rsidRPr="00653F6D">
          <w:rPr>
            <w:rStyle w:val="Hyperlink"/>
          </w:rPr>
          <w:t>https://foodpolicyalliance.org/issue/environment/</w:t>
        </w:r>
      </w:hyperlink>
      <w:r w:rsidR="00371749">
        <w:t xml:space="preserve">; </w:t>
      </w:r>
      <w:proofErr w:type="spellStart"/>
      <w:r w:rsidR="007032E4" w:rsidRPr="007032E4">
        <w:t>Chkanikova</w:t>
      </w:r>
      <w:proofErr w:type="spellEnd"/>
      <w:r w:rsidR="007032E4" w:rsidRPr="007032E4">
        <w:t xml:space="preserve">, Olga, and Oksana Mont. </w:t>
      </w:r>
      <w:r w:rsidR="007032E4">
        <w:t>“</w:t>
      </w:r>
      <w:r w:rsidR="007032E4" w:rsidRPr="007032E4">
        <w:t>Corporate supply chain responsibility: drivers and barriers for sustainable food retailing.</w:t>
      </w:r>
      <w:r w:rsidR="007032E4">
        <w:t>”</w:t>
      </w:r>
      <w:r w:rsidR="007032E4" w:rsidRPr="007032E4">
        <w:t xml:space="preserve"> </w:t>
      </w:r>
      <w:r w:rsidR="007032E4" w:rsidRPr="007032E4">
        <w:rPr>
          <w:i/>
          <w:iCs/>
        </w:rPr>
        <w:t>Corporate Social Responsibility and Environmental Management</w:t>
      </w:r>
      <w:r w:rsidR="007032E4" w:rsidRPr="007032E4">
        <w:t xml:space="preserve"> 22, no. 2 (2015): 65-8</w:t>
      </w:r>
      <w:r w:rsidR="007032E4">
        <w:t xml:space="preserve">2; </w:t>
      </w:r>
      <w:proofErr w:type="spellStart"/>
      <w:r w:rsidR="007032E4" w:rsidRPr="007032E4">
        <w:t>Vorley</w:t>
      </w:r>
      <w:proofErr w:type="spellEnd"/>
      <w:r w:rsidR="007032E4" w:rsidRPr="007032E4">
        <w:t xml:space="preserve">, Bill. </w:t>
      </w:r>
      <w:r w:rsidR="007032E4">
        <w:t>“</w:t>
      </w:r>
      <w:r w:rsidR="007032E4" w:rsidRPr="007032E4">
        <w:t xml:space="preserve">The chains of agriculture: sustainability and the restructuring of </w:t>
      </w:r>
      <w:proofErr w:type="spellStart"/>
      <w:r w:rsidR="007032E4" w:rsidRPr="007032E4">
        <w:t>agri</w:t>
      </w:r>
      <w:proofErr w:type="spellEnd"/>
      <w:r w:rsidR="007032E4" w:rsidRPr="007032E4">
        <w:t>-food markets.</w:t>
      </w:r>
      <w:r w:rsidR="007032E4">
        <w:t>”</w:t>
      </w:r>
      <w:r w:rsidR="007032E4" w:rsidRPr="007032E4">
        <w:t xml:space="preserve"> (2001)</w:t>
      </w:r>
      <w:r w:rsidR="007032E4">
        <w:t xml:space="preserve">, </w:t>
      </w:r>
      <w:hyperlink r:id="rId20" w:history="1">
        <w:r w:rsidR="007032E4" w:rsidRPr="00653F6D">
          <w:rPr>
            <w:rStyle w:val="Hyperlink"/>
          </w:rPr>
          <w:t>https://www.researchgate.net/profile/William_Vorley/publication/237534788_The_Chains_of_Agriculture_Sustainability_and_the_Restructuring_of_Agri-food_Markets/links/54a6e2220cf257a6360aaa1a.pdf</w:t>
        </w:r>
      </w:hyperlink>
      <w:r w:rsidR="007032E4">
        <w:t xml:space="preserve">. </w:t>
      </w:r>
    </w:p>
  </w:footnote>
  <w:footnote w:id="26">
    <w:p w:rsidR="00AA0083" w:rsidRDefault="00AA0083" w:rsidP="00AA0083">
      <w:pPr>
        <w:pStyle w:val="FootnoteText"/>
      </w:pPr>
      <w:r>
        <w:rPr>
          <w:rStyle w:val="FootnoteReference"/>
        </w:rPr>
        <w:footnoteRef/>
      </w:r>
      <w:r>
        <w:t xml:space="preserve"> See </w:t>
      </w:r>
      <w:r w:rsidR="00661450">
        <w:t>e.g.</w:t>
      </w:r>
      <w:r>
        <w:t>,</w:t>
      </w:r>
      <w:r w:rsidR="002D206F" w:rsidRPr="002D206F">
        <w:t xml:space="preserve"> </w:t>
      </w:r>
      <w:proofErr w:type="spellStart"/>
      <w:r w:rsidR="002D206F" w:rsidRPr="002D206F">
        <w:t>Lehner</w:t>
      </w:r>
      <w:proofErr w:type="spellEnd"/>
      <w:r w:rsidR="002D206F" w:rsidRPr="002D206F">
        <w:t xml:space="preserve">, Peter H., and Nathan A. Rosenberg. </w:t>
      </w:r>
      <w:r w:rsidR="002D206F">
        <w:t>“</w:t>
      </w:r>
      <w:r w:rsidR="002D206F" w:rsidRPr="002D206F">
        <w:t>A Farm Bill to Help Farmers Weather Climate Change.</w:t>
      </w:r>
      <w:r w:rsidR="002D206F">
        <w:t>”</w:t>
      </w:r>
      <w:r w:rsidR="002D206F" w:rsidRPr="002D206F">
        <w:t xml:space="preserve"> </w:t>
      </w:r>
      <w:r w:rsidR="002D206F" w:rsidRPr="002D206F">
        <w:rPr>
          <w:i/>
          <w:iCs/>
        </w:rPr>
        <w:t xml:space="preserve">J. Food L. &amp; </w:t>
      </w:r>
      <w:proofErr w:type="spellStart"/>
      <w:r w:rsidR="002D206F" w:rsidRPr="002D206F">
        <w:rPr>
          <w:i/>
          <w:iCs/>
        </w:rPr>
        <w:t>Pol'y</w:t>
      </w:r>
      <w:proofErr w:type="spellEnd"/>
      <w:r w:rsidR="002D206F" w:rsidRPr="002D206F">
        <w:rPr>
          <w:i/>
          <w:iCs/>
        </w:rPr>
        <w:t xml:space="preserve"> </w:t>
      </w:r>
      <w:r w:rsidR="002D206F" w:rsidRPr="002D206F">
        <w:t>14 (2018): 39</w:t>
      </w:r>
      <w:r w:rsidR="002D206F">
        <w:t>;</w:t>
      </w:r>
      <w:r w:rsidR="00661450">
        <w:t xml:space="preserve"> Juliette </w:t>
      </w:r>
      <w:proofErr w:type="spellStart"/>
      <w:r w:rsidR="00661450">
        <w:t>Majo</w:t>
      </w:r>
      <w:proofErr w:type="spellEnd"/>
      <w:r w:rsidR="00661450">
        <w:t>, “Climate change and a new agricultural system,” Institute for Agriculture &amp; Trade Policy</w:t>
      </w:r>
      <w:proofErr w:type="gramStart"/>
      <w:r w:rsidR="00661450">
        <w:t xml:space="preserve">, </w:t>
      </w:r>
      <w:r>
        <w:t xml:space="preserve"> </w:t>
      </w:r>
      <w:proofErr w:type="gramEnd"/>
      <w:r w:rsidR="009251EC">
        <w:fldChar w:fldCharType="begin"/>
      </w:r>
      <w:r w:rsidR="009251EC">
        <w:instrText xml:space="preserve"> HYPERLINK "https://www.iatp.org/climate-change-and-new-agricultural-system" </w:instrText>
      </w:r>
      <w:r w:rsidR="009251EC">
        <w:fldChar w:fldCharType="separate"/>
      </w:r>
      <w:r w:rsidRPr="00005961">
        <w:rPr>
          <w:rStyle w:val="Hyperlink"/>
        </w:rPr>
        <w:t>https://www.iatp.org/climate-change-and-new-agricultural-system</w:t>
      </w:r>
      <w:r w:rsidR="009251EC">
        <w:rPr>
          <w:rStyle w:val="Hyperlink"/>
        </w:rPr>
        <w:fldChar w:fldCharType="end"/>
      </w:r>
      <w:r>
        <w:t xml:space="preserve">.  </w:t>
      </w:r>
      <w:r w:rsidR="00371749">
        <w:t xml:space="preserve">See also, Sustainable Food Policy Alliance, Climate Policy Principles, </w:t>
      </w:r>
      <w:hyperlink r:id="rId21" w:history="1">
        <w:r w:rsidR="00371749" w:rsidRPr="00653F6D">
          <w:rPr>
            <w:rStyle w:val="Hyperlink"/>
          </w:rPr>
          <w:t>https://foodpolicyalliance.org/news/sfpa-climate-policy-principles/</w:t>
        </w:r>
      </w:hyperlink>
      <w:r w:rsidR="00371749">
        <w:t xml:space="preserve">.  </w:t>
      </w:r>
    </w:p>
  </w:footnote>
  <w:footnote w:id="27">
    <w:p w:rsidR="002A2C0A" w:rsidRDefault="002A2C0A" w:rsidP="002A2C0A">
      <w:pPr>
        <w:pStyle w:val="FootnoteText"/>
      </w:pPr>
      <w:r>
        <w:rPr>
          <w:rStyle w:val="FootnoteReference"/>
        </w:rPr>
        <w:footnoteRef/>
      </w:r>
      <w:r>
        <w:t xml:space="preserve"> See e.g., </w:t>
      </w:r>
      <w:proofErr w:type="spellStart"/>
      <w:r w:rsidRPr="00CB388D">
        <w:t>Wolfert</w:t>
      </w:r>
      <w:proofErr w:type="spellEnd"/>
      <w:r w:rsidRPr="00CB388D">
        <w:t xml:space="preserve">, </w:t>
      </w:r>
      <w:proofErr w:type="spellStart"/>
      <w:r w:rsidRPr="00CB388D">
        <w:t>Sjaak</w:t>
      </w:r>
      <w:proofErr w:type="spellEnd"/>
      <w:r w:rsidRPr="00CB388D">
        <w:t xml:space="preserve">, Lan Ge, </w:t>
      </w:r>
      <w:proofErr w:type="spellStart"/>
      <w:r w:rsidRPr="00CB388D">
        <w:t>Cor</w:t>
      </w:r>
      <w:proofErr w:type="spellEnd"/>
      <w:r w:rsidRPr="00CB388D">
        <w:t xml:space="preserve"> </w:t>
      </w:r>
      <w:proofErr w:type="spellStart"/>
      <w:r w:rsidRPr="00CB388D">
        <w:t>Verdouw</w:t>
      </w:r>
      <w:proofErr w:type="spellEnd"/>
      <w:r w:rsidRPr="00CB388D">
        <w:t>, and Marc-</w:t>
      </w:r>
      <w:proofErr w:type="spellStart"/>
      <w:r w:rsidRPr="00CB388D">
        <w:t>Jeroen</w:t>
      </w:r>
      <w:proofErr w:type="spellEnd"/>
      <w:r w:rsidRPr="00CB388D">
        <w:t xml:space="preserve"> </w:t>
      </w:r>
      <w:proofErr w:type="spellStart"/>
      <w:r w:rsidRPr="00CB388D">
        <w:t>Bogaardt</w:t>
      </w:r>
      <w:proofErr w:type="spellEnd"/>
      <w:r w:rsidRPr="00CB388D">
        <w:t xml:space="preserve">. </w:t>
      </w:r>
      <w:r>
        <w:t>“</w:t>
      </w:r>
      <w:r w:rsidRPr="00CB388D">
        <w:t>Big data in smart farming–a review.</w:t>
      </w:r>
      <w:r>
        <w:t>”</w:t>
      </w:r>
      <w:r w:rsidRPr="00CB388D">
        <w:t xml:space="preserve"> </w:t>
      </w:r>
      <w:r w:rsidRPr="002A2C0A">
        <w:rPr>
          <w:i/>
          <w:iCs/>
        </w:rPr>
        <w:t>Agricultural Systems</w:t>
      </w:r>
      <w:r>
        <w:t xml:space="preserve"> 153 (2017): 69-80, </w:t>
      </w:r>
      <w:hyperlink r:id="rId22" w:history="1">
        <w:r w:rsidRPr="00005961">
          <w:rPr>
            <w:rStyle w:val="Hyperlink"/>
          </w:rPr>
          <w:t>https://www.sciencedirect.com/science/article/pii/S0308521X16303754</w:t>
        </w:r>
      </w:hyperlink>
      <w:proofErr w:type="gramStart"/>
      <w:r>
        <w:t xml:space="preserve">;  </w:t>
      </w:r>
      <w:proofErr w:type="spellStart"/>
      <w:r w:rsidRPr="002A2C0A">
        <w:t>Kamble</w:t>
      </w:r>
      <w:proofErr w:type="spellEnd"/>
      <w:proofErr w:type="gramEnd"/>
      <w:r w:rsidRPr="002A2C0A">
        <w:t xml:space="preserve">, </w:t>
      </w:r>
      <w:proofErr w:type="spellStart"/>
      <w:r w:rsidRPr="002A2C0A">
        <w:t>Sachin</w:t>
      </w:r>
      <w:proofErr w:type="spellEnd"/>
      <w:r w:rsidRPr="002A2C0A">
        <w:t xml:space="preserve"> S., </w:t>
      </w:r>
      <w:proofErr w:type="spellStart"/>
      <w:r w:rsidRPr="002A2C0A">
        <w:t>Angappa</w:t>
      </w:r>
      <w:proofErr w:type="spellEnd"/>
      <w:r w:rsidRPr="002A2C0A">
        <w:t xml:space="preserve"> </w:t>
      </w:r>
      <w:proofErr w:type="spellStart"/>
      <w:r w:rsidRPr="002A2C0A">
        <w:t>Gunasekaran</w:t>
      </w:r>
      <w:proofErr w:type="spellEnd"/>
      <w:r w:rsidRPr="002A2C0A">
        <w:t xml:space="preserve">, and </w:t>
      </w:r>
      <w:proofErr w:type="spellStart"/>
      <w:r w:rsidRPr="002A2C0A">
        <w:t>Shradha</w:t>
      </w:r>
      <w:proofErr w:type="spellEnd"/>
      <w:r w:rsidRPr="002A2C0A">
        <w:t xml:space="preserve"> A. </w:t>
      </w:r>
      <w:proofErr w:type="spellStart"/>
      <w:r w:rsidRPr="002A2C0A">
        <w:t>Gawankar</w:t>
      </w:r>
      <w:proofErr w:type="spellEnd"/>
      <w:r w:rsidRPr="002A2C0A">
        <w:t xml:space="preserve">. </w:t>
      </w:r>
      <w:r>
        <w:t>“</w:t>
      </w:r>
      <w:r w:rsidRPr="002A2C0A">
        <w:t>Achieving sustainable performance in a data-driven agriculture supply chain: A review for research and applications.</w:t>
      </w:r>
      <w:r>
        <w:t>”</w:t>
      </w:r>
      <w:r w:rsidRPr="002A2C0A">
        <w:t xml:space="preserve"> </w:t>
      </w:r>
      <w:r w:rsidRPr="002A2C0A">
        <w:rPr>
          <w:i/>
          <w:iCs/>
        </w:rPr>
        <w:t>International Journal of Production Economics</w:t>
      </w:r>
      <w:r w:rsidRPr="002A2C0A">
        <w:t xml:space="preserve"> (2019).</w:t>
      </w:r>
    </w:p>
  </w:footnote>
  <w:footnote w:id="28">
    <w:p w:rsidR="00801542" w:rsidRDefault="00801542">
      <w:pPr>
        <w:pStyle w:val="FootnoteText"/>
      </w:pPr>
      <w:r>
        <w:rPr>
          <w:rStyle w:val="FootnoteReference"/>
        </w:rPr>
        <w:footnoteRef/>
      </w:r>
      <w:r>
        <w:t xml:space="preserve"> See e.g., </w:t>
      </w:r>
      <w:proofErr w:type="spellStart"/>
      <w:r w:rsidRPr="00801542">
        <w:t>Saberi</w:t>
      </w:r>
      <w:proofErr w:type="spellEnd"/>
      <w:r w:rsidRPr="00801542">
        <w:t xml:space="preserve">, Sara, </w:t>
      </w:r>
      <w:proofErr w:type="spellStart"/>
      <w:r w:rsidRPr="00801542">
        <w:t>Mahtab</w:t>
      </w:r>
      <w:proofErr w:type="spellEnd"/>
      <w:r w:rsidRPr="00801542">
        <w:t xml:space="preserve"> </w:t>
      </w:r>
      <w:proofErr w:type="spellStart"/>
      <w:r w:rsidRPr="00801542">
        <w:t>Kouhizadeh</w:t>
      </w:r>
      <w:proofErr w:type="spellEnd"/>
      <w:r w:rsidRPr="00801542">
        <w:t xml:space="preserve">, Joseph </w:t>
      </w:r>
      <w:proofErr w:type="spellStart"/>
      <w:r w:rsidRPr="00801542">
        <w:t>Sarkis</w:t>
      </w:r>
      <w:proofErr w:type="spellEnd"/>
      <w:r w:rsidRPr="00801542">
        <w:t xml:space="preserve">, and </w:t>
      </w:r>
      <w:proofErr w:type="spellStart"/>
      <w:r w:rsidRPr="00801542">
        <w:t>Lejia</w:t>
      </w:r>
      <w:proofErr w:type="spellEnd"/>
      <w:r w:rsidRPr="00801542">
        <w:t xml:space="preserve"> Shen. </w:t>
      </w:r>
      <w:r>
        <w:t>“</w:t>
      </w:r>
      <w:proofErr w:type="spellStart"/>
      <w:r w:rsidRPr="00801542">
        <w:t>Blockchain</w:t>
      </w:r>
      <w:proofErr w:type="spellEnd"/>
      <w:r w:rsidRPr="00801542">
        <w:t xml:space="preserve"> technology and its relationships to sustainable supply chain management.</w:t>
      </w:r>
      <w:r>
        <w:t>”</w:t>
      </w:r>
      <w:r w:rsidRPr="00801542">
        <w:t xml:space="preserve"> </w:t>
      </w:r>
      <w:r w:rsidRPr="00801542">
        <w:rPr>
          <w:i/>
          <w:iCs/>
        </w:rPr>
        <w:t>International Journal of Production Research</w:t>
      </w:r>
      <w:r w:rsidRPr="00801542">
        <w:t xml:space="preserve"> 57, no. 7 (2019): 2117-2135.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B0C"/>
    <w:multiLevelType w:val="hybridMultilevel"/>
    <w:tmpl w:val="2D846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76236"/>
    <w:multiLevelType w:val="hybridMultilevel"/>
    <w:tmpl w:val="E14CDE38"/>
    <w:lvl w:ilvl="0" w:tplc="E34A1AE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D3336"/>
    <w:multiLevelType w:val="hybridMultilevel"/>
    <w:tmpl w:val="FC329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430086"/>
    <w:multiLevelType w:val="hybridMultilevel"/>
    <w:tmpl w:val="7B3E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7C7370"/>
    <w:multiLevelType w:val="hybridMultilevel"/>
    <w:tmpl w:val="B4580A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5E32C9"/>
    <w:multiLevelType w:val="hybridMultilevel"/>
    <w:tmpl w:val="27B81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2834E1"/>
    <w:multiLevelType w:val="hybridMultilevel"/>
    <w:tmpl w:val="775227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85A5D"/>
    <w:multiLevelType w:val="hybridMultilevel"/>
    <w:tmpl w:val="EF2867A0"/>
    <w:lvl w:ilvl="0" w:tplc="5B540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93AF9"/>
    <w:multiLevelType w:val="hybridMultilevel"/>
    <w:tmpl w:val="673ABB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BA7479"/>
    <w:multiLevelType w:val="hybridMultilevel"/>
    <w:tmpl w:val="B8E820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0E1668"/>
    <w:multiLevelType w:val="hybridMultilevel"/>
    <w:tmpl w:val="789EC1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DC5325"/>
    <w:multiLevelType w:val="hybridMultilevel"/>
    <w:tmpl w:val="F904AE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3"/>
  </w:num>
  <w:num w:numId="6">
    <w:abstractNumId w:val="5"/>
  </w:num>
  <w:num w:numId="7">
    <w:abstractNumId w:val="7"/>
  </w:num>
  <w:num w:numId="8">
    <w:abstractNumId w:val="10"/>
  </w:num>
  <w:num w:numId="9">
    <w:abstractNumId w:val="0"/>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04"/>
    <w:rsid w:val="00021AED"/>
    <w:rsid w:val="000673C0"/>
    <w:rsid w:val="00095AEC"/>
    <w:rsid w:val="000A3FEC"/>
    <w:rsid w:val="000D4A09"/>
    <w:rsid w:val="000E427F"/>
    <w:rsid w:val="00184F2E"/>
    <w:rsid w:val="001D7A60"/>
    <w:rsid w:val="00215991"/>
    <w:rsid w:val="002A2C0A"/>
    <w:rsid w:val="002D206F"/>
    <w:rsid w:val="002E2D3F"/>
    <w:rsid w:val="00320920"/>
    <w:rsid w:val="00332572"/>
    <w:rsid w:val="00371749"/>
    <w:rsid w:val="003B1A73"/>
    <w:rsid w:val="003D60B1"/>
    <w:rsid w:val="003F06EE"/>
    <w:rsid w:val="0042119C"/>
    <w:rsid w:val="00437F94"/>
    <w:rsid w:val="0056088B"/>
    <w:rsid w:val="005B76C0"/>
    <w:rsid w:val="0061028E"/>
    <w:rsid w:val="00661450"/>
    <w:rsid w:val="006E3F04"/>
    <w:rsid w:val="007032E4"/>
    <w:rsid w:val="007F4B69"/>
    <w:rsid w:val="007F7A89"/>
    <w:rsid w:val="00801542"/>
    <w:rsid w:val="00806570"/>
    <w:rsid w:val="00822E4D"/>
    <w:rsid w:val="008C6E04"/>
    <w:rsid w:val="009251EC"/>
    <w:rsid w:val="009A794A"/>
    <w:rsid w:val="009E49E5"/>
    <w:rsid w:val="00A07EB6"/>
    <w:rsid w:val="00A440D8"/>
    <w:rsid w:val="00A820D7"/>
    <w:rsid w:val="00AA0083"/>
    <w:rsid w:val="00B2613B"/>
    <w:rsid w:val="00B51CC5"/>
    <w:rsid w:val="00C90BE2"/>
    <w:rsid w:val="00CB388D"/>
    <w:rsid w:val="00FA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0E8E"/>
  <w15:chartTrackingRefBased/>
  <w15:docId w15:val="{225B72B1-22E5-4567-8FF9-AD9D0EFB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04"/>
    <w:pPr>
      <w:ind w:left="720"/>
      <w:contextualSpacing/>
    </w:pPr>
  </w:style>
  <w:style w:type="paragraph" w:styleId="FootnoteText">
    <w:name w:val="footnote text"/>
    <w:basedOn w:val="Normal"/>
    <w:link w:val="FootnoteTextChar"/>
    <w:uiPriority w:val="99"/>
    <w:semiHidden/>
    <w:unhideWhenUsed/>
    <w:rsid w:val="00437F94"/>
    <w:rPr>
      <w:sz w:val="20"/>
      <w:szCs w:val="20"/>
    </w:rPr>
  </w:style>
  <w:style w:type="character" w:customStyle="1" w:styleId="FootnoteTextChar">
    <w:name w:val="Footnote Text Char"/>
    <w:basedOn w:val="DefaultParagraphFont"/>
    <w:link w:val="FootnoteText"/>
    <w:uiPriority w:val="99"/>
    <w:semiHidden/>
    <w:rsid w:val="00437F94"/>
    <w:rPr>
      <w:sz w:val="20"/>
      <w:szCs w:val="20"/>
    </w:rPr>
  </w:style>
  <w:style w:type="character" w:styleId="FootnoteReference">
    <w:name w:val="footnote reference"/>
    <w:basedOn w:val="DefaultParagraphFont"/>
    <w:uiPriority w:val="99"/>
    <w:semiHidden/>
    <w:unhideWhenUsed/>
    <w:rsid w:val="00437F94"/>
    <w:rPr>
      <w:vertAlign w:val="superscript"/>
    </w:rPr>
  </w:style>
  <w:style w:type="character" w:styleId="Hyperlink">
    <w:name w:val="Hyperlink"/>
    <w:basedOn w:val="DefaultParagraphFont"/>
    <w:uiPriority w:val="99"/>
    <w:unhideWhenUsed/>
    <w:rsid w:val="008C6E04"/>
    <w:rPr>
      <w:color w:val="0000FF"/>
      <w:u w:val="single"/>
    </w:rPr>
  </w:style>
  <w:style w:type="character" w:styleId="CommentReference">
    <w:name w:val="annotation reference"/>
    <w:basedOn w:val="DefaultParagraphFont"/>
    <w:uiPriority w:val="99"/>
    <w:semiHidden/>
    <w:unhideWhenUsed/>
    <w:rsid w:val="008C6E04"/>
    <w:rPr>
      <w:sz w:val="16"/>
      <w:szCs w:val="16"/>
    </w:rPr>
  </w:style>
  <w:style w:type="paragraph" w:styleId="CommentText">
    <w:name w:val="annotation text"/>
    <w:basedOn w:val="Normal"/>
    <w:link w:val="CommentTextChar"/>
    <w:uiPriority w:val="99"/>
    <w:unhideWhenUsed/>
    <w:rsid w:val="008C6E04"/>
    <w:rPr>
      <w:sz w:val="20"/>
      <w:szCs w:val="20"/>
    </w:rPr>
  </w:style>
  <w:style w:type="character" w:customStyle="1" w:styleId="CommentTextChar">
    <w:name w:val="Comment Text Char"/>
    <w:basedOn w:val="DefaultParagraphFont"/>
    <w:link w:val="CommentText"/>
    <w:uiPriority w:val="99"/>
    <w:rsid w:val="008C6E04"/>
    <w:rPr>
      <w:sz w:val="20"/>
      <w:szCs w:val="20"/>
    </w:rPr>
  </w:style>
  <w:style w:type="paragraph" w:styleId="Header">
    <w:name w:val="header"/>
    <w:basedOn w:val="Normal"/>
    <w:link w:val="HeaderChar"/>
    <w:uiPriority w:val="99"/>
    <w:unhideWhenUsed/>
    <w:rsid w:val="00332572"/>
    <w:pPr>
      <w:tabs>
        <w:tab w:val="center" w:pos="4680"/>
        <w:tab w:val="right" w:pos="9360"/>
      </w:tabs>
    </w:pPr>
  </w:style>
  <w:style w:type="character" w:customStyle="1" w:styleId="HeaderChar">
    <w:name w:val="Header Char"/>
    <w:basedOn w:val="DefaultParagraphFont"/>
    <w:link w:val="Header"/>
    <w:uiPriority w:val="99"/>
    <w:rsid w:val="00332572"/>
  </w:style>
  <w:style w:type="paragraph" w:styleId="Footer">
    <w:name w:val="footer"/>
    <w:basedOn w:val="Normal"/>
    <w:link w:val="FooterChar"/>
    <w:uiPriority w:val="99"/>
    <w:unhideWhenUsed/>
    <w:rsid w:val="00332572"/>
    <w:pPr>
      <w:tabs>
        <w:tab w:val="center" w:pos="4680"/>
        <w:tab w:val="right" w:pos="9360"/>
      </w:tabs>
    </w:pPr>
  </w:style>
  <w:style w:type="character" w:customStyle="1" w:styleId="FooterChar">
    <w:name w:val="Footer Char"/>
    <w:basedOn w:val="DefaultParagraphFont"/>
    <w:link w:val="Footer"/>
    <w:uiPriority w:val="99"/>
    <w:rsid w:val="00332572"/>
  </w:style>
  <w:style w:type="character" w:styleId="FollowedHyperlink">
    <w:name w:val="FollowedHyperlink"/>
    <w:basedOn w:val="DefaultParagraphFont"/>
    <w:uiPriority w:val="99"/>
    <w:semiHidden/>
    <w:unhideWhenUsed/>
    <w:rsid w:val="009A794A"/>
    <w:rPr>
      <w:color w:val="954F72" w:themeColor="followedHyperlink"/>
      <w:u w:val="single"/>
    </w:rPr>
  </w:style>
  <w:style w:type="character" w:customStyle="1" w:styleId="UnresolvedMention">
    <w:name w:val="Unresolved Mention"/>
    <w:basedOn w:val="DefaultParagraphFont"/>
    <w:uiPriority w:val="99"/>
    <w:semiHidden/>
    <w:unhideWhenUsed/>
    <w:rsid w:val="003B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60174">
      <w:bodyDiv w:val="1"/>
      <w:marLeft w:val="0"/>
      <w:marRight w:val="0"/>
      <w:marTop w:val="0"/>
      <w:marBottom w:val="0"/>
      <w:divBdr>
        <w:top w:val="none" w:sz="0" w:space="0" w:color="auto"/>
        <w:left w:val="none" w:sz="0" w:space="0" w:color="auto"/>
        <w:bottom w:val="none" w:sz="0" w:space="0" w:color="auto"/>
        <w:right w:val="none" w:sz="0" w:space="0" w:color="auto"/>
      </w:divBdr>
      <w:divsChild>
        <w:div w:id="110357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riorg.s3.amazonaws.com/s3fs-public/volumetric-water-benefit-accounting.pdf" TargetMode="External"/><Relationship Id="rId13" Type="http://schemas.openxmlformats.org/officeDocument/2006/relationships/hyperlink" Target="https://fieldtomarket.org/our-program/fieldprint-projects-directory/" TargetMode="External"/><Relationship Id="rId18" Type="http://schemas.openxmlformats.org/officeDocument/2006/relationships/hyperlink" Target="https://www.g20-insights.org/policy_area/food-security-and-sustainable-agriculture/" TargetMode="External"/><Relationship Id="rId3" Type="http://schemas.openxmlformats.org/officeDocument/2006/relationships/hyperlink" Target="https://www.sare.org/" TargetMode="External"/><Relationship Id="rId21" Type="http://schemas.openxmlformats.org/officeDocument/2006/relationships/hyperlink" Target="https://foodpolicyalliance.org/news/sfpa-climate-policy-principles/" TargetMode="External"/><Relationship Id="rId7" Type="http://schemas.openxmlformats.org/officeDocument/2006/relationships/hyperlink" Target="https://medium.com/circulatenews/regenerative-agriculture-how-to-grow-food-for-a-healthy-planet-9a5f637c0f3e" TargetMode="External"/><Relationship Id="rId12" Type="http://schemas.openxmlformats.org/officeDocument/2006/relationships/hyperlink" Target="https://sustainableagriculture.net/about-us/" TargetMode="External"/><Relationship Id="rId17" Type="http://schemas.openxmlformats.org/officeDocument/2006/relationships/hyperlink" Target="https://farmdocdaily.illinois.edu/2019/07/the-farm-bill-looks-to-tackle-food-loss-and-waste.html" TargetMode="External"/><Relationship Id="rId2" Type="http://schemas.openxmlformats.org/officeDocument/2006/relationships/hyperlink" Target="https://nifa.usda.gov/program/sustainable-agriculture-program" TargetMode="External"/><Relationship Id="rId16" Type="http://schemas.openxmlformats.org/officeDocument/2006/relationships/hyperlink" Target="http://sustainableagriculture.net/blog/2018-farm-bill-local-agriculture-market-program/" TargetMode="External"/><Relationship Id="rId20" Type="http://schemas.openxmlformats.org/officeDocument/2006/relationships/hyperlink" Target="https://www.researchgate.net/profile/William_Vorley/publication/237534788_The_Chains_of_Agriculture_Sustainability_and_the_Restructuring_of_Agri-food_Markets/links/54a6e2220cf257a6360aaa1a.pdf" TargetMode="External"/><Relationship Id="rId1" Type="http://schemas.openxmlformats.org/officeDocument/2006/relationships/hyperlink" Target="https://www.nielsen.com/us/en/insights/article/2018/was-2018-the-year-of-the-influential-sustainable-consumer/" TargetMode="External"/><Relationship Id="rId6" Type="http://schemas.openxmlformats.org/officeDocument/2006/relationships/hyperlink" Target="http://ase.tufts.edu/gdae/Pubs/climate/ClimatePolicyBrief9.pdf" TargetMode="External"/><Relationship Id="rId11" Type="http://schemas.openxmlformats.org/officeDocument/2006/relationships/hyperlink" Target="https://www.danone.com/about-danone/sustainable-value-creation/our-company-goals.html" TargetMode="External"/><Relationship Id="rId5" Type="http://schemas.openxmlformats.org/officeDocument/2006/relationships/hyperlink" Target="https://fieldtomarket.org/our-program/sustainability-metrics/" TargetMode="External"/><Relationship Id="rId15" Type="http://schemas.openxmlformats.org/officeDocument/2006/relationships/hyperlink" Target="https://fieldtomarket.org/our-program/cross-sector-partnerships/" TargetMode="External"/><Relationship Id="rId10" Type="http://schemas.openxmlformats.org/officeDocument/2006/relationships/hyperlink" Target="https://fieldtomarket.org/our-members/" TargetMode="External"/><Relationship Id="rId19" Type="http://schemas.openxmlformats.org/officeDocument/2006/relationships/hyperlink" Target="https://foodpolicyalliance.org/issue/environment/" TargetMode="External"/><Relationship Id="rId4" Type="http://schemas.openxmlformats.org/officeDocument/2006/relationships/hyperlink" Target="http://dx.doi.org/10.9752/MS141.05-2014" TargetMode="External"/><Relationship Id="rId9" Type="http://schemas.openxmlformats.org/officeDocument/2006/relationships/hyperlink" Target="http://fieldtomarket.org/media/2018/09/FTM_Metrics-Development-SOP-2018.pdf" TargetMode="External"/><Relationship Id="rId14" Type="http://schemas.openxmlformats.org/officeDocument/2006/relationships/hyperlink" Target="https://fieldtomarket.org/our-program/case-studies/" TargetMode="External"/><Relationship Id="rId22" Type="http://schemas.openxmlformats.org/officeDocument/2006/relationships/hyperlink" Target="https://www.sciencedirect.com/science/article/pii/S0308521X1630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7DA7-8705-4C69-BDCF-663BF922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Coppess, Jonathan</dc:creator>
  <cp:keywords/>
  <dc:description/>
  <cp:lastModifiedBy>Coppess, Jonathan</cp:lastModifiedBy>
  <cp:revision>2</cp:revision>
  <dcterms:created xsi:type="dcterms:W3CDTF">2019-08-25T21:16:00Z</dcterms:created>
  <dcterms:modified xsi:type="dcterms:W3CDTF">2019-08-25T21:16:00Z</dcterms:modified>
</cp:coreProperties>
</file>