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6.0.0 -->
  <w:body>
    <w:p w:rsidR="00AA61D6" w:rsidRPr="00CF51E3" w:rsidP="00ED544E">
      <w:pPr>
        <w:jc w:val="both"/>
        <w:rPr>
          <w:rFonts w:cs="Times New Roman"/>
          <w:sz w:val="22"/>
        </w:rPr>
      </w:pPr>
    </w:p>
    <w:p w:rsidR="00AA61D6" w:rsidRPr="00CF51E3" w:rsidP="00ED544E">
      <w:pPr>
        <w:jc w:val="center"/>
        <w:rPr>
          <w:rFonts w:cs="Times New Roman"/>
          <w:b/>
          <w:sz w:val="22"/>
        </w:rPr>
      </w:pPr>
    </w:p>
    <w:p w:rsidR="00AA61D6" w:rsidRPr="00CF51E3" w:rsidP="00ED544E">
      <w:pPr>
        <w:jc w:val="center"/>
        <w:rPr>
          <w:rFonts w:cs="Times New Roman"/>
          <w:b/>
          <w:sz w:val="22"/>
        </w:rPr>
      </w:pPr>
    </w:p>
    <w:p w:rsidR="00AA61D6" w:rsidRPr="00CF51E3" w:rsidP="00ED544E">
      <w:pPr>
        <w:jc w:val="center"/>
        <w:rPr>
          <w:rFonts w:cs="Times New Roman"/>
          <w:b/>
          <w:sz w:val="22"/>
        </w:rPr>
      </w:pPr>
    </w:p>
    <w:p w:rsidR="00AA61D6" w:rsidRPr="00CF51E3" w:rsidP="00ED544E">
      <w:pPr>
        <w:jc w:val="center"/>
        <w:rPr>
          <w:rFonts w:cs="Times New Roman"/>
          <w:b/>
          <w:sz w:val="22"/>
        </w:rPr>
      </w:pPr>
    </w:p>
    <w:p w:rsidR="00AA61D6" w:rsidRPr="00CF51E3" w:rsidP="00ED544E">
      <w:pPr>
        <w:jc w:val="center"/>
        <w:rPr>
          <w:rFonts w:cs="Times New Roman"/>
          <w:b/>
          <w:sz w:val="22"/>
        </w:rPr>
      </w:pPr>
    </w:p>
    <w:p w:rsidR="00AA61D6" w:rsidRPr="00CF51E3" w:rsidP="00ED544E">
      <w:pPr>
        <w:jc w:val="center"/>
        <w:rPr>
          <w:rFonts w:cs="Times New Roman"/>
          <w:b/>
          <w:sz w:val="22"/>
        </w:rPr>
      </w:pPr>
    </w:p>
    <w:p w:rsidR="00AA61D6" w:rsidRPr="00CF51E3" w:rsidP="00ED544E">
      <w:pPr>
        <w:jc w:val="center"/>
        <w:rPr>
          <w:rFonts w:cs="Times New Roman"/>
          <w:b/>
          <w:sz w:val="22"/>
        </w:rPr>
      </w:pPr>
    </w:p>
    <w:p w:rsidR="00AA61D6" w:rsidRPr="00CF51E3" w:rsidP="00ED544E">
      <w:pPr>
        <w:jc w:val="center"/>
        <w:rPr>
          <w:rFonts w:cs="Times New Roman"/>
          <w:b/>
          <w:sz w:val="22"/>
        </w:rPr>
      </w:pPr>
      <w:r w:rsidRPr="00CF51E3">
        <w:rPr>
          <w:rFonts w:cs="Times New Roman"/>
          <w:b/>
          <w:sz w:val="22"/>
        </w:rPr>
        <w:t>AGRICULTURAL FINANCE</w:t>
      </w:r>
    </w:p>
    <w:p w:rsidR="00AA61D6" w:rsidRPr="00CF51E3" w:rsidP="00ED544E">
      <w:pPr>
        <w:jc w:val="center"/>
        <w:rPr>
          <w:rFonts w:cs="Times New Roman"/>
          <w:b/>
          <w:sz w:val="22"/>
        </w:rPr>
      </w:pPr>
      <w:r w:rsidRPr="00CF51E3">
        <w:rPr>
          <w:rFonts w:cs="Times New Roman"/>
          <w:b/>
          <w:sz w:val="22"/>
        </w:rPr>
        <w:t>201</w:t>
      </w:r>
      <w:r w:rsidRPr="00CF51E3" w:rsidR="008947D7">
        <w:rPr>
          <w:rFonts w:cs="Times New Roman"/>
          <w:b/>
          <w:sz w:val="22"/>
        </w:rPr>
        <w:t>9</w:t>
      </w:r>
      <w:r w:rsidRPr="00CF51E3">
        <w:rPr>
          <w:rFonts w:cs="Times New Roman"/>
          <w:b/>
          <w:sz w:val="22"/>
        </w:rPr>
        <w:t xml:space="preserve"> Case Law Update</w:t>
      </w:r>
    </w:p>
    <w:p w:rsidR="00AA61D6" w:rsidRPr="00CF51E3" w:rsidP="00ED544E">
      <w:pPr>
        <w:jc w:val="center"/>
        <w:rPr>
          <w:rFonts w:cs="Times New Roman"/>
          <w:b/>
          <w:sz w:val="22"/>
        </w:rPr>
      </w:pPr>
    </w:p>
    <w:p w:rsidR="00AA61D6" w:rsidRPr="00CF51E3" w:rsidP="00ED544E">
      <w:pPr>
        <w:jc w:val="center"/>
        <w:rPr>
          <w:rFonts w:cs="Times New Roman"/>
          <w:b/>
          <w:sz w:val="22"/>
        </w:rPr>
      </w:pPr>
    </w:p>
    <w:p w:rsidR="00AA61D6" w:rsidRPr="00CF51E3" w:rsidP="00ED544E">
      <w:pPr>
        <w:jc w:val="center"/>
        <w:rPr>
          <w:rFonts w:cs="Times New Roman"/>
          <w:b/>
          <w:sz w:val="22"/>
        </w:rPr>
      </w:pPr>
    </w:p>
    <w:p w:rsidR="00AA61D6" w:rsidRPr="00CF51E3" w:rsidP="00ED544E">
      <w:pPr>
        <w:jc w:val="center"/>
        <w:rPr>
          <w:rFonts w:cs="Times New Roman"/>
          <w:b/>
          <w:sz w:val="22"/>
        </w:rPr>
      </w:pPr>
    </w:p>
    <w:p w:rsidR="00AA61D6" w:rsidRPr="00CF51E3" w:rsidP="00ED544E">
      <w:pPr>
        <w:jc w:val="center"/>
        <w:rPr>
          <w:rFonts w:cs="Times New Roman"/>
          <w:b/>
          <w:sz w:val="22"/>
        </w:rPr>
      </w:pPr>
    </w:p>
    <w:p w:rsidR="00AA61D6" w:rsidRPr="00CF51E3" w:rsidP="00ED544E">
      <w:pPr>
        <w:jc w:val="center"/>
        <w:rPr>
          <w:rFonts w:cs="Times New Roman"/>
          <w:b/>
          <w:sz w:val="22"/>
        </w:rPr>
      </w:pPr>
    </w:p>
    <w:p w:rsidR="00AA61D6" w:rsidRPr="00CF51E3" w:rsidP="00ED544E">
      <w:pPr>
        <w:jc w:val="center"/>
        <w:rPr>
          <w:rFonts w:cs="Times New Roman"/>
          <w:b/>
          <w:sz w:val="22"/>
        </w:rPr>
      </w:pPr>
    </w:p>
    <w:p w:rsidR="00AA61D6" w:rsidRPr="00CF51E3" w:rsidP="00ED544E">
      <w:pPr>
        <w:jc w:val="center"/>
        <w:rPr>
          <w:rFonts w:cs="Times New Roman"/>
          <w:b/>
          <w:sz w:val="22"/>
        </w:rPr>
      </w:pPr>
    </w:p>
    <w:p w:rsidR="00AA61D6" w:rsidRPr="00CF51E3" w:rsidP="00ED544E">
      <w:pPr>
        <w:jc w:val="center"/>
        <w:rPr>
          <w:rFonts w:cs="Times New Roman"/>
          <w:b/>
          <w:sz w:val="22"/>
        </w:rPr>
      </w:pPr>
    </w:p>
    <w:p w:rsidR="00AA61D6" w:rsidRPr="00CF51E3" w:rsidP="00ED544E">
      <w:pPr>
        <w:jc w:val="center"/>
        <w:rPr>
          <w:rFonts w:cs="Times New Roman"/>
          <w:b/>
          <w:sz w:val="22"/>
        </w:rPr>
      </w:pPr>
    </w:p>
    <w:p w:rsidR="00AA61D6" w:rsidRPr="00CF51E3" w:rsidP="00ED544E">
      <w:pPr>
        <w:jc w:val="center"/>
        <w:rPr>
          <w:rFonts w:cs="Times New Roman"/>
          <w:b/>
          <w:sz w:val="22"/>
        </w:rPr>
      </w:pPr>
    </w:p>
    <w:p w:rsidR="00AA61D6" w:rsidRPr="00CF51E3" w:rsidP="00ED544E">
      <w:pPr>
        <w:jc w:val="center"/>
        <w:rPr>
          <w:rFonts w:cs="Times New Roman"/>
          <w:b/>
          <w:sz w:val="22"/>
        </w:rPr>
      </w:pPr>
    </w:p>
    <w:p w:rsidR="00AA61D6" w:rsidRPr="00CF51E3" w:rsidP="00ED544E">
      <w:pPr>
        <w:jc w:val="center"/>
        <w:rPr>
          <w:rFonts w:cs="Times New Roman"/>
          <w:b/>
          <w:sz w:val="22"/>
        </w:rPr>
      </w:pPr>
    </w:p>
    <w:p w:rsidR="00AA61D6" w:rsidRPr="00CF51E3" w:rsidP="00ED544E">
      <w:pPr>
        <w:jc w:val="center"/>
        <w:rPr>
          <w:rFonts w:cs="Times New Roman"/>
          <w:b/>
          <w:sz w:val="22"/>
        </w:rPr>
      </w:pPr>
    </w:p>
    <w:p w:rsidR="00AA61D6" w:rsidRPr="00CF51E3" w:rsidP="00ED544E">
      <w:pPr>
        <w:jc w:val="center"/>
        <w:rPr>
          <w:rFonts w:cs="Times New Roman"/>
          <w:b/>
          <w:sz w:val="22"/>
        </w:rPr>
      </w:pPr>
    </w:p>
    <w:p w:rsidR="00AA61D6" w:rsidRPr="00CF51E3" w:rsidP="00ED544E">
      <w:pPr>
        <w:jc w:val="center"/>
        <w:rPr>
          <w:rFonts w:cs="Times New Roman"/>
          <w:b/>
          <w:sz w:val="22"/>
        </w:rPr>
      </w:pPr>
    </w:p>
    <w:p w:rsidR="00AA61D6" w:rsidRPr="00CF51E3" w:rsidP="00ED544E">
      <w:pPr>
        <w:jc w:val="center"/>
        <w:rPr>
          <w:rFonts w:cs="Times New Roman"/>
          <w:b/>
          <w:sz w:val="22"/>
        </w:rPr>
      </w:pPr>
    </w:p>
    <w:p w:rsidR="00AA61D6" w:rsidRPr="00CF51E3" w:rsidP="00ED544E">
      <w:pPr>
        <w:jc w:val="center"/>
        <w:rPr>
          <w:rFonts w:cs="Times New Roman"/>
          <w:b/>
          <w:sz w:val="22"/>
        </w:rPr>
      </w:pPr>
    </w:p>
    <w:p w:rsidR="00AA61D6" w:rsidRPr="00CF51E3" w:rsidP="00ED544E">
      <w:pPr>
        <w:jc w:val="center"/>
        <w:rPr>
          <w:rFonts w:cs="Times New Roman"/>
          <w:b/>
          <w:sz w:val="22"/>
        </w:rPr>
      </w:pPr>
    </w:p>
    <w:p w:rsidR="00AA61D6" w:rsidRPr="00CF51E3" w:rsidP="00ED544E">
      <w:pPr>
        <w:jc w:val="center"/>
        <w:rPr>
          <w:rFonts w:cs="Times New Roman"/>
          <w:b/>
          <w:sz w:val="22"/>
        </w:rPr>
      </w:pPr>
    </w:p>
    <w:p w:rsidR="00AA61D6" w:rsidRPr="00CF51E3" w:rsidP="00ED544E">
      <w:pPr>
        <w:jc w:val="center"/>
        <w:rPr>
          <w:rFonts w:cs="Times New Roman"/>
          <w:b/>
          <w:sz w:val="22"/>
        </w:rPr>
      </w:pPr>
    </w:p>
    <w:p w:rsidR="00AA61D6" w:rsidRPr="00CF51E3" w:rsidP="00ED544E">
      <w:pPr>
        <w:jc w:val="center"/>
        <w:rPr>
          <w:rFonts w:cs="Times New Roman"/>
          <w:b/>
          <w:sz w:val="22"/>
        </w:rPr>
      </w:pPr>
      <w:r w:rsidRPr="00CF51E3">
        <w:rPr>
          <w:rFonts w:cs="Times New Roman"/>
          <w:b/>
          <w:sz w:val="22"/>
        </w:rPr>
        <w:t>Jeffrey A. Peterson</w:t>
      </w:r>
    </w:p>
    <w:p w:rsidR="00AA61D6" w:rsidRPr="00CF51E3" w:rsidP="00ED544E">
      <w:pPr>
        <w:jc w:val="center"/>
        <w:rPr>
          <w:rFonts w:cs="Times New Roman"/>
          <w:b/>
          <w:sz w:val="22"/>
        </w:rPr>
      </w:pPr>
      <w:r w:rsidRPr="00CF51E3">
        <w:rPr>
          <w:rFonts w:cs="Times New Roman"/>
          <w:b/>
          <w:sz w:val="22"/>
        </w:rPr>
        <w:t>GRAY PLANT MOOTY</w:t>
      </w:r>
    </w:p>
    <w:p w:rsidR="00AA61D6" w:rsidRPr="00CF51E3" w:rsidP="00ED544E">
      <w:pPr>
        <w:jc w:val="center"/>
        <w:rPr>
          <w:rFonts w:cs="Times New Roman"/>
          <w:b/>
          <w:sz w:val="22"/>
        </w:rPr>
      </w:pPr>
      <w:r w:rsidRPr="00CF51E3">
        <w:rPr>
          <w:rFonts w:cs="Times New Roman"/>
          <w:b/>
          <w:sz w:val="22"/>
        </w:rPr>
        <w:t>www.gpmlaw.com</w:t>
      </w:r>
    </w:p>
    <w:p w:rsidR="00AA61D6" w:rsidRPr="00CF51E3" w:rsidP="00ED544E">
      <w:pPr>
        <w:jc w:val="both"/>
        <w:rPr>
          <w:rFonts w:cs="Times New Roman"/>
          <w:b/>
          <w:sz w:val="22"/>
        </w:rPr>
      </w:pPr>
    </w:p>
    <w:p w:rsidR="00AA61D6" w:rsidRPr="00CF51E3" w:rsidP="00ED544E">
      <w:pPr>
        <w:rPr>
          <w:rFonts w:cs="Times New Roman"/>
          <w:b/>
          <w:sz w:val="22"/>
        </w:rPr>
      </w:pPr>
      <w:r w:rsidRPr="00CF51E3">
        <w:rPr>
          <w:rFonts w:cs="Times New Roman"/>
          <w:b/>
          <w:sz w:val="22"/>
        </w:rPr>
        <w:br w:type="page"/>
      </w:r>
    </w:p>
    <w:p w:rsidR="00C10426" w:rsidRPr="00CF51E3" w:rsidP="00ED544E">
      <w:pPr>
        <w:jc w:val="both"/>
        <w:rPr>
          <w:rFonts w:cs="Times New Roman"/>
          <w:i/>
          <w:sz w:val="22"/>
        </w:rPr>
        <w:sectPr w:rsidSect="00577CCF">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360" w:footer="720" w:gutter="0"/>
          <w:cols w:space="720"/>
          <w:titlePg/>
          <w:docGrid w:linePitch="360"/>
        </w:sectPr>
      </w:pPr>
    </w:p>
    <w:p w:rsidR="00C10426" w:rsidRPr="00CF51E3" w:rsidP="00ED544E">
      <w:pPr>
        <w:jc w:val="center"/>
        <w:rPr>
          <w:rFonts w:cs="Times New Roman"/>
          <w:b/>
          <w:sz w:val="22"/>
        </w:rPr>
      </w:pPr>
      <w:r w:rsidRPr="00CF51E3">
        <w:rPr>
          <w:rFonts w:cs="Times New Roman"/>
          <w:b/>
          <w:sz w:val="22"/>
        </w:rPr>
        <w:t>Table of Contents</w:t>
      </w:r>
    </w:p>
    <w:p w:rsidR="00C10426" w:rsidRPr="00CF51E3" w:rsidP="00ED544E">
      <w:pPr>
        <w:jc w:val="center"/>
        <w:rPr>
          <w:rFonts w:cs="Times New Roman"/>
          <w:b/>
          <w:sz w:val="22"/>
        </w:rPr>
      </w:pPr>
    </w:p>
    <w:p w:rsidR="00C10426" w:rsidRPr="00CF51E3" w:rsidP="00ED544E">
      <w:pPr>
        <w:jc w:val="center"/>
        <w:rPr>
          <w:rFonts w:cs="Times New Roman"/>
          <w:b/>
          <w:sz w:val="22"/>
        </w:rPr>
      </w:pPr>
    </w:p>
    <w:p w:rsidR="00C10426" w:rsidRPr="00CF51E3" w:rsidP="00ED544E">
      <w:pPr>
        <w:rPr>
          <w:rFonts w:cs="Times New Roman"/>
          <w:b/>
          <w:sz w:val="22"/>
        </w:rPr>
      </w:pPr>
      <w:r w:rsidRPr="00CF51E3">
        <w:rPr>
          <w:rFonts w:cs="Times New Roman"/>
          <w:b/>
          <w:sz w:val="22"/>
        </w:rPr>
        <w:tab/>
        <w:t>I.</w:t>
      </w:r>
      <w:r w:rsidRPr="00CF51E3">
        <w:rPr>
          <w:rFonts w:cs="Times New Roman"/>
          <w:b/>
          <w:sz w:val="22"/>
        </w:rPr>
        <w:tab/>
      </w:r>
      <w:r w:rsidRPr="00CF51E3" w:rsidR="009F247D">
        <w:rPr>
          <w:rFonts w:cs="Times New Roman"/>
          <w:b/>
          <w:sz w:val="22"/>
        </w:rPr>
        <w:t xml:space="preserve">UCC </w:t>
      </w:r>
      <w:r w:rsidRPr="00CF51E3">
        <w:rPr>
          <w:rFonts w:cs="Times New Roman"/>
          <w:b/>
          <w:sz w:val="22"/>
        </w:rPr>
        <w:t>Revised Article 9 [Sec</w:t>
      </w:r>
      <w:r w:rsidRPr="00CF51E3" w:rsidR="00E9642E">
        <w:rPr>
          <w:rFonts w:cs="Times New Roman"/>
          <w:b/>
          <w:sz w:val="22"/>
        </w:rPr>
        <w:t>ured Transactions] ……………….……</w:t>
      </w:r>
      <w:r w:rsidRPr="00CF51E3" w:rsidR="00E9642E">
        <w:rPr>
          <w:rFonts w:cs="Times New Roman"/>
          <w:b/>
          <w:sz w:val="22"/>
        </w:rPr>
        <w:tab/>
      </w:r>
      <w:r w:rsidR="00EA29C0">
        <w:rPr>
          <w:rFonts w:cs="Times New Roman"/>
          <w:b/>
          <w:sz w:val="22"/>
        </w:rPr>
        <w:t>3</w:t>
      </w:r>
    </w:p>
    <w:p w:rsidR="008957C6" w:rsidRPr="00CF51E3" w:rsidP="00ED544E">
      <w:pPr>
        <w:rPr>
          <w:rFonts w:cs="Times New Roman"/>
          <w:sz w:val="22"/>
        </w:rPr>
      </w:pPr>
      <w:r w:rsidRPr="00CF51E3">
        <w:rPr>
          <w:rFonts w:cs="Times New Roman"/>
          <w:b/>
          <w:sz w:val="22"/>
        </w:rPr>
        <w:tab/>
      </w:r>
      <w:r w:rsidRPr="00CF51E3">
        <w:rPr>
          <w:rFonts w:cs="Times New Roman"/>
          <w:b/>
          <w:sz w:val="22"/>
        </w:rPr>
        <w:tab/>
      </w:r>
      <w:r w:rsidRPr="00CF51E3" w:rsidR="00B91A69">
        <w:rPr>
          <w:rFonts w:cs="Times New Roman"/>
          <w:sz w:val="22"/>
        </w:rPr>
        <w:t>A</w:t>
      </w:r>
      <w:r w:rsidRPr="00CF51E3">
        <w:rPr>
          <w:rFonts w:cs="Times New Roman"/>
          <w:sz w:val="22"/>
        </w:rPr>
        <w:t>.</w:t>
      </w:r>
      <w:r w:rsidRPr="00CF51E3">
        <w:rPr>
          <w:rFonts w:cs="Times New Roman"/>
          <w:sz w:val="22"/>
        </w:rPr>
        <w:tab/>
      </w:r>
      <w:r w:rsidRPr="00CF51E3">
        <w:rPr>
          <w:rFonts w:cs="Times New Roman"/>
          <w:sz w:val="22"/>
        </w:rPr>
        <w:t>Attachment</w:t>
      </w:r>
    </w:p>
    <w:p w:rsidR="00C10426" w:rsidRPr="00CF51E3" w:rsidP="008957C6">
      <w:pPr>
        <w:ind w:left="720" w:firstLine="720"/>
        <w:rPr>
          <w:rFonts w:cs="Times New Roman"/>
          <w:sz w:val="22"/>
        </w:rPr>
      </w:pPr>
      <w:r w:rsidRPr="00CF51E3">
        <w:rPr>
          <w:rFonts w:cs="Times New Roman"/>
          <w:sz w:val="22"/>
        </w:rPr>
        <w:t>B.</w:t>
      </w:r>
      <w:r w:rsidRPr="00CF51E3">
        <w:rPr>
          <w:rFonts w:cs="Times New Roman"/>
          <w:sz w:val="22"/>
        </w:rPr>
        <w:tab/>
      </w:r>
      <w:r w:rsidRPr="00CF51E3">
        <w:rPr>
          <w:rFonts w:cs="Times New Roman"/>
          <w:sz w:val="22"/>
        </w:rPr>
        <w:t>Perfection</w:t>
      </w:r>
    </w:p>
    <w:p w:rsidR="00C10426" w:rsidRPr="00CF51E3" w:rsidP="00ED544E">
      <w:pPr>
        <w:rPr>
          <w:rFonts w:cs="Times New Roman"/>
          <w:sz w:val="22"/>
        </w:rPr>
      </w:pPr>
      <w:r w:rsidRPr="00CF51E3">
        <w:rPr>
          <w:rFonts w:cs="Times New Roman"/>
          <w:sz w:val="22"/>
        </w:rPr>
        <w:tab/>
      </w:r>
      <w:r w:rsidRPr="00CF51E3">
        <w:rPr>
          <w:rFonts w:cs="Times New Roman"/>
          <w:sz w:val="22"/>
        </w:rPr>
        <w:tab/>
      </w:r>
      <w:r w:rsidRPr="00CF51E3" w:rsidR="008957C6">
        <w:rPr>
          <w:rFonts w:cs="Times New Roman"/>
          <w:sz w:val="22"/>
        </w:rPr>
        <w:t>C</w:t>
      </w:r>
      <w:r w:rsidRPr="00CF51E3">
        <w:rPr>
          <w:rFonts w:cs="Times New Roman"/>
          <w:sz w:val="22"/>
        </w:rPr>
        <w:t>.</w:t>
      </w:r>
      <w:r w:rsidRPr="00CF51E3">
        <w:rPr>
          <w:rFonts w:cs="Times New Roman"/>
          <w:sz w:val="22"/>
        </w:rPr>
        <w:tab/>
        <w:t>Priority</w:t>
      </w:r>
    </w:p>
    <w:p w:rsidR="00C10426" w:rsidRPr="00CF51E3" w:rsidP="00ED544E">
      <w:pPr>
        <w:rPr>
          <w:rFonts w:cs="Times New Roman"/>
          <w:sz w:val="22"/>
        </w:rPr>
      </w:pPr>
      <w:r w:rsidRPr="00CF51E3">
        <w:rPr>
          <w:rFonts w:cs="Times New Roman"/>
          <w:sz w:val="22"/>
        </w:rPr>
        <w:tab/>
      </w:r>
      <w:r w:rsidRPr="00CF51E3">
        <w:rPr>
          <w:rFonts w:cs="Times New Roman"/>
          <w:sz w:val="22"/>
        </w:rPr>
        <w:tab/>
      </w:r>
    </w:p>
    <w:p w:rsidR="00C10426" w:rsidRPr="00CF51E3" w:rsidP="00ED544E">
      <w:pPr>
        <w:rPr>
          <w:rFonts w:cs="Times New Roman"/>
          <w:b/>
          <w:sz w:val="22"/>
        </w:rPr>
      </w:pPr>
      <w:r w:rsidRPr="00CF51E3">
        <w:rPr>
          <w:rFonts w:cs="Times New Roman"/>
          <w:b/>
          <w:sz w:val="22"/>
        </w:rPr>
        <w:tab/>
        <w:t>II.</w:t>
      </w:r>
      <w:r w:rsidRPr="00CF51E3">
        <w:rPr>
          <w:rFonts w:cs="Times New Roman"/>
          <w:b/>
          <w:sz w:val="22"/>
        </w:rPr>
        <w:tab/>
      </w:r>
      <w:r w:rsidRPr="00CF51E3" w:rsidR="009F247D">
        <w:rPr>
          <w:rFonts w:cs="Times New Roman"/>
          <w:b/>
          <w:sz w:val="22"/>
        </w:rPr>
        <w:t xml:space="preserve">UCC </w:t>
      </w:r>
      <w:r w:rsidRPr="00CF51E3">
        <w:rPr>
          <w:rFonts w:cs="Times New Roman"/>
          <w:b/>
          <w:sz w:val="22"/>
        </w:rPr>
        <w:t>Article 2 [Sa</w:t>
      </w:r>
      <w:r w:rsidRPr="00CF51E3" w:rsidR="000D0555">
        <w:rPr>
          <w:rFonts w:cs="Times New Roman"/>
          <w:b/>
          <w:sz w:val="22"/>
        </w:rPr>
        <w:t>le of Goods</w:t>
      </w:r>
      <w:r w:rsidRPr="00CF51E3" w:rsidR="00E9642E">
        <w:rPr>
          <w:rFonts w:cs="Times New Roman"/>
          <w:b/>
          <w:sz w:val="22"/>
        </w:rPr>
        <w:t xml:space="preserve">] ……………………………….……….  </w:t>
      </w:r>
      <w:r w:rsidRPr="00CF51E3" w:rsidR="00E9642E">
        <w:rPr>
          <w:rFonts w:cs="Times New Roman"/>
          <w:b/>
          <w:sz w:val="22"/>
        </w:rPr>
        <w:tab/>
      </w:r>
      <w:r w:rsidR="00EA29C0">
        <w:rPr>
          <w:rFonts w:cs="Times New Roman"/>
          <w:b/>
          <w:sz w:val="22"/>
        </w:rPr>
        <w:t>8</w:t>
      </w:r>
    </w:p>
    <w:p w:rsidR="00C10426" w:rsidRPr="00CF51E3" w:rsidP="00ED544E">
      <w:pPr>
        <w:ind w:left="720"/>
        <w:jc w:val="both"/>
        <w:rPr>
          <w:rFonts w:cs="Times New Roman"/>
          <w:sz w:val="22"/>
        </w:rPr>
      </w:pPr>
      <w:r w:rsidRPr="00CF51E3">
        <w:rPr>
          <w:rFonts w:cs="Times New Roman"/>
          <w:sz w:val="22"/>
        </w:rPr>
        <w:tab/>
      </w:r>
      <w:r w:rsidRPr="00A85B85" w:rsidR="00A85B85">
        <w:rPr>
          <w:rFonts w:cs="Times New Roman"/>
          <w:sz w:val="22"/>
        </w:rPr>
        <w:t>A.</w:t>
      </w:r>
      <w:r w:rsidRPr="00A85B85" w:rsidR="00A85B85">
        <w:rPr>
          <w:rFonts w:cs="Times New Roman"/>
          <w:sz w:val="22"/>
        </w:rPr>
        <w:tab/>
        <w:t>Title, Cred</w:t>
      </w:r>
      <w:r w:rsidR="00A85B85">
        <w:rPr>
          <w:rFonts w:cs="Times New Roman"/>
          <w:sz w:val="22"/>
        </w:rPr>
        <w:t>itors and Good Faith Purchasers</w:t>
      </w:r>
    </w:p>
    <w:p w:rsidR="00441684" w:rsidRPr="00CF51E3" w:rsidP="00ED544E">
      <w:pPr>
        <w:ind w:left="720"/>
        <w:jc w:val="both"/>
        <w:rPr>
          <w:rFonts w:cs="Times New Roman"/>
          <w:sz w:val="22"/>
        </w:rPr>
      </w:pPr>
      <w:r w:rsidRPr="00CF51E3">
        <w:rPr>
          <w:rFonts w:cs="Times New Roman"/>
          <w:sz w:val="22"/>
        </w:rPr>
        <w:tab/>
        <w:t>B.</w:t>
      </w:r>
      <w:r w:rsidRPr="00CF51E3">
        <w:rPr>
          <w:rFonts w:cs="Times New Roman"/>
          <w:sz w:val="22"/>
        </w:rPr>
        <w:tab/>
      </w:r>
      <w:r w:rsidRPr="00CF51E3" w:rsidR="00B91A69">
        <w:rPr>
          <w:rFonts w:cs="Times New Roman"/>
          <w:sz w:val="22"/>
        </w:rPr>
        <w:t>Remedies</w:t>
      </w:r>
    </w:p>
    <w:p w:rsidR="00C10426" w:rsidRPr="00CF51E3" w:rsidP="00ED544E">
      <w:pPr>
        <w:ind w:left="1440"/>
        <w:rPr>
          <w:rFonts w:cs="Times New Roman"/>
          <w:sz w:val="22"/>
        </w:rPr>
      </w:pPr>
    </w:p>
    <w:p w:rsidR="00B30B68" w:rsidRPr="00CF51E3" w:rsidP="00ED544E">
      <w:pPr>
        <w:rPr>
          <w:rFonts w:cs="Times New Roman"/>
          <w:b/>
          <w:sz w:val="22"/>
        </w:rPr>
      </w:pPr>
      <w:r w:rsidRPr="00CF51E3">
        <w:rPr>
          <w:rFonts w:cs="Times New Roman"/>
          <w:b/>
          <w:sz w:val="22"/>
        </w:rPr>
        <w:tab/>
        <w:t>III.</w:t>
      </w:r>
      <w:r w:rsidRPr="00CF51E3">
        <w:rPr>
          <w:rFonts w:cs="Times New Roman"/>
          <w:b/>
          <w:sz w:val="22"/>
        </w:rPr>
        <w:tab/>
      </w:r>
      <w:r w:rsidRPr="00CF51E3" w:rsidR="009F247D">
        <w:rPr>
          <w:rFonts w:cs="Times New Roman"/>
          <w:b/>
          <w:sz w:val="22"/>
        </w:rPr>
        <w:t xml:space="preserve">UCC </w:t>
      </w:r>
      <w:r w:rsidRPr="00CF51E3">
        <w:rPr>
          <w:rFonts w:cs="Times New Roman"/>
          <w:b/>
          <w:sz w:val="22"/>
        </w:rPr>
        <w:t>Article 1 [General Provisions]</w:t>
      </w:r>
      <w:r w:rsidRPr="00CF51E3">
        <w:rPr>
          <w:rFonts w:cs="Times New Roman"/>
          <w:b/>
          <w:sz w:val="22"/>
        </w:rPr>
        <w:t xml:space="preserve">, </w:t>
      </w:r>
      <w:r w:rsidRPr="00CF51E3" w:rsidR="00C567B9">
        <w:rPr>
          <w:rFonts w:cs="Times New Roman"/>
          <w:b/>
          <w:sz w:val="22"/>
        </w:rPr>
        <w:t>Article 2 [Leases],</w:t>
      </w:r>
    </w:p>
    <w:p w:rsidR="00AD0A59" w:rsidRPr="00CF51E3" w:rsidP="00ED544E">
      <w:pPr>
        <w:rPr>
          <w:rFonts w:cs="Times New Roman"/>
          <w:b/>
          <w:sz w:val="22"/>
        </w:rPr>
      </w:pPr>
      <w:r w:rsidRPr="00CF51E3">
        <w:rPr>
          <w:rFonts w:cs="Times New Roman"/>
          <w:b/>
          <w:sz w:val="22"/>
        </w:rPr>
        <w:tab/>
      </w:r>
      <w:r w:rsidRPr="00CF51E3">
        <w:rPr>
          <w:rFonts w:cs="Times New Roman"/>
          <w:b/>
          <w:sz w:val="22"/>
        </w:rPr>
        <w:tab/>
      </w:r>
      <w:r w:rsidRPr="00CF51E3">
        <w:rPr>
          <w:rFonts w:cs="Times New Roman"/>
          <w:b/>
          <w:sz w:val="22"/>
        </w:rPr>
        <w:t xml:space="preserve">Article </w:t>
      </w:r>
      <w:r w:rsidRPr="00CF51E3">
        <w:rPr>
          <w:rFonts w:cs="Times New Roman"/>
          <w:b/>
          <w:sz w:val="22"/>
        </w:rPr>
        <w:t>3 [</w:t>
      </w:r>
      <w:r w:rsidRPr="00CF51E3" w:rsidR="00C567B9">
        <w:rPr>
          <w:rFonts w:cs="Times New Roman"/>
          <w:b/>
          <w:sz w:val="22"/>
        </w:rPr>
        <w:t>Negotiable Instruments</w:t>
      </w:r>
      <w:r w:rsidRPr="00CF51E3">
        <w:rPr>
          <w:rFonts w:cs="Times New Roman"/>
          <w:b/>
          <w:sz w:val="22"/>
        </w:rPr>
        <w:t xml:space="preserve">] and </w:t>
      </w:r>
    </w:p>
    <w:p w:rsidR="00C10426" w:rsidRPr="00CF51E3" w:rsidP="00ED544E">
      <w:pPr>
        <w:rPr>
          <w:rFonts w:cs="Times New Roman"/>
          <w:b/>
          <w:sz w:val="22"/>
        </w:rPr>
      </w:pPr>
      <w:r w:rsidRPr="00CF51E3">
        <w:rPr>
          <w:rFonts w:cs="Times New Roman"/>
          <w:b/>
          <w:sz w:val="22"/>
        </w:rPr>
        <w:tab/>
      </w:r>
      <w:r w:rsidRPr="00CF51E3">
        <w:rPr>
          <w:rFonts w:cs="Times New Roman"/>
          <w:b/>
          <w:sz w:val="22"/>
        </w:rPr>
        <w:tab/>
        <w:t xml:space="preserve">Article </w:t>
      </w:r>
      <w:r w:rsidRPr="00CF51E3" w:rsidR="00B30B68">
        <w:rPr>
          <w:rFonts w:cs="Times New Roman"/>
          <w:b/>
          <w:sz w:val="22"/>
        </w:rPr>
        <w:t>7 [</w:t>
      </w:r>
      <w:r w:rsidRPr="00CF51E3" w:rsidR="00C567B9">
        <w:rPr>
          <w:rFonts w:cs="Times New Roman"/>
          <w:b/>
          <w:sz w:val="22"/>
        </w:rPr>
        <w:t xml:space="preserve">Documents of Title] </w:t>
      </w:r>
      <w:r w:rsidRPr="00CF51E3">
        <w:rPr>
          <w:rFonts w:cs="Times New Roman"/>
          <w:b/>
          <w:sz w:val="22"/>
        </w:rPr>
        <w:t>……</w:t>
      </w:r>
      <w:r w:rsidRPr="00CF51E3">
        <w:rPr>
          <w:rFonts w:cs="Times New Roman"/>
          <w:b/>
          <w:sz w:val="22"/>
        </w:rPr>
        <w:t>…………………………</w:t>
      </w:r>
      <w:r w:rsidRPr="00CF51E3">
        <w:rPr>
          <w:rFonts w:cs="Times New Roman"/>
          <w:b/>
          <w:sz w:val="22"/>
        </w:rPr>
        <w:t>……</w:t>
      </w:r>
      <w:r w:rsidRPr="00CF51E3" w:rsidR="00B91A69">
        <w:rPr>
          <w:rFonts w:cs="Times New Roman"/>
          <w:b/>
          <w:sz w:val="22"/>
        </w:rPr>
        <w:t>…</w:t>
      </w:r>
      <w:r w:rsidRPr="00CF51E3">
        <w:rPr>
          <w:rFonts w:cs="Times New Roman"/>
          <w:b/>
          <w:sz w:val="22"/>
        </w:rPr>
        <w:tab/>
      </w:r>
      <w:r w:rsidR="00EA29C0">
        <w:rPr>
          <w:rFonts w:cs="Times New Roman"/>
          <w:b/>
          <w:sz w:val="22"/>
        </w:rPr>
        <w:t>8</w:t>
      </w:r>
    </w:p>
    <w:p w:rsidR="00C10426" w:rsidRPr="00CF51E3" w:rsidP="00ED544E">
      <w:pPr>
        <w:rPr>
          <w:rFonts w:cs="Times New Roman"/>
          <w:b/>
          <w:sz w:val="22"/>
        </w:rPr>
      </w:pPr>
    </w:p>
    <w:p w:rsidR="00C10426" w:rsidRPr="00CF51E3" w:rsidP="00ED544E">
      <w:pPr>
        <w:rPr>
          <w:rFonts w:cs="Times New Roman"/>
          <w:b/>
          <w:sz w:val="22"/>
        </w:rPr>
      </w:pPr>
      <w:r w:rsidRPr="00CF51E3">
        <w:rPr>
          <w:rFonts w:cs="Times New Roman"/>
          <w:b/>
          <w:sz w:val="22"/>
        </w:rPr>
        <w:tab/>
        <w:t>IV.</w:t>
      </w:r>
      <w:r w:rsidRPr="00CF51E3">
        <w:rPr>
          <w:rFonts w:cs="Times New Roman"/>
          <w:b/>
          <w:sz w:val="22"/>
        </w:rPr>
        <w:tab/>
        <w:t>Other State Law ……………………………….……..……</w:t>
      </w:r>
      <w:r w:rsidRPr="00CF51E3" w:rsidR="00B43B96">
        <w:rPr>
          <w:rFonts w:cs="Times New Roman"/>
          <w:b/>
          <w:sz w:val="22"/>
        </w:rPr>
        <w:t>……..</w:t>
      </w:r>
      <w:r w:rsidRPr="00CF51E3">
        <w:rPr>
          <w:rFonts w:cs="Times New Roman"/>
          <w:b/>
          <w:sz w:val="22"/>
        </w:rPr>
        <w:t xml:space="preserve">….  </w:t>
      </w:r>
      <w:r w:rsidRPr="00CF51E3">
        <w:rPr>
          <w:rFonts w:cs="Times New Roman"/>
          <w:b/>
          <w:sz w:val="22"/>
        </w:rPr>
        <w:tab/>
      </w:r>
      <w:r w:rsidR="00EA29C0">
        <w:rPr>
          <w:rFonts w:cs="Times New Roman"/>
          <w:b/>
          <w:sz w:val="22"/>
        </w:rPr>
        <w:t>8</w:t>
      </w:r>
    </w:p>
    <w:p w:rsidR="00C10426" w:rsidRPr="00CF51E3" w:rsidP="008957C6">
      <w:pPr>
        <w:rPr>
          <w:rFonts w:cs="Times New Roman"/>
          <w:b/>
          <w:sz w:val="22"/>
        </w:rPr>
      </w:pPr>
      <w:r w:rsidRPr="00CF51E3">
        <w:rPr>
          <w:rFonts w:cs="Times New Roman"/>
          <w:b/>
          <w:sz w:val="22"/>
        </w:rPr>
        <w:tab/>
      </w:r>
    </w:p>
    <w:p w:rsidR="00C10426" w:rsidRPr="00CF51E3" w:rsidP="00ED544E">
      <w:pPr>
        <w:rPr>
          <w:rFonts w:cs="Times New Roman"/>
          <w:b/>
          <w:sz w:val="22"/>
        </w:rPr>
      </w:pPr>
      <w:r w:rsidRPr="00CF51E3">
        <w:rPr>
          <w:rFonts w:cs="Times New Roman"/>
          <w:b/>
          <w:sz w:val="22"/>
        </w:rPr>
        <w:tab/>
        <w:t>V.</w:t>
      </w:r>
      <w:r w:rsidRPr="00CF51E3">
        <w:rPr>
          <w:rFonts w:cs="Times New Roman"/>
          <w:b/>
          <w:sz w:val="22"/>
        </w:rPr>
        <w:tab/>
        <w:t>Bankruptcy ……………………………………………</w:t>
      </w:r>
      <w:r w:rsidRPr="00CF51E3" w:rsidR="00B43B96">
        <w:rPr>
          <w:rFonts w:cs="Times New Roman"/>
          <w:b/>
          <w:sz w:val="22"/>
        </w:rPr>
        <w:t>……..</w:t>
      </w:r>
      <w:r w:rsidRPr="00CF51E3">
        <w:rPr>
          <w:rFonts w:cs="Times New Roman"/>
          <w:b/>
          <w:sz w:val="22"/>
        </w:rPr>
        <w:t xml:space="preserve">……….  </w:t>
      </w:r>
      <w:r w:rsidRPr="00CF51E3">
        <w:rPr>
          <w:rFonts w:cs="Times New Roman"/>
          <w:b/>
          <w:sz w:val="22"/>
        </w:rPr>
        <w:tab/>
      </w:r>
      <w:r w:rsidR="00EA29C0">
        <w:rPr>
          <w:rFonts w:cs="Times New Roman"/>
          <w:b/>
          <w:sz w:val="22"/>
        </w:rPr>
        <w:t>10</w:t>
      </w:r>
    </w:p>
    <w:p w:rsidR="00C10426" w:rsidRPr="00CF51E3" w:rsidP="00ED544E">
      <w:pPr>
        <w:rPr>
          <w:rFonts w:cs="Times New Roman"/>
          <w:sz w:val="22"/>
        </w:rPr>
      </w:pPr>
      <w:r w:rsidRPr="00CF51E3">
        <w:rPr>
          <w:rFonts w:cs="Times New Roman"/>
          <w:b/>
          <w:sz w:val="22"/>
        </w:rPr>
        <w:tab/>
      </w:r>
      <w:r w:rsidRPr="00CF51E3">
        <w:rPr>
          <w:rFonts w:cs="Times New Roman"/>
          <w:b/>
          <w:sz w:val="22"/>
        </w:rPr>
        <w:tab/>
      </w:r>
      <w:r w:rsidRPr="00CF51E3">
        <w:rPr>
          <w:rFonts w:cs="Times New Roman"/>
          <w:sz w:val="22"/>
        </w:rPr>
        <w:t>A.</w:t>
      </w:r>
      <w:r w:rsidRPr="00CF51E3">
        <w:rPr>
          <w:rFonts w:cs="Times New Roman"/>
          <w:sz w:val="22"/>
        </w:rPr>
        <w:tab/>
        <w:t>General</w:t>
      </w:r>
    </w:p>
    <w:p w:rsidR="00C10426" w:rsidRPr="00CF51E3" w:rsidP="00ED544E">
      <w:pPr>
        <w:rPr>
          <w:rFonts w:cs="Times New Roman"/>
          <w:sz w:val="22"/>
        </w:rPr>
      </w:pPr>
      <w:r w:rsidRPr="00CF51E3">
        <w:rPr>
          <w:rFonts w:cs="Times New Roman"/>
          <w:sz w:val="22"/>
        </w:rPr>
        <w:tab/>
      </w:r>
      <w:r w:rsidRPr="00CF51E3">
        <w:rPr>
          <w:rFonts w:cs="Times New Roman"/>
          <w:sz w:val="22"/>
        </w:rPr>
        <w:tab/>
        <w:t>B.</w:t>
      </w:r>
      <w:r w:rsidRPr="00CF51E3">
        <w:rPr>
          <w:rFonts w:cs="Times New Roman"/>
          <w:sz w:val="22"/>
        </w:rPr>
        <w:tab/>
        <w:t>Case Administration</w:t>
      </w:r>
    </w:p>
    <w:p w:rsidR="00C10426" w:rsidRPr="00CF51E3" w:rsidP="00ED544E">
      <w:pPr>
        <w:rPr>
          <w:rFonts w:cs="Times New Roman"/>
          <w:sz w:val="22"/>
        </w:rPr>
      </w:pPr>
      <w:r w:rsidRPr="00CF51E3">
        <w:rPr>
          <w:rFonts w:cs="Times New Roman"/>
          <w:sz w:val="22"/>
        </w:rPr>
        <w:tab/>
      </w:r>
      <w:r w:rsidRPr="00CF51E3">
        <w:rPr>
          <w:rFonts w:cs="Times New Roman"/>
          <w:sz w:val="22"/>
        </w:rPr>
        <w:tab/>
        <w:t>C.</w:t>
      </w:r>
      <w:r w:rsidRPr="00CF51E3">
        <w:rPr>
          <w:rFonts w:cs="Times New Roman"/>
          <w:sz w:val="22"/>
        </w:rPr>
        <w:tab/>
        <w:t>Bankruptcy Estate</w:t>
      </w:r>
    </w:p>
    <w:p w:rsidR="00C10426" w:rsidRPr="00CF51E3" w:rsidP="00ED544E">
      <w:pPr>
        <w:rPr>
          <w:rFonts w:cs="Times New Roman"/>
          <w:sz w:val="22"/>
        </w:rPr>
      </w:pPr>
      <w:r w:rsidRPr="00CF51E3">
        <w:rPr>
          <w:rFonts w:cs="Times New Roman"/>
          <w:sz w:val="22"/>
        </w:rPr>
        <w:tab/>
      </w:r>
      <w:r w:rsidRPr="00CF51E3">
        <w:rPr>
          <w:rFonts w:cs="Times New Roman"/>
          <w:sz w:val="22"/>
        </w:rPr>
        <w:tab/>
        <w:t>D.</w:t>
      </w:r>
      <w:r w:rsidRPr="00CF51E3">
        <w:rPr>
          <w:rFonts w:cs="Times New Roman"/>
          <w:sz w:val="22"/>
        </w:rPr>
        <w:tab/>
        <w:t>Chapter 7</w:t>
      </w:r>
    </w:p>
    <w:p w:rsidR="00C10426" w:rsidRPr="00CF51E3" w:rsidP="00ED544E">
      <w:pPr>
        <w:rPr>
          <w:rFonts w:cs="Times New Roman"/>
          <w:sz w:val="22"/>
        </w:rPr>
      </w:pPr>
      <w:r w:rsidRPr="00CF51E3">
        <w:rPr>
          <w:rFonts w:cs="Times New Roman"/>
          <w:sz w:val="22"/>
        </w:rPr>
        <w:tab/>
      </w:r>
      <w:r w:rsidRPr="00CF51E3">
        <w:rPr>
          <w:rFonts w:cs="Times New Roman"/>
          <w:sz w:val="22"/>
        </w:rPr>
        <w:tab/>
        <w:t>E.</w:t>
      </w:r>
      <w:r w:rsidRPr="00CF51E3">
        <w:rPr>
          <w:rFonts w:cs="Times New Roman"/>
          <w:sz w:val="22"/>
        </w:rPr>
        <w:tab/>
        <w:t>Chapter 11</w:t>
      </w:r>
    </w:p>
    <w:p w:rsidR="00C10426" w:rsidRPr="00CF51E3" w:rsidP="00ED544E">
      <w:pPr>
        <w:rPr>
          <w:rFonts w:cs="Times New Roman"/>
          <w:sz w:val="22"/>
        </w:rPr>
      </w:pPr>
      <w:r w:rsidRPr="00CF51E3">
        <w:rPr>
          <w:rFonts w:cs="Times New Roman"/>
          <w:sz w:val="22"/>
        </w:rPr>
        <w:tab/>
      </w:r>
      <w:r w:rsidRPr="00CF51E3">
        <w:rPr>
          <w:rFonts w:cs="Times New Roman"/>
          <w:sz w:val="22"/>
        </w:rPr>
        <w:tab/>
        <w:t>F.</w:t>
      </w:r>
      <w:r w:rsidRPr="00CF51E3">
        <w:rPr>
          <w:rFonts w:cs="Times New Roman"/>
          <w:sz w:val="22"/>
        </w:rPr>
        <w:tab/>
        <w:t>Chapter 12</w:t>
      </w:r>
    </w:p>
    <w:p w:rsidR="00C10426" w:rsidP="00ED544E">
      <w:pPr>
        <w:rPr>
          <w:rFonts w:cs="Times New Roman"/>
          <w:sz w:val="22"/>
        </w:rPr>
      </w:pPr>
      <w:r w:rsidRPr="00CF51E3">
        <w:rPr>
          <w:rFonts w:cs="Times New Roman"/>
          <w:sz w:val="22"/>
        </w:rPr>
        <w:tab/>
      </w:r>
      <w:r w:rsidRPr="00CF51E3">
        <w:rPr>
          <w:rFonts w:cs="Times New Roman"/>
          <w:sz w:val="22"/>
        </w:rPr>
        <w:tab/>
        <w:t>G.</w:t>
      </w:r>
      <w:r w:rsidRPr="00CF51E3">
        <w:rPr>
          <w:rFonts w:cs="Times New Roman"/>
          <w:sz w:val="22"/>
        </w:rPr>
        <w:tab/>
        <w:t>Chapter 13</w:t>
      </w:r>
    </w:p>
    <w:p w:rsidR="00A85B85" w:rsidRPr="00CF51E3" w:rsidP="00A85B85">
      <w:pPr>
        <w:ind w:left="720" w:firstLine="720"/>
        <w:rPr>
          <w:rFonts w:cs="Times New Roman"/>
          <w:sz w:val="22"/>
        </w:rPr>
      </w:pPr>
      <w:r w:rsidRPr="00A85B85">
        <w:rPr>
          <w:rFonts w:cs="Times New Roman"/>
          <w:sz w:val="22"/>
        </w:rPr>
        <w:t>H.</w:t>
      </w:r>
      <w:r w:rsidRPr="00A85B85">
        <w:rPr>
          <w:rFonts w:cs="Times New Roman"/>
          <w:sz w:val="22"/>
        </w:rPr>
        <w:tab/>
        <w:t>Judicial Procedure</w:t>
      </w:r>
    </w:p>
    <w:p w:rsidR="00D50EA5" w:rsidRPr="00CF51E3" w:rsidP="00ED544E">
      <w:pPr>
        <w:rPr>
          <w:rFonts w:cs="Times New Roman"/>
          <w:sz w:val="22"/>
        </w:rPr>
      </w:pPr>
    </w:p>
    <w:p w:rsidR="00D50EA5" w:rsidRPr="00CF51E3" w:rsidP="00ED544E">
      <w:pPr>
        <w:rPr>
          <w:rFonts w:cs="Times New Roman"/>
          <w:b/>
          <w:sz w:val="22"/>
        </w:rPr>
      </w:pPr>
      <w:r w:rsidRPr="00CF51E3">
        <w:rPr>
          <w:rFonts w:cs="Times New Roman"/>
          <w:b/>
          <w:sz w:val="22"/>
        </w:rPr>
        <w:tab/>
        <w:t>VI.</w:t>
      </w:r>
      <w:r w:rsidRPr="00CF51E3">
        <w:rPr>
          <w:rFonts w:cs="Times New Roman"/>
          <w:b/>
          <w:sz w:val="22"/>
        </w:rPr>
        <w:tab/>
        <w:t>Other Federal Law ……………………………………………………</w:t>
      </w:r>
      <w:r w:rsidRPr="00CF51E3" w:rsidR="0081618F">
        <w:rPr>
          <w:rFonts w:cs="Times New Roman"/>
          <w:b/>
          <w:sz w:val="22"/>
        </w:rPr>
        <w:tab/>
      </w:r>
      <w:r w:rsidR="00EA29C0">
        <w:rPr>
          <w:rFonts w:cs="Times New Roman"/>
          <w:b/>
          <w:sz w:val="22"/>
        </w:rPr>
        <w:t>15</w:t>
      </w:r>
    </w:p>
    <w:p w:rsidR="00C10426" w:rsidRPr="00CF51E3" w:rsidP="00ED544E">
      <w:pPr>
        <w:rPr>
          <w:rFonts w:cs="Times New Roman"/>
          <w:sz w:val="22"/>
        </w:rPr>
      </w:pPr>
      <w:r w:rsidRPr="00CF51E3">
        <w:rPr>
          <w:rFonts w:cs="Times New Roman"/>
          <w:sz w:val="22"/>
        </w:rPr>
        <w:tab/>
      </w:r>
    </w:p>
    <w:p w:rsidR="001C25F0" w:rsidRPr="00CF51E3" w:rsidP="00ED544E">
      <w:pPr>
        <w:rPr>
          <w:rFonts w:cs="Times New Roman"/>
          <w:sz w:val="22"/>
        </w:rPr>
      </w:pPr>
    </w:p>
    <w:p w:rsidR="001C25F0" w:rsidRPr="00CF51E3" w:rsidP="00ED544E">
      <w:pPr>
        <w:spacing w:after="200"/>
        <w:rPr>
          <w:rFonts w:cs="Times New Roman"/>
          <w:sz w:val="22"/>
        </w:rPr>
      </w:pPr>
      <w:r w:rsidRPr="00CF51E3">
        <w:rPr>
          <w:rFonts w:cs="Times New Roman"/>
          <w:sz w:val="22"/>
        </w:rPr>
        <w:br w:type="page"/>
      </w:r>
    </w:p>
    <w:p w:rsidR="001C25F0" w:rsidRPr="00CF51E3" w:rsidP="00ED544E">
      <w:pPr>
        <w:jc w:val="both"/>
        <w:rPr>
          <w:rFonts w:cs="Times New Roman"/>
          <w:b/>
          <w:sz w:val="22"/>
        </w:rPr>
      </w:pPr>
      <w:r w:rsidRPr="00CF51E3">
        <w:rPr>
          <w:rFonts w:cs="Times New Roman"/>
          <w:b/>
          <w:sz w:val="22"/>
        </w:rPr>
        <w:t xml:space="preserve">I.   </w:t>
      </w:r>
      <w:r w:rsidRPr="00CF51E3" w:rsidR="00B91A69">
        <w:rPr>
          <w:rFonts w:cs="Times New Roman"/>
          <w:b/>
          <w:sz w:val="22"/>
        </w:rPr>
        <w:tab/>
      </w:r>
      <w:r w:rsidRPr="00CF51E3" w:rsidR="00994965">
        <w:rPr>
          <w:rFonts w:cs="Times New Roman"/>
          <w:b/>
          <w:sz w:val="22"/>
        </w:rPr>
        <w:t xml:space="preserve">UCC </w:t>
      </w:r>
      <w:r w:rsidRPr="00CF51E3">
        <w:rPr>
          <w:rFonts w:cs="Times New Roman"/>
          <w:b/>
          <w:sz w:val="22"/>
        </w:rPr>
        <w:t>REVISED ARTICLE 9</w:t>
      </w:r>
      <w:r w:rsidRPr="00CF51E3" w:rsidR="000D0555">
        <w:rPr>
          <w:rFonts w:cs="Times New Roman"/>
          <w:b/>
          <w:sz w:val="22"/>
        </w:rPr>
        <w:t xml:space="preserve"> [SECURED TRANSACTIONS]</w:t>
      </w:r>
      <w:r w:rsidRPr="00CF51E3">
        <w:rPr>
          <w:rFonts w:cs="Times New Roman"/>
          <w:b/>
          <w:sz w:val="22"/>
        </w:rPr>
        <w:t>.</w:t>
      </w:r>
    </w:p>
    <w:p w:rsidR="00A45ED8" w:rsidRPr="00CF51E3" w:rsidP="00ED544E">
      <w:pPr>
        <w:jc w:val="both"/>
        <w:rPr>
          <w:rFonts w:cs="Times New Roman"/>
          <w:b/>
          <w:sz w:val="22"/>
        </w:rPr>
      </w:pPr>
    </w:p>
    <w:p w:rsidR="003D3283" w:rsidRPr="00CF51E3" w:rsidP="003D3283">
      <w:pPr>
        <w:ind w:left="360"/>
        <w:jc w:val="both"/>
        <w:rPr>
          <w:rFonts w:cs="Times New Roman"/>
          <w:b/>
          <w:sz w:val="22"/>
        </w:rPr>
      </w:pPr>
      <w:r w:rsidRPr="00CF51E3">
        <w:rPr>
          <w:rFonts w:cs="Times New Roman"/>
          <w:b/>
          <w:sz w:val="22"/>
        </w:rPr>
        <w:tab/>
        <w:t>A.</w:t>
      </w:r>
      <w:r w:rsidRPr="00CF51E3" w:rsidR="00B91A69">
        <w:rPr>
          <w:rFonts w:cs="Times New Roman"/>
          <w:b/>
          <w:sz w:val="22"/>
        </w:rPr>
        <w:tab/>
      </w:r>
      <w:r w:rsidRPr="00CF51E3">
        <w:rPr>
          <w:rFonts w:cs="Times New Roman"/>
          <w:b/>
          <w:sz w:val="22"/>
        </w:rPr>
        <w:t>Attachment.</w:t>
      </w:r>
    </w:p>
    <w:p w:rsidR="004D6042" w:rsidRPr="00CF51E3" w:rsidP="00CD55F9">
      <w:pPr>
        <w:jc w:val="both"/>
        <w:rPr>
          <w:rFonts w:cs="Times New Roman"/>
          <w:sz w:val="22"/>
        </w:rPr>
      </w:pPr>
      <w:r w:rsidRPr="00CF51E3">
        <w:rPr>
          <w:rFonts w:cs="Times New Roman"/>
          <w:b/>
          <w:sz w:val="22"/>
        </w:rPr>
        <w:tab/>
      </w:r>
      <w:r w:rsidRPr="00CF51E3">
        <w:rPr>
          <w:rFonts w:cs="Times New Roman"/>
          <w:sz w:val="22"/>
        </w:rPr>
        <w:tab/>
      </w:r>
    </w:p>
    <w:p w:rsidR="005F2DA6" w:rsidRPr="00CF51E3" w:rsidP="003050B6">
      <w:pPr>
        <w:ind w:left="720"/>
        <w:jc w:val="both"/>
        <w:rPr>
          <w:rFonts w:cs="Times New Roman"/>
          <w:sz w:val="22"/>
        </w:rPr>
      </w:pPr>
      <w:r w:rsidRPr="00CF51E3">
        <w:rPr>
          <w:rFonts w:cs="Times New Roman"/>
          <w:b/>
          <w:sz w:val="22"/>
        </w:rPr>
        <w:t xml:space="preserve">Collateral Descriptions: </w:t>
      </w:r>
      <w:r w:rsidRPr="00CF51E3" w:rsidR="0081618F">
        <w:rPr>
          <w:rFonts w:cs="Times New Roman"/>
          <w:b/>
          <w:sz w:val="22"/>
        </w:rPr>
        <w:t>Hay is a farm p</w:t>
      </w:r>
      <w:r w:rsidRPr="00CF51E3" w:rsidR="003154BE">
        <w:rPr>
          <w:rFonts w:cs="Times New Roman"/>
          <w:b/>
          <w:sz w:val="22"/>
        </w:rPr>
        <w:t>roduct.</w:t>
      </w:r>
      <w:r w:rsidRPr="00CF51E3" w:rsidR="003154BE">
        <w:rPr>
          <w:rFonts w:cs="Times New Roman"/>
          <w:sz w:val="22"/>
        </w:rPr>
        <w:t xml:space="preserve">  </w:t>
      </w:r>
      <w:r w:rsidRPr="00CF51E3">
        <w:rPr>
          <w:rFonts w:cs="Times New Roman"/>
          <w:sz w:val="22"/>
        </w:rPr>
        <w:t xml:space="preserve">Ollis Farms, LLC </w:t>
      </w:r>
      <w:r w:rsidRPr="00CF51E3" w:rsidR="005E63DB">
        <w:rPr>
          <w:rFonts w:cs="Times New Roman"/>
          <w:sz w:val="22"/>
        </w:rPr>
        <w:t>(</w:t>
      </w:r>
      <w:r w:rsidR="007D7D4B">
        <w:rPr>
          <w:rFonts w:cs="Times New Roman"/>
          <w:sz w:val="22"/>
        </w:rPr>
        <w:t>the “</w:t>
      </w:r>
      <w:r w:rsidRPr="00CF51E3" w:rsidR="005E63DB">
        <w:rPr>
          <w:rFonts w:cs="Times New Roman"/>
          <w:sz w:val="22"/>
        </w:rPr>
        <w:t>LLC</w:t>
      </w:r>
      <w:r w:rsidR="007D7D4B">
        <w:rPr>
          <w:rFonts w:cs="Times New Roman"/>
          <w:sz w:val="22"/>
        </w:rPr>
        <w:t>”</w:t>
      </w:r>
      <w:r w:rsidRPr="00CF51E3" w:rsidR="005E63DB">
        <w:rPr>
          <w:rFonts w:cs="Times New Roman"/>
          <w:sz w:val="22"/>
        </w:rPr>
        <w:t xml:space="preserve">) </w:t>
      </w:r>
      <w:r w:rsidRPr="00CF51E3" w:rsidR="0081618F">
        <w:rPr>
          <w:rFonts w:cs="Times New Roman"/>
          <w:sz w:val="22"/>
        </w:rPr>
        <w:t>was</w:t>
      </w:r>
      <w:r w:rsidR="00696229">
        <w:rPr>
          <w:rFonts w:cs="Times New Roman"/>
          <w:sz w:val="22"/>
        </w:rPr>
        <w:t xml:space="preserve"> a farming operation that bought, raised, and fattened</w:t>
      </w:r>
      <w:r w:rsidRPr="00CF51E3">
        <w:rPr>
          <w:rFonts w:cs="Times New Roman"/>
          <w:sz w:val="22"/>
        </w:rPr>
        <w:t xml:space="preserve"> cattle to be sold.</w:t>
      </w:r>
      <w:r w:rsidRPr="00CF51E3" w:rsidR="005E63DB">
        <w:rPr>
          <w:rFonts w:cs="Times New Roman"/>
          <w:sz w:val="22"/>
        </w:rPr>
        <w:t xml:space="preserve">  James </w:t>
      </w:r>
      <w:r w:rsidRPr="00CF51E3">
        <w:rPr>
          <w:rFonts w:cs="Times New Roman"/>
          <w:sz w:val="22"/>
        </w:rPr>
        <w:t>Ollis</w:t>
      </w:r>
      <w:r w:rsidRPr="00CF51E3" w:rsidR="005E63DB">
        <w:rPr>
          <w:rFonts w:cs="Times New Roman"/>
          <w:sz w:val="22"/>
        </w:rPr>
        <w:t xml:space="preserve"> (</w:t>
      </w:r>
      <w:r w:rsidR="007D7D4B">
        <w:rPr>
          <w:rFonts w:cs="Times New Roman"/>
          <w:sz w:val="22"/>
        </w:rPr>
        <w:t>“</w:t>
      </w:r>
      <w:r w:rsidRPr="00CF51E3" w:rsidR="005E63DB">
        <w:rPr>
          <w:rFonts w:cs="Times New Roman"/>
          <w:sz w:val="22"/>
        </w:rPr>
        <w:t>Ollis</w:t>
      </w:r>
      <w:r w:rsidR="007D7D4B">
        <w:rPr>
          <w:rFonts w:cs="Times New Roman"/>
          <w:sz w:val="22"/>
        </w:rPr>
        <w:t>”</w:t>
      </w:r>
      <w:r w:rsidRPr="00CF51E3" w:rsidR="005E63DB">
        <w:rPr>
          <w:rFonts w:cs="Times New Roman"/>
          <w:sz w:val="22"/>
        </w:rPr>
        <w:t>)</w:t>
      </w:r>
      <w:r w:rsidRPr="00CF51E3">
        <w:rPr>
          <w:rFonts w:cs="Times New Roman"/>
          <w:sz w:val="22"/>
        </w:rPr>
        <w:t xml:space="preserve"> </w:t>
      </w:r>
      <w:r w:rsidRPr="00CF51E3" w:rsidR="003154BE">
        <w:rPr>
          <w:rFonts w:cs="Times New Roman"/>
          <w:sz w:val="22"/>
        </w:rPr>
        <w:t>was the principal of the LLC.  T</w:t>
      </w:r>
      <w:r w:rsidRPr="00CF51E3" w:rsidR="005E63DB">
        <w:rPr>
          <w:rFonts w:cs="Times New Roman"/>
          <w:sz w:val="22"/>
        </w:rPr>
        <w:t xml:space="preserve">he </w:t>
      </w:r>
      <w:r w:rsidRPr="00CF51E3">
        <w:rPr>
          <w:rFonts w:cs="Times New Roman"/>
          <w:sz w:val="22"/>
        </w:rPr>
        <w:t xml:space="preserve">LLC </w:t>
      </w:r>
      <w:r w:rsidRPr="00CF51E3" w:rsidR="003154BE">
        <w:rPr>
          <w:rFonts w:cs="Times New Roman"/>
          <w:sz w:val="22"/>
        </w:rPr>
        <w:t xml:space="preserve">and Ollis </w:t>
      </w:r>
      <w:r w:rsidRPr="00CF51E3" w:rsidR="005E63DB">
        <w:rPr>
          <w:rFonts w:cs="Times New Roman"/>
          <w:sz w:val="22"/>
        </w:rPr>
        <w:t>were indebted to Rabo</w:t>
      </w:r>
      <w:r w:rsidRPr="00CF51E3" w:rsidR="003154BE">
        <w:rPr>
          <w:rFonts w:cs="Times New Roman"/>
          <w:sz w:val="22"/>
        </w:rPr>
        <w:t xml:space="preserve"> Agrifinance LLC</w:t>
      </w:r>
      <w:r w:rsidRPr="00CF51E3" w:rsidR="005E63DB">
        <w:rPr>
          <w:rFonts w:cs="Times New Roman"/>
          <w:sz w:val="22"/>
        </w:rPr>
        <w:t xml:space="preserve"> (</w:t>
      </w:r>
      <w:r w:rsidR="007D7D4B">
        <w:rPr>
          <w:rFonts w:cs="Times New Roman"/>
          <w:sz w:val="22"/>
        </w:rPr>
        <w:t>“</w:t>
      </w:r>
      <w:r w:rsidRPr="00CF51E3" w:rsidR="005E63DB">
        <w:rPr>
          <w:rFonts w:cs="Times New Roman"/>
          <w:sz w:val="22"/>
        </w:rPr>
        <w:t>Rabo</w:t>
      </w:r>
      <w:r w:rsidR="007D7D4B">
        <w:rPr>
          <w:rFonts w:cs="Times New Roman"/>
          <w:sz w:val="22"/>
        </w:rPr>
        <w:t>”</w:t>
      </w:r>
      <w:r w:rsidRPr="00CF51E3" w:rsidR="005E63DB">
        <w:rPr>
          <w:rFonts w:cs="Times New Roman"/>
          <w:sz w:val="22"/>
        </w:rPr>
        <w:t xml:space="preserve">).  </w:t>
      </w:r>
      <w:r w:rsidRPr="00CF51E3">
        <w:rPr>
          <w:rFonts w:cs="Times New Roman"/>
          <w:sz w:val="22"/>
        </w:rPr>
        <w:t xml:space="preserve">The </w:t>
      </w:r>
      <w:r w:rsidRPr="00CF51E3" w:rsidR="005E63DB">
        <w:rPr>
          <w:rFonts w:cs="Times New Roman"/>
          <w:sz w:val="22"/>
        </w:rPr>
        <w:t xml:space="preserve">debt was </w:t>
      </w:r>
      <w:r w:rsidRPr="00CF51E3">
        <w:rPr>
          <w:rFonts w:cs="Times New Roman"/>
          <w:sz w:val="22"/>
        </w:rPr>
        <w:t xml:space="preserve">secured by a security </w:t>
      </w:r>
      <w:r w:rsidRPr="00CF51E3" w:rsidR="005E63DB">
        <w:rPr>
          <w:rFonts w:cs="Times New Roman"/>
          <w:sz w:val="22"/>
        </w:rPr>
        <w:t xml:space="preserve">interest in </w:t>
      </w:r>
      <w:r w:rsidRPr="00CF51E3" w:rsidR="003154BE">
        <w:rPr>
          <w:rFonts w:cs="Times New Roman"/>
          <w:sz w:val="22"/>
        </w:rPr>
        <w:t xml:space="preserve">all accounts, inventory, equipment, farm products and substitutes and replacements of the LLC and </w:t>
      </w:r>
      <w:r w:rsidRPr="00CF51E3">
        <w:rPr>
          <w:rFonts w:cs="Times New Roman"/>
          <w:sz w:val="22"/>
        </w:rPr>
        <w:t xml:space="preserve">Ollis. </w:t>
      </w:r>
      <w:r w:rsidRPr="00CF51E3" w:rsidR="005E63DB">
        <w:rPr>
          <w:rFonts w:cs="Times New Roman"/>
          <w:sz w:val="22"/>
        </w:rPr>
        <w:t xml:space="preserve"> Rabo filed a UCC-1 finance statement.  </w:t>
      </w:r>
      <w:r w:rsidRPr="00CF51E3">
        <w:rPr>
          <w:rFonts w:cs="Times New Roman"/>
          <w:sz w:val="22"/>
        </w:rPr>
        <w:t xml:space="preserve">Ollis filed a Chapter 12 </w:t>
      </w:r>
      <w:r w:rsidRPr="00CF51E3" w:rsidR="005E63DB">
        <w:rPr>
          <w:rFonts w:cs="Times New Roman"/>
          <w:sz w:val="22"/>
        </w:rPr>
        <w:t>bankruptcy.  Rabo was owed $</w:t>
      </w:r>
      <w:r w:rsidRPr="00CF51E3">
        <w:rPr>
          <w:rFonts w:cs="Times New Roman"/>
          <w:sz w:val="22"/>
        </w:rPr>
        <w:t>1,606,622.61</w:t>
      </w:r>
      <w:r w:rsidRPr="00CF51E3" w:rsidR="005E63DB">
        <w:rPr>
          <w:rFonts w:cs="Times New Roman"/>
          <w:sz w:val="22"/>
        </w:rPr>
        <w:t xml:space="preserve">. </w:t>
      </w:r>
      <w:r w:rsidRPr="00CF51E3" w:rsidR="0081618F">
        <w:rPr>
          <w:rFonts w:cs="Times New Roman"/>
          <w:sz w:val="22"/>
        </w:rPr>
        <w:t xml:space="preserve"> </w:t>
      </w:r>
      <w:r w:rsidRPr="00CF51E3" w:rsidR="005E63DB">
        <w:rPr>
          <w:rFonts w:cs="Times New Roman"/>
          <w:sz w:val="22"/>
        </w:rPr>
        <w:t>Ollis argued</w:t>
      </w:r>
      <w:r w:rsidRPr="00CF51E3" w:rsidR="0081618F">
        <w:rPr>
          <w:rFonts w:cs="Times New Roman"/>
          <w:sz w:val="22"/>
        </w:rPr>
        <w:t xml:space="preserve">, although with no legal authority, </w:t>
      </w:r>
      <w:r w:rsidRPr="00CF51E3" w:rsidR="005E63DB">
        <w:rPr>
          <w:rFonts w:cs="Times New Roman"/>
          <w:sz w:val="22"/>
        </w:rPr>
        <w:t>that Rabo</w:t>
      </w:r>
      <w:r w:rsidRPr="00CF51E3" w:rsidR="0081618F">
        <w:rPr>
          <w:rFonts w:cs="Times New Roman"/>
          <w:sz w:val="22"/>
        </w:rPr>
        <w:t>’s</w:t>
      </w:r>
      <w:r w:rsidRPr="00CF51E3" w:rsidR="005E63DB">
        <w:rPr>
          <w:rFonts w:cs="Times New Roman"/>
          <w:sz w:val="22"/>
        </w:rPr>
        <w:t xml:space="preserve"> security interest was limited to the cattle because</w:t>
      </w:r>
      <w:r w:rsidRPr="00CF51E3" w:rsidR="003154BE">
        <w:rPr>
          <w:rFonts w:cs="Times New Roman"/>
          <w:sz w:val="22"/>
        </w:rPr>
        <w:t xml:space="preserve"> the hay was not a crop</w:t>
      </w:r>
      <w:r w:rsidRPr="00CF51E3" w:rsidR="005E63DB">
        <w:rPr>
          <w:rFonts w:cs="Times New Roman"/>
          <w:sz w:val="22"/>
        </w:rPr>
        <w:t xml:space="preserve">.  </w:t>
      </w:r>
      <w:r w:rsidRPr="00CF51E3" w:rsidR="003154BE">
        <w:rPr>
          <w:rFonts w:cs="Times New Roman"/>
          <w:sz w:val="22"/>
        </w:rPr>
        <w:t xml:space="preserve">Rabo argued that hay is a “farm product” for purpose of UCC </w:t>
      </w:r>
      <w:r w:rsidR="007D7D4B">
        <w:rPr>
          <w:rFonts w:cs="Times New Roman"/>
          <w:sz w:val="22"/>
        </w:rPr>
        <w:t>§</w:t>
      </w:r>
      <w:r w:rsidRPr="00CF51E3" w:rsidR="003154BE">
        <w:rPr>
          <w:rFonts w:cs="Times New Roman"/>
          <w:sz w:val="22"/>
        </w:rPr>
        <w:t>9-102(3</w:t>
      </w:r>
      <w:r w:rsidRPr="00CF51E3" w:rsidR="0081618F">
        <w:rPr>
          <w:rFonts w:cs="Times New Roman"/>
          <w:sz w:val="22"/>
        </w:rPr>
        <w:t>4</w:t>
      </w:r>
      <w:r w:rsidRPr="00CF51E3" w:rsidR="003154BE">
        <w:rPr>
          <w:rFonts w:cs="Times New Roman"/>
          <w:sz w:val="22"/>
        </w:rPr>
        <w:t>).</w:t>
      </w:r>
      <w:r w:rsidRPr="00CF51E3" w:rsidR="0081618F">
        <w:rPr>
          <w:rFonts w:cs="Times New Roman"/>
          <w:sz w:val="22"/>
        </w:rPr>
        <w:t xml:space="preserve">  UCC </w:t>
      </w:r>
      <w:r w:rsidR="007D7D4B">
        <w:rPr>
          <w:rFonts w:cs="Times New Roman"/>
          <w:sz w:val="22"/>
        </w:rPr>
        <w:t>§</w:t>
      </w:r>
      <w:r w:rsidRPr="00CF51E3" w:rsidR="0081618F">
        <w:rPr>
          <w:rFonts w:cs="Times New Roman"/>
          <w:sz w:val="22"/>
        </w:rPr>
        <w:t xml:space="preserve">9-102(33) </w:t>
      </w:r>
      <w:r w:rsidRPr="00CF51E3" w:rsidR="005E63DB">
        <w:rPr>
          <w:rFonts w:cs="Times New Roman"/>
          <w:sz w:val="22"/>
        </w:rPr>
        <w:t xml:space="preserve">  The </w:t>
      </w:r>
      <w:r w:rsidRPr="00CF51E3" w:rsidR="003154BE">
        <w:rPr>
          <w:rFonts w:cs="Times New Roman"/>
          <w:sz w:val="22"/>
        </w:rPr>
        <w:t xml:space="preserve">Court agreed and </w:t>
      </w:r>
      <w:r w:rsidRPr="00CF51E3">
        <w:rPr>
          <w:rFonts w:cs="Times New Roman"/>
          <w:sz w:val="22"/>
        </w:rPr>
        <w:t>h</w:t>
      </w:r>
      <w:r w:rsidRPr="00CF51E3" w:rsidR="003154BE">
        <w:rPr>
          <w:rFonts w:cs="Times New Roman"/>
          <w:sz w:val="22"/>
        </w:rPr>
        <w:t xml:space="preserve">eld that </w:t>
      </w:r>
      <w:r w:rsidRPr="00CF51E3">
        <w:rPr>
          <w:rFonts w:cs="Times New Roman"/>
          <w:sz w:val="22"/>
        </w:rPr>
        <w:t xml:space="preserve">Rabo’s security </w:t>
      </w:r>
      <w:r w:rsidRPr="00CF51E3" w:rsidR="003154BE">
        <w:rPr>
          <w:rFonts w:cs="Times New Roman"/>
          <w:sz w:val="22"/>
        </w:rPr>
        <w:t>interest was</w:t>
      </w:r>
      <w:r w:rsidRPr="00CF51E3">
        <w:rPr>
          <w:rFonts w:cs="Times New Roman"/>
          <w:sz w:val="22"/>
        </w:rPr>
        <w:t xml:space="preserve"> </w:t>
      </w:r>
      <w:r w:rsidRPr="00CF51E3" w:rsidR="003154BE">
        <w:rPr>
          <w:rFonts w:cs="Times New Roman"/>
          <w:sz w:val="22"/>
        </w:rPr>
        <w:t>sufficient to perfect its lien i</w:t>
      </w:r>
      <w:r w:rsidRPr="00CF51E3">
        <w:rPr>
          <w:rFonts w:cs="Times New Roman"/>
          <w:sz w:val="22"/>
        </w:rPr>
        <w:t xml:space="preserve">n the </w:t>
      </w:r>
      <w:r w:rsidRPr="00CF51E3" w:rsidR="003154BE">
        <w:rPr>
          <w:rFonts w:cs="Times New Roman"/>
          <w:sz w:val="22"/>
        </w:rPr>
        <w:t>hay</w:t>
      </w:r>
      <w:r w:rsidRPr="00CF51E3">
        <w:rPr>
          <w:rFonts w:cs="Times New Roman"/>
          <w:sz w:val="22"/>
        </w:rPr>
        <w:t xml:space="preserve">. </w:t>
      </w:r>
      <w:r w:rsidRPr="00CF51E3">
        <w:rPr>
          <w:rFonts w:eastAsia="Calibri" w:cs="Times New Roman"/>
          <w:i/>
          <w:sz w:val="22"/>
        </w:rPr>
        <w:t>In re Ollis C/A No.</w:t>
      </w:r>
      <w:r w:rsidRPr="00CF51E3" w:rsidR="009C1FC9">
        <w:rPr>
          <w:rFonts w:eastAsia="Calibri" w:cs="Times New Roman"/>
          <w:i/>
          <w:sz w:val="22"/>
        </w:rPr>
        <w:t xml:space="preserve"> </w:t>
      </w:r>
      <w:r w:rsidRPr="00CF51E3">
        <w:rPr>
          <w:rFonts w:eastAsia="Calibri" w:cs="Times New Roman"/>
          <w:i/>
          <w:sz w:val="22"/>
        </w:rPr>
        <w:t>18-04549-HB (</w:t>
      </w:r>
      <w:r w:rsidRPr="00CF51E3" w:rsidR="003154BE">
        <w:rPr>
          <w:rFonts w:eastAsia="Calibri" w:cs="Times New Roman"/>
          <w:i/>
          <w:sz w:val="22"/>
        </w:rPr>
        <w:t xml:space="preserve">Bankr. S.D. S.C. </w:t>
      </w:r>
      <w:r w:rsidRPr="00CF51E3" w:rsidR="00530C00">
        <w:rPr>
          <w:rFonts w:eastAsia="Calibri" w:cs="Times New Roman"/>
          <w:i/>
          <w:sz w:val="22"/>
        </w:rPr>
        <w:t xml:space="preserve">March 21, </w:t>
      </w:r>
      <w:r w:rsidRPr="00CF51E3">
        <w:rPr>
          <w:rFonts w:eastAsia="Calibri" w:cs="Times New Roman"/>
          <w:i/>
          <w:sz w:val="22"/>
        </w:rPr>
        <w:t>2019)</w:t>
      </w:r>
      <w:r w:rsidRPr="00CF51E3" w:rsidR="003154BE">
        <w:rPr>
          <w:rFonts w:eastAsia="Calibri" w:cs="Times New Roman"/>
          <w:i/>
          <w:sz w:val="22"/>
        </w:rPr>
        <w:t>.</w:t>
      </w:r>
    </w:p>
    <w:p w:rsidR="003D3283" w:rsidRPr="00CF51E3" w:rsidP="004D6042">
      <w:pPr>
        <w:jc w:val="both"/>
        <w:rPr>
          <w:rFonts w:cs="Times New Roman"/>
          <w:b/>
          <w:sz w:val="22"/>
        </w:rPr>
      </w:pPr>
    </w:p>
    <w:p w:rsidR="001A052E" w:rsidRPr="00CF51E3" w:rsidP="003D3283">
      <w:pPr>
        <w:ind w:left="360" w:firstLine="360"/>
        <w:jc w:val="both"/>
        <w:rPr>
          <w:rFonts w:cs="Times New Roman"/>
          <w:b/>
          <w:sz w:val="22"/>
        </w:rPr>
      </w:pPr>
      <w:r w:rsidRPr="00CF51E3">
        <w:rPr>
          <w:rFonts w:cs="Times New Roman"/>
          <w:b/>
          <w:sz w:val="22"/>
        </w:rPr>
        <w:t>B.</w:t>
      </w:r>
      <w:r w:rsidRPr="00CF51E3">
        <w:rPr>
          <w:rFonts w:cs="Times New Roman"/>
          <w:b/>
          <w:sz w:val="22"/>
        </w:rPr>
        <w:tab/>
      </w:r>
      <w:r w:rsidRPr="00CF51E3" w:rsidR="00B91A69">
        <w:rPr>
          <w:rFonts w:cs="Times New Roman"/>
          <w:b/>
          <w:sz w:val="22"/>
        </w:rPr>
        <w:t>P</w:t>
      </w:r>
      <w:r w:rsidRPr="00CF51E3" w:rsidR="001C25F0">
        <w:rPr>
          <w:rFonts w:cs="Times New Roman"/>
          <w:b/>
          <w:sz w:val="22"/>
        </w:rPr>
        <w:t>erfection.</w:t>
      </w:r>
    </w:p>
    <w:p w:rsidR="004D6042" w:rsidRPr="00CF51E3" w:rsidP="003D3283">
      <w:pPr>
        <w:ind w:left="360" w:firstLine="360"/>
        <w:jc w:val="both"/>
        <w:rPr>
          <w:rFonts w:cs="Times New Roman"/>
          <w:b/>
          <w:sz w:val="22"/>
        </w:rPr>
      </w:pPr>
    </w:p>
    <w:p w:rsidR="003050B6" w:rsidRPr="00CF51E3" w:rsidP="00D050C8">
      <w:pPr>
        <w:ind w:left="720"/>
        <w:jc w:val="both"/>
        <w:rPr>
          <w:rFonts w:cs="Times New Roman"/>
          <w:sz w:val="22"/>
        </w:rPr>
      </w:pPr>
      <w:r>
        <w:rPr>
          <w:rFonts w:cs="Times New Roman"/>
          <w:b/>
          <w:sz w:val="22"/>
        </w:rPr>
        <w:t>1.</w:t>
      </w:r>
      <w:r>
        <w:rPr>
          <w:rFonts w:cs="Times New Roman"/>
          <w:b/>
          <w:sz w:val="22"/>
        </w:rPr>
        <w:tab/>
      </w:r>
      <w:r w:rsidRPr="00CF51E3" w:rsidR="003154BE">
        <w:rPr>
          <w:rFonts w:cs="Times New Roman"/>
          <w:b/>
          <w:sz w:val="22"/>
        </w:rPr>
        <w:t>UCC-1 Finance Statement Description</w:t>
      </w:r>
      <w:r w:rsidRPr="00CF51E3">
        <w:rPr>
          <w:rFonts w:cs="Times New Roman"/>
          <w:b/>
          <w:sz w:val="22"/>
        </w:rPr>
        <w:t xml:space="preserve">: </w:t>
      </w:r>
      <w:r w:rsidRPr="00CF51E3" w:rsidR="0081618F">
        <w:rPr>
          <w:rFonts w:cs="Times New Roman"/>
          <w:b/>
          <w:sz w:val="22"/>
        </w:rPr>
        <w:t>Serial n</w:t>
      </w:r>
      <w:r w:rsidRPr="00CF51E3" w:rsidR="003154BE">
        <w:rPr>
          <w:rFonts w:cs="Times New Roman"/>
          <w:b/>
          <w:sz w:val="22"/>
        </w:rPr>
        <w:t xml:space="preserve">umbers are </w:t>
      </w:r>
      <w:r w:rsidRPr="00CF51E3">
        <w:rPr>
          <w:rFonts w:cs="Times New Roman"/>
          <w:b/>
          <w:sz w:val="22"/>
        </w:rPr>
        <w:t xml:space="preserve">not </w:t>
      </w:r>
      <w:r w:rsidRPr="00CF51E3" w:rsidR="0081618F">
        <w:rPr>
          <w:rFonts w:cs="Times New Roman"/>
          <w:b/>
          <w:sz w:val="22"/>
        </w:rPr>
        <w:t>r</w:t>
      </w:r>
      <w:r w:rsidRPr="00CF51E3" w:rsidR="003154BE">
        <w:rPr>
          <w:rFonts w:cs="Times New Roman"/>
          <w:b/>
          <w:sz w:val="22"/>
        </w:rPr>
        <w:t>equired</w:t>
      </w:r>
      <w:r w:rsidRPr="00CF51E3" w:rsidR="0081618F">
        <w:rPr>
          <w:rFonts w:cs="Times New Roman"/>
          <w:b/>
          <w:sz w:val="22"/>
        </w:rPr>
        <w:t xml:space="preserve"> to perfect security interest in equipment</w:t>
      </w:r>
      <w:r w:rsidRPr="00CF51E3" w:rsidR="003154BE">
        <w:rPr>
          <w:rFonts w:cs="Times New Roman"/>
          <w:b/>
          <w:sz w:val="22"/>
        </w:rPr>
        <w:t>.</w:t>
      </w:r>
      <w:r w:rsidRPr="00CF51E3" w:rsidR="003154BE">
        <w:rPr>
          <w:rFonts w:cs="Times New Roman"/>
          <w:sz w:val="22"/>
        </w:rPr>
        <w:t xml:space="preserve">  Ollis Farms, LLC (</w:t>
      </w:r>
      <w:r w:rsidR="007D7D4B">
        <w:rPr>
          <w:rFonts w:cs="Times New Roman"/>
          <w:sz w:val="22"/>
        </w:rPr>
        <w:t>the “</w:t>
      </w:r>
      <w:r w:rsidRPr="00CF51E3" w:rsidR="003154BE">
        <w:rPr>
          <w:rFonts w:cs="Times New Roman"/>
          <w:sz w:val="22"/>
        </w:rPr>
        <w:t>LLC</w:t>
      </w:r>
      <w:r w:rsidR="007D7D4B">
        <w:rPr>
          <w:rFonts w:cs="Times New Roman"/>
          <w:sz w:val="22"/>
        </w:rPr>
        <w:t>”</w:t>
      </w:r>
      <w:r w:rsidRPr="00CF51E3" w:rsidR="003154BE">
        <w:rPr>
          <w:rFonts w:cs="Times New Roman"/>
          <w:sz w:val="22"/>
        </w:rPr>
        <w:t xml:space="preserve">) </w:t>
      </w:r>
      <w:r w:rsidRPr="00CF51E3" w:rsidR="0081618F">
        <w:rPr>
          <w:rFonts w:cs="Times New Roman"/>
          <w:sz w:val="22"/>
        </w:rPr>
        <w:t>was</w:t>
      </w:r>
      <w:r w:rsidR="00696229">
        <w:rPr>
          <w:rFonts w:cs="Times New Roman"/>
          <w:sz w:val="22"/>
        </w:rPr>
        <w:t xml:space="preserve"> a farming operation that bought, raised, and fatte</w:t>
      </w:r>
      <w:r w:rsidR="004C534A">
        <w:rPr>
          <w:rFonts w:cs="Times New Roman"/>
          <w:sz w:val="22"/>
        </w:rPr>
        <w:t>n</w:t>
      </w:r>
      <w:r w:rsidR="00696229">
        <w:rPr>
          <w:rFonts w:cs="Times New Roman"/>
          <w:sz w:val="22"/>
        </w:rPr>
        <w:t>ed</w:t>
      </w:r>
      <w:bookmarkStart w:id="0" w:name="_GoBack"/>
      <w:bookmarkEnd w:id="0"/>
      <w:r w:rsidRPr="00CF51E3" w:rsidR="003154BE">
        <w:rPr>
          <w:rFonts w:cs="Times New Roman"/>
          <w:sz w:val="22"/>
        </w:rPr>
        <w:t xml:space="preserve"> cattle to be sold.  James Ollis (</w:t>
      </w:r>
      <w:r w:rsidR="007D7D4B">
        <w:rPr>
          <w:rFonts w:cs="Times New Roman"/>
          <w:sz w:val="22"/>
        </w:rPr>
        <w:t>“</w:t>
      </w:r>
      <w:r w:rsidRPr="00CF51E3" w:rsidR="003154BE">
        <w:rPr>
          <w:rFonts w:cs="Times New Roman"/>
          <w:sz w:val="22"/>
        </w:rPr>
        <w:t>Ollis</w:t>
      </w:r>
      <w:r w:rsidR="007D7D4B">
        <w:rPr>
          <w:rFonts w:cs="Times New Roman"/>
          <w:sz w:val="22"/>
        </w:rPr>
        <w:t>”</w:t>
      </w:r>
      <w:r w:rsidRPr="00CF51E3" w:rsidR="003154BE">
        <w:rPr>
          <w:rFonts w:cs="Times New Roman"/>
          <w:sz w:val="22"/>
        </w:rPr>
        <w:t>) was the principal of the LLC.  The LLC and Ollis were indebted to Rabo Agrifinance LLC (</w:t>
      </w:r>
      <w:r w:rsidR="007D7D4B">
        <w:rPr>
          <w:rFonts w:cs="Times New Roman"/>
          <w:sz w:val="22"/>
        </w:rPr>
        <w:t>“</w:t>
      </w:r>
      <w:r w:rsidRPr="00CF51E3" w:rsidR="003154BE">
        <w:rPr>
          <w:rFonts w:cs="Times New Roman"/>
          <w:sz w:val="22"/>
        </w:rPr>
        <w:t>Rabo</w:t>
      </w:r>
      <w:r w:rsidR="007D7D4B">
        <w:rPr>
          <w:rFonts w:cs="Times New Roman"/>
          <w:sz w:val="22"/>
        </w:rPr>
        <w:t>”</w:t>
      </w:r>
      <w:r w:rsidRPr="00CF51E3" w:rsidR="003154BE">
        <w:rPr>
          <w:rFonts w:cs="Times New Roman"/>
          <w:sz w:val="22"/>
        </w:rPr>
        <w:t>).  The debt was secured by a security interest in all accounts, inventory, equipment, farm products and substitutes and replacements of the LLC and Ollis.  Rabo filed a UCC-1 finance statement.  Ollis filed a Chapter 12 bankruptcy.  Rabo was owed $1,606,622.61. Ollis argued that Rabo</w:t>
      </w:r>
      <w:r w:rsidRPr="00CF51E3" w:rsidR="0081618F">
        <w:rPr>
          <w:rFonts w:cs="Times New Roman"/>
          <w:sz w:val="22"/>
        </w:rPr>
        <w:t>’s</w:t>
      </w:r>
      <w:r w:rsidRPr="00CF51E3" w:rsidR="003154BE">
        <w:rPr>
          <w:rFonts w:cs="Times New Roman"/>
          <w:sz w:val="22"/>
        </w:rPr>
        <w:t xml:space="preserve"> security in</w:t>
      </w:r>
      <w:r w:rsidRPr="00CF51E3" w:rsidR="0081618F">
        <w:rPr>
          <w:rFonts w:cs="Times New Roman"/>
          <w:sz w:val="22"/>
        </w:rPr>
        <w:t xml:space="preserve">terest in equipment was not perfected because </w:t>
      </w:r>
      <w:r w:rsidRPr="00CF51E3" w:rsidR="003154BE">
        <w:rPr>
          <w:rFonts w:cs="Times New Roman"/>
          <w:sz w:val="22"/>
        </w:rPr>
        <w:t xml:space="preserve">the UCC-1 finance statement failed to list the serial numbers for the equipment.  Rabo argued that the UCC-1 finance statement did not need to list the serial numbers to be effective under UCC </w:t>
      </w:r>
      <w:r w:rsidR="007D7D4B">
        <w:rPr>
          <w:rFonts w:cs="Times New Roman"/>
          <w:sz w:val="22"/>
        </w:rPr>
        <w:t>§</w:t>
      </w:r>
      <w:r w:rsidRPr="00CF51E3" w:rsidR="003154BE">
        <w:rPr>
          <w:rFonts w:cs="Times New Roman"/>
          <w:sz w:val="22"/>
        </w:rPr>
        <w:t xml:space="preserve">9-504.  The Court agreed and held that Rabo’s security interest was sufficient to perfect its lien in the equipment. </w:t>
      </w:r>
      <w:r w:rsidRPr="00CF51E3" w:rsidR="003154BE">
        <w:rPr>
          <w:rFonts w:eastAsia="Calibri" w:cs="Times New Roman"/>
          <w:i/>
          <w:sz w:val="22"/>
        </w:rPr>
        <w:t xml:space="preserve">In re Ollis C/A No.18-04549-HB (Bankr. S.D. S.C. </w:t>
      </w:r>
      <w:r w:rsidRPr="00CF51E3" w:rsidR="00530C00">
        <w:rPr>
          <w:rFonts w:eastAsia="Calibri" w:cs="Times New Roman"/>
          <w:i/>
          <w:sz w:val="22"/>
        </w:rPr>
        <w:t xml:space="preserve">March 21, </w:t>
      </w:r>
      <w:r w:rsidRPr="00CF51E3" w:rsidR="003154BE">
        <w:rPr>
          <w:rFonts w:eastAsia="Calibri" w:cs="Times New Roman"/>
          <w:i/>
          <w:sz w:val="22"/>
        </w:rPr>
        <w:t>2019).</w:t>
      </w:r>
    </w:p>
    <w:p w:rsidR="00D050C8" w:rsidRPr="00CF51E3" w:rsidP="00D050C8">
      <w:pPr>
        <w:ind w:left="720"/>
        <w:jc w:val="both"/>
        <w:rPr>
          <w:rFonts w:cs="Times New Roman"/>
          <w:sz w:val="22"/>
        </w:rPr>
      </w:pPr>
    </w:p>
    <w:p w:rsidR="00CD55F9" w:rsidRPr="00CF51E3" w:rsidP="003050B6">
      <w:pPr>
        <w:spacing w:after="240"/>
        <w:ind w:left="720"/>
        <w:jc w:val="both"/>
        <w:rPr>
          <w:rFonts w:eastAsia="Calibri" w:cs="Times New Roman"/>
          <w:sz w:val="22"/>
        </w:rPr>
      </w:pPr>
      <w:r>
        <w:rPr>
          <w:rFonts w:eastAsia="Calibri" w:cs="Times New Roman"/>
          <w:b/>
          <w:sz w:val="22"/>
        </w:rPr>
        <w:t>2.</w:t>
      </w:r>
      <w:r>
        <w:rPr>
          <w:rFonts w:eastAsia="Calibri" w:cs="Times New Roman"/>
          <w:b/>
          <w:sz w:val="22"/>
        </w:rPr>
        <w:tab/>
      </w:r>
      <w:r w:rsidRPr="00CF51E3" w:rsidR="0081618F">
        <w:rPr>
          <w:rFonts w:eastAsia="Calibri" w:cs="Times New Roman"/>
          <w:b/>
          <w:sz w:val="22"/>
        </w:rPr>
        <w:t>Bankruptcy filing preempts requirement to file timely UCC-1 continuation statement</w:t>
      </w:r>
      <w:r w:rsidRPr="00CF51E3" w:rsidR="003050B6">
        <w:rPr>
          <w:rFonts w:eastAsia="Calibri" w:cs="Times New Roman"/>
          <w:b/>
          <w:sz w:val="22"/>
        </w:rPr>
        <w:t>.</w:t>
      </w:r>
      <w:r w:rsidRPr="00CF51E3" w:rsidR="003050B6">
        <w:rPr>
          <w:rFonts w:eastAsia="Calibri" w:cs="Times New Roman"/>
          <w:sz w:val="22"/>
        </w:rPr>
        <w:t xml:space="preserve">  Essex Construction, LLC (</w:t>
      </w:r>
      <w:r w:rsidR="00197762">
        <w:rPr>
          <w:rFonts w:eastAsia="Calibri" w:cs="Times New Roman"/>
          <w:sz w:val="22"/>
        </w:rPr>
        <w:t>the “</w:t>
      </w:r>
      <w:r w:rsidRPr="00CF51E3" w:rsidR="003050B6">
        <w:rPr>
          <w:rFonts w:eastAsia="Calibri" w:cs="Times New Roman"/>
          <w:sz w:val="22"/>
        </w:rPr>
        <w:t>Debtor</w:t>
      </w:r>
      <w:r w:rsidR="00197762">
        <w:rPr>
          <w:rFonts w:eastAsia="Calibri" w:cs="Times New Roman"/>
          <w:sz w:val="22"/>
        </w:rPr>
        <w:t>”</w:t>
      </w:r>
      <w:r w:rsidRPr="00CF51E3" w:rsidR="003050B6">
        <w:rPr>
          <w:rFonts w:eastAsia="Calibri" w:cs="Times New Roman"/>
          <w:sz w:val="22"/>
        </w:rPr>
        <w:t>) was indebted to Industrial Bank (</w:t>
      </w:r>
      <w:r w:rsidR="00197762">
        <w:rPr>
          <w:rFonts w:eastAsia="Calibri" w:cs="Times New Roman"/>
          <w:sz w:val="22"/>
        </w:rPr>
        <w:t>“</w:t>
      </w:r>
      <w:r w:rsidRPr="00CF51E3" w:rsidR="003050B6">
        <w:rPr>
          <w:rFonts w:eastAsia="Calibri" w:cs="Times New Roman"/>
          <w:sz w:val="22"/>
        </w:rPr>
        <w:t>Bank A</w:t>
      </w:r>
      <w:r w:rsidR="00197762">
        <w:rPr>
          <w:rFonts w:eastAsia="Calibri" w:cs="Times New Roman"/>
          <w:sz w:val="22"/>
        </w:rPr>
        <w:t>”</w:t>
      </w:r>
      <w:r w:rsidRPr="00CF51E3" w:rsidR="003050B6">
        <w:rPr>
          <w:rFonts w:eastAsia="Calibri" w:cs="Times New Roman"/>
          <w:sz w:val="22"/>
        </w:rPr>
        <w:t>) and Firstrust Bank (</w:t>
      </w:r>
      <w:r w:rsidR="00197762">
        <w:rPr>
          <w:rFonts w:eastAsia="Calibri" w:cs="Times New Roman"/>
          <w:sz w:val="22"/>
        </w:rPr>
        <w:t>“</w:t>
      </w:r>
      <w:r w:rsidRPr="00CF51E3" w:rsidR="003050B6">
        <w:rPr>
          <w:rFonts w:eastAsia="Calibri" w:cs="Times New Roman"/>
          <w:sz w:val="22"/>
        </w:rPr>
        <w:t>Bank B</w:t>
      </w:r>
      <w:r w:rsidR="00197762">
        <w:rPr>
          <w:rFonts w:eastAsia="Calibri" w:cs="Times New Roman"/>
          <w:sz w:val="22"/>
        </w:rPr>
        <w:t>”</w:t>
      </w:r>
      <w:r w:rsidRPr="00CF51E3" w:rsidR="003050B6">
        <w:rPr>
          <w:rFonts w:eastAsia="Calibri" w:cs="Times New Roman"/>
          <w:sz w:val="22"/>
        </w:rPr>
        <w:t xml:space="preserve">).  The Bank A debt was secured by a security interest in the assets of the Debtor.  Bank A filed a UCC-1 in 2012.    The Bank B debt was secured by a security interest in the </w:t>
      </w:r>
      <w:r w:rsidRPr="00CF51E3" w:rsidR="0081618F">
        <w:rPr>
          <w:rFonts w:eastAsia="Calibri" w:cs="Times New Roman"/>
          <w:sz w:val="22"/>
        </w:rPr>
        <w:t xml:space="preserve">same </w:t>
      </w:r>
      <w:r w:rsidRPr="00CF51E3" w:rsidR="003050B6">
        <w:rPr>
          <w:rFonts w:eastAsia="Calibri" w:cs="Times New Roman"/>
          <w:sz w:val="22"/>
        </w:rPr>
        <w:t>assets of the Debtor.  Bank B filed a UCC-1 in 2014.  On November 4, 2016, the D</w:t>
      </w:r>
      <w:r w:rsidRPr="00CF51E3">
        <w:rPr>
          <w:rFonts w:eastAsia="Calibri" w:cs="Times New Roman"/>
          <w:sz w:val="22"/>
        </w:rPr>
        <w:t>ebtor filed chapter 11 bankruptcy.</w:t>
      </w:r>
      <w:r w:rsidRPr="00CF51E3" w:rsidR="003050B6">
        <w:rPr>
          <w:rFonts w:eastAsia="Calibri" w:cs="Times New Roman"/>
          <w:sz w:val="22"/>
        </w:rPr>
        <w:t xml:space="preserve">  </w:t>
      </w:r>
      <w:r w:rsidRPr="00CF51E3" w:rsidR="00260684">
        <w:rPr>
          <w:rFonts w:eastAsia="Calibri" w:cs="Times New Roman"/>
          <w:sz w:val="22"/>
        </w:rPr>
        <w:t xml:space="preserve">Bank A did not file a UCC-1 continuation statement in 2017.  </w:t>
      </w:r>
      <w:r w:rsidRPr="00CF51E3" w:rsidR="003050B6">
        <w:rPr>
          <w:rFonts w:eastAsia="Calibri" w:cs="Times New Roman"/>
          <w:sz w:val="22"/>
        </w:rPr>
        <w:t xml:space="preserve">Bank B argued that by virtue of UCC </w:t>
      </w:r>
      <w:r w:rsidR="00197762">
        <w:rPr>
          <w:rFonts w:eastAsia="Calibri" w:cs="Times New Roman"/>
          <w:sz w:val="22"/>
        </w:rPr>
        <w:t>§</w:t>
      </w:r>
      <w:r w:rsidRPr="00CF51E3" w:rsidR="003050B6">
        <w:rPr>
          <w:rFonts w:eastAsia="Calibri" w:cs="Times New Roman"/>
          <w:sz w:val="22"/>
        </w:rPr>
        <w:t>9-515 (</w:t>
      </w:r>
      <w:r w:rsidRPr="00CF51E3" w:rsidR="0081618F">
        <w:rPr>
          <w:rFonts w:eastAsia="Calibri" w:cs="Times New Roman"/>
          <w:sz w:val="22"/>
        </w:rPr>
        <w:t xml:space="preserve">i.e. </w:t>
      </w:r>
      <w:r w:rsidRPr="00CF51E3" w:rsidR="003050B6">
        <w:rPr>
          <w:rFonts w:eastAsia="Calibri" w:cs="Times New Roman"/>
          <w:sz w:val="22"/>
        </w:rPr>
        <w:t xml:space="preserve">the </w:t>
      </w:r>
      <w:r w:rsidRPr="00CF51E3" w:rsidR="0081618F">
        <w:rPr>
          <w:rFonts w:eastAsia="Calibri" w:cs="Times New Roman"/>
          <w:sz w:val="22"/>
        </w:rPr>
        <w:t xml:space="preserve">requirement to file a UCC-1 continuation statement every </w:t>
      </w:r>
      <w:r w:rsidRPr="00CF51E3" w:rsidR="003050B6">
        <w:rPr>
          <w:rFonts w:eastAsia="Calibri" w:cs="Times New Roman"/>
          <w:sz w:val="22"/>
        </w:rPr>
        <w:t>5 year</w:t>
      </w:r>
      <w:r w:rsidRPr="00CF51E3" w:rsidR="0081618F">
        <w:rPr>
          <w:rFonts w:eastAsia="Calibri" w:cs="Times New Roman"/>
          <w:sz w:val="22"/>
        </w:rPr>
        <w:t>s</w:t>
      </w:r>
      <w:r w:rsidRPr="00CF51E3" w:rsidR="003050B6">
        <w:rPr>
          <w:rFonts w:eastAsia="Calibri" w:cs="Times New Roman"/>
          <w:sz w:val="22"/>
        </w:rPr>
        <w:t>), the UCC-1 filed by Bank A lapsed in 2017.</w:t>
      </w:r>
      <w:r w:rsidRPr="00CF51E3" w:rsidR="00260684">
        <w:rPr>
          <w:rFonts w:eastAsia="Calibri" w:cs="Times New Roman"/>
          <w:sz w:val="22"/>
        </w:rPr>
        <w:t xml:space="preserve">  Bank B relied on the argument that revised Article 9 did not carry forward UCC </w:t>
      </w:r>
      <w:r w:rsidR="00197762">
        <w:rPr>
          <w:rFonts w:eastAsia="Calibri" w:cs="Times New Roman"/>
          <w:sz w:val="22"/>
        </w:rPr>
        <w:t>§</w:t>
      </w:r>
      <w:r w:rsidRPr="00CF51E3" w:rsidR="00260684">
        <w:rPr>
          <w:rFonts w:eastAsia="Calibri" w:cs="Times New Roman"/>
          <w:sz w:val="22"/>
        </w:rPr>
        <w:t xml:space="preserve">9-403(2) which specifically allowed a pre-insolvency lien to remain perfected during the insolvency action – and the state legislative intent was to require the filing of continuation statement during the insolvency action.  </w:t>
      </w:r>
      <w:r w:rsidRPr="00CF51E3" w:rsidR="003050B6">
        <w:rPr>
          <w:rFonts w:eastAsia="Calibri" w:cs="Times New Roman"/>
          <w:sz w:val="22"/>
        </w:rPr>
        <w:t>Bank A disagreed and argued that the filing of the Chapter 11 bankruptcy froze the priority of its security interest.  The Court agreed and</w:t>
      </w:r>
      <w:r w:rsidRPr="00CF51E3" w:rsidR="004855BA">
        <w:rPr>
          <w:rFonts w:eastAsia="Calibri" w:cs="Times New Roman"/>
          <w:sz w:val="22"/>
        </w:rPr>
        <w:t>,</w:t>
      </w:r>
      <w:r w:rsidRPr="00CF51E3" w:rsidR="003050B6">
        <w:rPr>
          <w:rFonts w:eastAsia="Calibri" w:cs="Times New Roman"/>
          <w:sz w:val="22"/>
        </w:rPr>
        <w:t xml:space="preserve"> relying on </w:t>
      </w:r>
      <w:r w:rsidRPr="00CF51E3" w:rsidR="004855BA">
        <w:rPr>
          <w:rFonts w:eastAsia="Calibri" w:cs="Times New Roman"/>
          <w:sz w:val="22"/>
        </w:rPr>
        <w:t xml:space="preserve">UCC </w:t>
      </w:r>
      <w:r w:rsidR="00197762">
        <w:rPr>
          <w:rFonts w:eastAsia="Calibri" w:cs="Times New Roman"/>
          <w:sz w:val="22"/>
        </w:rPr>
        <w:t>§</w:t>
      </w:r>
      <w:r w:rsidRPr="00CF51E3" w:rsidR="004855BA">
        <w:rPr>
          <w:rFonts w:eastAsia="Calibri" w:cs="Times New Roman"/>
          <w:sz w:val="22"/>
        </w:rPr>
        <w:t>9-515 cmt. 4 which defers whether the UCC-</w:t>
      </w:r>
      <w:r w:rsidR="00197762">
        <w:rPr>
          <w:rFonts w:eastAsia="Calibri" w:cs="Times New Roman"/>
          <w:sz w:val="22"/>
        </w:rPr>
        <w:t>3</w:t>
      </w:r>
      <w:r w:rsidRPr="00CF51E3" w:rsidR="004855BA">
        <w:rPr>
          <w:rFonts w:eastAsia="Calibri" w:cs="Times New Roman"/>
          <w:sz w:val="22"/>
        </w:rPr>
        <w:t xml:space="preserve"> continuation to the Bankruptcy Code and </w:t>
      </w:r>
      <w:r w:rsidRPr="00CF51E3" w:rsidR="003050B6">
        <w:rPr>
          <w:rFonts w:eastAsia="Calibri" w:cs="Times New Roman"/>
          <w:sz w:val="22"/>
        </w:rPr>
        <w:t xml:space="preserve">the Supreme Court decision in </w:t>
      </w:r>
      <w:r w:rsidRPr="00CF51E3" w:rsidR="003050B6">
        <w:rPr>
          <w:rFonts w:eastAsia="Calibri" w:cs="Times New Roman"/>
          <w:i/>
          <w:sz w:val="22"/>
        </w:rPr>
        <w:t>Isaacs v. Hobbs Tie &amp; Timber Co.</w:t>
      </w:r>
      <w:r w:rsidRPr="00CF51E3" w:rsidR="003050B6">
        <w:rPr>
          <w:rFonts w:eastAsia="Calibri" w:cs="Times New Roman"/>
          <w:sz w:val="22"/>
        </w:rPr>
        <w:t>, 282 U.S. 734, 738 (1931), held that the determination of lien priority is determined as of the bankruptcy filing</w:t>
      </w:r>
      <w:r w:rsidRPr="00CF51E3" w:rsidR="004855BA">
        <w:rPr>
          <w:rFonts w:eastAsia="Calibri" w:cs="Times New Roman"/>
          <w:sz w:val="22"/>
        </w:rPr>
        <w:t xml:space="preserve"> and the failure to file a UCC-1 continuation statement post-bankruptcy filing does not un-perfect the security interest</w:t>
      </w:r>
      <w:r w:rsidRPr="00CF51E3" w:rsidR="003050B6">
        <w:rPr>
          <w:rFonts w:eastAsia="Calibri" w:cs="Times New Roman"/>
          <w:sz w:val="22"/>
        </w:rPr>
        <w:t xml:space="preserve">.  </w:t>
      </w:r>
      <w:r w:rsidRPr="00CF51E3">
        <w:rPr>
          <w:rFonts w:eastAsia="Calibri" w:cs="Times New Roman"/>
          <w:i/>
          <w:sz w:val="22"/>
        </w:rPr>
        <w:t>In re Essex Construction, LLC</w:t>
      </w:r>
      <w:r w:rsidRPr="00CF51E3" w:rsidR="00530C00">
        <w:rPr>
          <w:rFonts w:eastAsia="Calibri" w:cs="Times New Roman"/>
          <w:i/>
          <w:sz w:val="22"/>
        </w:rPr>
        <w:t>,</w:t>
      </w:r>
      <w:r w:rsidRPr="00CF51E3">
        <w:rPr>
          <w:rFonts w:eastAsia="Calibri" w:cs="Times New Roman"/>
          <w:i/>
          <w:sz w:val="22"/>
        </w:rPr>
        <w:t xml:space="preserve"> 591 B.R. 630 (</w:t>
      </w:r>
      <w:r w:rsidRPr="00CF51E3" w:rsidR="00530C00">
        <w:rPr>
          <w:rFonts w:eastAsia="Calibri" w:cs="Times New Roman"/>
          <w:i/>
          <w:sz w:val="22"/>
        </w:rPr>
        <w:t xml:space="preserve">Bank. Md. </w:t>
      </w:r>
      <w:r w:rsidRPr="00CF51E3">
        <w:rPr>
          <w:rFonts w:eastAsia="Calibri" w:cs="Times New Roman"/>
          <w:i/>
          <w:sz w:val="22"/>
        </w:rPr>
        <w:t>2018).</w:t>
      </w:r>
    </w:p>
    <w:p w:rsidR="00260684" w:rsidRPr="00CF51E3" w:rsidP="00122594">
      <w:pPr>
        <w:ind w:left="1440"/>
        <w:jc w:val="both"/>
        <w:rPr>
          <w:rFonts w:cs="Times New Roman"/>
          <w:i/>
          <w:sz w:val="22"/>
        </w:rPr>
      </w:pPr>
      <w:r w:rsidRPr="00CF51E3">
        <w:rPr>
          <w:rFonts w:cs="Times New Roman"/>
          <w:i/>
          <w:sz w:val="22"/>
        </w:rPr>
        <w:t>Comment</w:t>
      </w:r>
      <w:r w:rsidRPr="00CF51E3" w:rsidR="006478B0">
        <w:rPr>
          <w:rFonts w:cs="Times New Roman"/>
          <w:i/>
          <w:sz w:val="22"/>
        </w:rPr>
        <w:t xml:space="preserve"> 1</w:t>
      </w:r>
      <w:r w:rsidRPr="00CF51E3">
        <w:rPr>
          <w:rFonts w:cs="Times New Roman"/>
          <w:i/>
          <w:sz w:val="22"/>
        </w:rPr>
        <w:t>.  The case was limited to a federal bankruptcy filing.  The argument of the objecting secured creditor may have weight if the insolvency action was commenced under state law (e.g. receivership, assignment for the benefit of creditors).</w:t>
      </w:r>
    </w:p>
    <w:p w:rsidR="00260684" w:rsidRPr="00CF51E3" w:rsidP="00260684">
      <w:pPr>
        <w:ind w:left="720"/>
        <w:jc w:val="both"/>
        <w:rPr>
          <w:rFonts w:cs="Times New Roman"/>
          <w:i/>
          <w:sz w:val="22"/>
        </w:rPr>
      </w:pPr>
    </w:p>
    <w:p w:rsidR="004D6042" w:rsidRPr="00CF51E3" w:rsidP="00122594">
      <w:pPr>
        <w:ind w:left="1440"/>
        <w:jc w:val="both"/>
        <w:rPr>
          <w:rFonts w:cs="Times New Roman"/>
          <w:i/>
          <w:sz w:val="22"/>
        </w:rPr>
      </w:pPr>
      <w:r w:rsidRPr="00CF51E3">
        <w:rPr>
          <w:rFonts w:cs="Times New Roman"/>
          <w:i/>
          <w:sz w:val="22"/>
        </w:rPr>
        <w:t>Comment</w:t>
      </w:r>
      <w:r w:rsidRPr="00CF51E3" w:rsidR="006478B0">
        <w:rPr>
          <w:rFonts w:cs="Times New Roman"/>
          <w:i/>
          <w:sz w:val="22"/>
        </w:rPr>
        <w:t xml:space="preserve"> 2</w:t>
      </w:r>
      <w:r w:rsidRPr="00CF51E3">
        <w:rPr>
          <w:rFonts w:cs="Times New Roman"/>
          <w:i/>
          <w:sz w:val="22"/>
        </w:rPr>
        <w:t xml:space="preserve">. </w:t>
      </w:r>
      <w:r w:rsidR="00197762">
        <w:rPr>
          <w:rFonts w:cs="Times New Roman"/>
          <w:i/>
          <w:sz w:val="22"/>
        </w:rPr>
        <w:t xml:space="preserve">Bank </w:t>
      </w:r>
      <w:r w:rsidRPr="00CF51E3">
        <w:rPr>
          <w:rFonts w:cs="Times New Roman"/>
          <w:i/>
          <w:sz w:val="22"/>
        </w:rPr>
        <w:t xml:space="preserve">A should </w:t>
      </w:r>
      <w:r w:rsidR="00197762">
        <w:rPr>
          <w:rFonts w:cs="Times New Roman"/>
          <w:i/>
          <w:sz w:val="22"/>
        </w:rPr>
        <w:t xml:space="preserve">still </w:t>
      </w:r>
      <w:r w:rsidRPr="00CF51E3">
        <w:rPr>
          <w:rFonts w:cs="Times New Roman"/>
          <w:i/>
          <w:sz w:val="22"/>
        </w:rPr>
        <w:t>file a UCC-</w:t>
      </w:r>
      <w:r w:rsidR="00197762">
        <w:rPr>
          <w:rFonts w:cs="Times New Roman"/>
          <w:i/>
          <w:sz w:val="22"/>
        </w:rPr>
        <w:t>3</w:t>
      </w:r>
      <w:r w:rsidRPr="00CF51E3">
        <w:rPr>
          <w:rFonts w:cs="Times New Roman"/>
          <w:i/>
          <w:sz w:val="22"/>
        </w:rPr>
        <w:t xml:space="preserve"> continuation statement.  The bankruptcy code does not stay the filing of a UCC-</w:t>
      </w:r>
      <w:r w:rsidR="00197762">
        <w:rPr>
          <w:rFonts w:cs="Times New Roman"/>
          <w:i/>
          <w:sz w:val="22"/>
        </w:rPr>
        <w:t>3</w:t>
      </w:r>
      <w:r w:rsidRPr="00CF51E3">
        <w:rPr>
          <w:rFonts w:cs="Times New Roman"/>
          <w:i/>
          <w:sz w:val="22"/>
        </w:rPr>
        <w:t xml:space="preserve"> continuation statement.  See 11 U.S.C. </w:t>
      </w:r>
      <w:r w:rsidRPr="00CF51E3" w:rsidR="004855BA">
        <w:rPr>
          <w:rFonts w:cs="Times New Roman"/>
          <w:i/>
          <w:sz w:val="22"/>
        </w:rPr>
        <w:t>362(b)(3)</w:t>
      </w:r>
      <w:r w:rsidRPr="00CF51E3">
        <w:rPr>
          <w:rFonts w:cs="Times New Roman"/>
          <w:i/>
          <w:sz w:val="22"/>
        </w:rPr>
        <w:t xml:space="preserve">.  </w:t>
      </w:r>
      <w:r w:rsidR="00197762">
        <w:rPr>
          <w:rFonts w:cs="Times New Roman"/>
          <w:i/>
          <w:sz w:val="22"/>
        </w:rPr>
        <w:t xml:space="preserve">A </w:t>
      </w:r>
      <w:r w:rsidRPr="00CF51E3">
        <w:rPr>
          <w:rFonts w:cs="Times New Roman"/>
          <w:i/>
          <w:sz w:val="22"/>
        </w:rPr>
        <w:t>risk is that the bankruptcy is dismissed and the failure to file the UCC-</w:t>
      </w:r>
      <w:r w:rsidR="00197762">
        <w:rPr>
          <w:rFonts w:cs="Times New Roman"/>
          <w:i/>
          <w:sz w:val="22"/>
        </w:rPr>
        <w:t>3</w:t>
      </w:r>
      <w:r w:rsidRPr="00CF51E3">
        <w:rPr>
          <w:rFonts w:cs="Times New Roman"/>
          <w:i/>
          <w:sz w:val="22"/>
        </w:rPr>
        <w:t xml:space="preserve"> continuation statement </w:t>
      </w:r>
      <w:r w:rsidRPr="00CF51E3" w:rsidR="004855BA">
        <w:rPr>
          <w:rFonts w:cs="Times New Roman"/>
          <w:i/>
          <w:sz w:val="22"/>
        </w:rPr>
        <w:t>immediately un-perfects the security interest of the senior secured creditor.  In some circumstances (namely, a Chapter 12 bankruptcy)</w:t>
      </w:r>
      <w:r w:rsidR="00197762">
        <w:rPr>
          <w:rFonts w:cs="Times New Roman"/>
          <w:i/>
          <w:sz w:val="22"/>
        </w:rPr>
        <w:t xml:space="preserve"> the bankruptcy </w:t>
      </w:r>
      <w:r w:rsidRPr="00CF51E3" w:rsidR="004855BA">
        <w:rPr>
          <w:rFonts w:cs="Times New Roman"/>
          <w:i/>
          <w:sz w:val="22"/>
        </w:rPr>
        <w:t xml:space="preserve">can be dismissed by the debtor without hearing and the consent of the court.  Another </w:t>
      </w:r>
      <w:r w:rsidR="00197762">
        <w:rPr>
          <w:rFonts w:cs="Times New Roman"/>
          <w:i/>
          <w:sz w:val="22"/>
        </w:rPr>
        <w:t xml:space="preserve">risk is that the UCC-3 is not filed and a Chapter 11 plan is </w:t>
      </w:r>
      <w:r w:rsidRPr="00CF51E3" w:rsidR="004855BA">
        <w:rPr>
          <w:rFonts w:cs="Times New Roman"/>
          <w:i/>
          <w:sz w:val="22"/>
        </w:rPr>
        <w:t>confirmed</w:t>
      </w:r>
      <w:r w:rsidR="00197762">
        <w:rPr>
          <w:rFonts w:cs="Times New Roman"/>
          <w:i/>
          <w:sz w:val="22"/>
        </w:rPr>
        <w:t xml:space="preserve">.  The confirmation of the Chapter 11 plan (and the subsequent </w:t>
      </w:r>
      <w:r w:rsidRPr="00CF51E3" w:rsidR="004855BA">
        <w:rPr>
          <w:rFonts w:cs="Times New Roman"/>
          <w:i/>
          <w:sz w:val="22"/>
        </w:rPr>
        <w:t>discharge order</w:t>
      </w:r>
      <w:r w:rsidR="00197762">
        <w:rPr>
          <w:rFonts w:cs="Times New Roman"/>
          <w:i/>
          <w:sz w:val="22"/>
        </w:rPr>
        <w:t xml:space="preserve">) would close the case and, arguably, cause the security interest to be unperfected.  </w:t>
      </w:r>
      <w:r w:rsidRPr="00CF51E3">
        <w:rPr>
          <w:rFonts w:cs="Times New Roman"/>
          <w:i/>
          <w:sz w:val="22"/>
        </w:rPr>
        <w:t xml:space="preserve">    </w:t>
      </w:r>
    </w:p>
    <w:p w:rsidR="00CD55F9" w:rsidRPr="00CF51E3" w:rsidP="00CD55F9">
      <w:pPr>
        <w:jc w:val="both"/>
        <w:rPr>
          <w:rFonts w:cs="Times New Roman"/>
          <w:b/>
          <w:sz w:val="22"/>
        </w:rPr>
      </w:pPr>
    </w:p>
    <w:p w:rsidR="001C25F0" w:rsidRPr="00CF51E3" w:rsidP="00A45ED8">
      <w:pPr>
        <w:pStyle w:val="ListParagraph"/>
        <w:spacing w:line="240" w:lineRule="auto"/>
        <w:jc w:val="both"/>
        <w:rPr>
          <w:rFonts w:ascii="Times New Roman" w:hAnsi="Times New Roman" w:cs="Times New Roman"/>
          <w:b/>
        </w:rPr>
      </w:pPr>
      <w:r w:rsidRPr="00CF51E3">
        <w:rPr>
          <w:rFonts w:ascii="Times New Roman" w:hAnsi="Times New Roman" w:cs="Times New Roman"/>
          <w:b/>
        </w:rPr>
        <w:t>C</w:t>
      </w:r>
      <w:r w:rsidRPr="00CF51E3" w:rsidR="00A45ED8">
        <w:rPr>
          <w:rFonts w:ascii="Times New Roman" w:hAnsi="Times New Roman" w:cs="Times New Roman"/>
          <w:b/>
        </w:rPr>
        <w:t>.</w:t>
      </w:r>
      <w:r w:rsidRPr="00CF51E3" w:rsidR="00A45ED8">
        <w:rPr>
          <w:rFonts w:ascii="Times New Roman" w:hAnsi="Times New Roman" w:cs="Times New Roman"/>
          <w:b/>
        </w:rPr>
        <w:tab/>
      </w:r>
      <w:r w:rsidRPr="00CF51E3">
        <w:rPr>
          <w:rFonts w:ascii="Times New Roman" w:hAnsi="Times New Roman" w:cs="Times New Roman"/>
          <w:b/>
        </w:rPr>
        <w:t>Priority.</w:t>
      </w:r>
    </w:p>
    <w:p w:rsidR="00B85801" w:rsidRPr="00CF51E3" w:rsidP="00ED544E">
      <w:pPr>
        <w:pStyle w:val="ListParagraph"/>
        <w:spacing w:line="240" w:lineRule="auto"/>
        <w:ind w:left="1440"/>
        <w:jc w:val="both"/>
        <w:rPr>
          <w:rFonts w:ascii="Times New Roman" w:hAnsi="Times New Roman" w:cs="Times New Roman"/>
          <w:b/>
        </w:rPr>
      </w:pPr>
    </w:p>
    <w:p w:rsidR="004D6042" w:rsidRPr="00CF51E3" w:rsidP="00122594">
      <w:pPr>
        <w:pStyle w:val="ListParagraph"/>
        <w:spacing w:line="240" w:lineRule="auto"/>
        <w:jc w:val="both"/>
        <w:rPr>
          <w:rFonts w:ascii="Times New Roman" w:hAnsi="Times New Roman" w:cs="Times New Roman"/>
          <w:b/>
        </w:rPr>
      </w:pPr>
      <w:r w:rsidRPr="00CF51E3">
        <w:rPr>
          <w:rFonts w:ascii="Times New Roman" w:hAnsi="Times New Roman" w:cs="Times New Roman"/>
          <w:b/>
        </w:rPr>
        <w:t>1.</w:t>
      </w:r>
      <w:r w:rsidRPr="00CF51E3">
        <w:rPr>
          <w:rFonts w:ascii="Times New Roman" w:hAnsi="Times New Roman" w:cs="Times New Roman"/>
          <w:b/>
        </w:rPr>
        <w:tab/>
      </w:r>
      <w:r w:rsidRPr="00CF51E3" w:rsidR="001C25F0">
        <w:rPr>
          <w:rFonts w:ascii="Times New Roman" w:hAnsi="Times New Roman" w:cs="Times New Roman"/>
          <w:b/>
        </w:rPr>
        <w:t>Statutory Liens.</w:t>
      </w:r>
    </w:p>
    <w:p w:rsidR="008945F1" w:rsidRPr="00CF51E3" w:rsidP="008945F1">
      <w:pPr>
        <w:ind w:left="1440"/>
        <w:jc w:val="both"/>
        <w:rPr>
          <w:sz w:val="22"/>
        </w:rPr>
      </w:pPr>
      <w:r>
        <w:rPr>
          <w:b/>
          <w:sz w:val="22"/>
        </w:rPr>
        <w:t>a.</w:t>
      </w:r>
      <w:r>
        <w:rPr>
          <w:b/>
          <w:sz w:val="22"/>
        </w:rPr>
        <w:tab/>
      </w:r>
      <w:r w:rsidRPr="00CF51E3">
        <w:rPr>
          <w:b/>
          <w:sz w:val="22"/>
        </w:rPr>
        <w:t xml:space="preserve">Applicable law: The law of the state in which the goods were received is the applicable </w:t>
      </w:r>
      <w:r w:rsidR="00197762">
        <w:rPr>
          <w:b/>
          <w:sz w:val="22"/>
        </w:rPr>
        <w:t xml:space="preserve">law </w:t>
      </w:r>
      <w:r w:rsidRPr="00CF51E3">
        <w:rPr>
          <w:b/>
          <w:sz w:val="22"/>
        </w:rPr>
        <w:t>as to statutory agricultural liens.</w:t>
      </w:r>
      <w:r w:rsidRPr="00CF51E3">
        <w:rPr>
          <w:sz w:val="22"/>
        </w:rPr>
        <w:t xml:space="preserve"> BNF Operations, LLC (“Debtor”) was indebted to PNC Bank, N.A. (“Secured Lender”) and the debt was secured by a security interest in the personal property of the Debtor.  The Secured Lender properly filed a UCC-1 to perfect its security interest.  The Debtor purchased agricultural products on credit from Fishback Nursery, Inc. and Surface Nursery, Inc. (the “Nurseries”) for delivery to the Debtor locations in Oregon, Michigan and Tennessee.  The Debtor failed to pay the Nurseries and the Nurseries filed producer liens in Oregon, Michigan and Tennessee.  The Nurseries argued that Oregon law should determine who has the senior lien because of the Oregon choice of law provision in the contract between the Debtor and the Nurseries.  The Court disagreed and held that under UCC §9-302 the law of the state in which the products are located is the applicable law.  The Oregon choice of law provision is enforceable as to the contract parties, but not as to the Secured Lender nor as to agricultural products under UCC §1-301(c).  The 5</w:t>
      </w:r>
      <w:r w:rsidRPr="00CF51E3">
        <w:rPr>
          <w:sz w:val="22"/>
          <w:vertAlign w:val="superscript"/>
        </w:rPr>
        <w:t>th</w:t>
      </w:r>
      <w:r w:rsidRPr="00CF51E3">
        <w:rPr>
          <w:sz w:val="22"/>
        </w:rPr>
        <w:t xml:space="preserve"> Circuit affirmed the District Court.  </w:t>
      </w:r>
      <w:r w:rsidRPr="00CF51E3">
        <w:rPr>
          <w:i/>
          <w:sz w:val="22"/>
        </w:rPr>
        <w:t>Fishback Nursery, Inc. v PNC Bank, National Association</w:t>
      </w:r>
      <w:r w:rsidRPr="00CF51E3">
        <w:rPr>
          <w:sz w:val="22"/>
        </w:rPr>
        <w:t>, 920 F.3d 932 (5th Cir. 2019).</w:t>
      </w:r>
    </w:p>
    <w:p w:rsidR="008945F1" w:rsidRPr="00CF51E3" w:rsidP="008945F1">
      <w:pPr>
        <w:ind w:left="1440"/>
        <w:jc w:val="both"/>
        <w:rPr>
          <w:sz w:val="22"/>
        </w:rPr>
      </w:pPr>
    </w:p>
    <w:p w:rsidR="004D0944" w:rsidRPr="00CF51E3" w:rsidP="004D0944">
      <w:pPr>
        <w:ind w:left="1440"/>
        <w:jc w:val="both"/>
        <w:rPr>
          <w:sz w:val="22"/>
        </w:rPr>
      </w:pPr>
      <w:r>
        <w:rPr>
          <w:b/>
          <w:sz w:val="22"/>
        </w:rPr>
        <w:t>b.</w:t>
      </w:r>
      <w:r>
        <w:rPr>
          <w:b/>
          <w:sz w:val="22"/>
        </w:rPr>
        <w:tab/>
      </w:r>
      <w:r w:rsidRPr="00CF51E3">
        <w:rPr>
          <w:b/>
          <w:sz w:val="22"/>
        </w:rPr>
        <w:t>Oregon producer lien; UCC-1 needs to be filed within 45 days.</w:t>
      </w:r>
      <w:r w:rsidRPr="00CF51E3">
        <w:rPr>
          <w:sz w:val="22"/>
        </w:rPr>
        <w:t xml:space="preserve"> BNF Operations, LLC (“Debtor”) was indebted to PNC Bank, N.A. (“Secured Lender”) and the debt was secured by a security interest in the personal property of the Debtor.  The Secured Lender properly filed a UCC-1 to perfect its security interest.  The Debtor purchased agricultural products on credit from Fishback Nursery, Inc. and Surface Nursery, Inc. (the “Nurseries”) for delivery to the Debtor locations in Oregon, Michigan and Tennessee.  The Debtor failed to pay the Nurseries and the Nurseries filed producer liens in Oregon, Michigan and Tennessee.  For purposes of products delivered to Oregon, and under Oregon Statute §87.710(1), a lien holder has to give notice to attach a lien and file a UCC-1 to perfect its lien.  The Court held that the Nurseries failed to properly perfect a producer’s lien in Oregon because the Nurseries failed to file the UCC-1 within the required 45 days after final payment was originally due.  The court granted summary judgment in favor of the Secured Lender. The 5</w:t>
      </w:r>
      <w:r w:rsidRPr="00CF51E3">
        <w:rPr>
          <w:sz w:val="22"/>
          <w:vertAlign w:val="superscript"/>
        </w:rPr>
        <w:t>th</w:t>
      </w:r>
      <w:r w:rsidRPr="00CF51E3">
        <w:rPr>
          <w:sz w:val="22"/>
        </w:rPr>
        <w:t xml:space="preserve"> Circuit affirmed the District Court.  </w:t>
      </w:r>
      <w:r w:rsidRPr="00CF51E3">
        <w:rPr>
          <w:i/>
          <w:sz w:val="22"/>
        </w:rPr>
        <w:t>Fishback Nursery, Inc. v PNC Bank, National Association</w:t>
      </w:r>
      <w:r w:rsidRPr="00CF51E3">
        <w:rPr>
          <w:sz w:val="22"/>
        </w:rPr>
        <w:t>, 920 F.3d 932 (5th Cir. 2019).</w:t>
      </w:r>
    </w:p>
    <w:p w:rsidR="004D0944" w:rsidRPr="00CF51E3">
      <w:pPr>
        <w:ind w:left="1440"/>
        <w:jc w:val="both"/>
        <w:rPr>
          <w:i/>
          <w:sz w:val="22"/>
        </w:rPr>
      </w:pPr>
    </w:p>
    <w:p w:rsidR="005F2DA6" w:rsidRPr="00CF51E3" w:rsidP="004855BA">
      <w:pPr>
        <w:ind w:left="1440"/>
        <w:jc w:val="both"/>
        <w:rPr>
          <w:rFonts w:eastAsia="Calibri" w:cs="Times New Roman"/>
          <w:b/>
          <w:i/>
          <w:sz w:val="22"/>
        </w:rPr>
      </w:pPr>
      <w:r>
        <w:rPr>
          <w:rFonts w:eastAsia="Calibri" w:cs="Times New Roman"/>
          <w:b/>
          <w:sz w:val="22"/>
        </w:rPr>
        <w:t>c.</w:t>
      </w:r>
      <w:r>
        <w:rPr>
          <w:rFonts w:eastAsia="Calibri" w:cs="Times New Roman"/>
          <w:b/>
          <w:sz w:val="22"/>
        </w:rPr>
        <w:tab/>
      </w:r>
      <w:r w:rsidRPr="00CF51E3" w:rsidR="00BC3C66">
        <w:rPr>
          <w:rFonts w:eastAsia="Calibri" w:cs="Times New Roman"/>
          <w:b/>
          <w:sz w:val="22"/>
        </w:rPr>
        <w:t xml:space="preserve">Oregon agricultural lien only extends to the dairy cow and the proceeds of the dairy cow; </w:t>
      </w:r>
      <w:r w:rsidRPr="00CF51E3" w:rsidR="00DB615A">
        <w:rPr>
          <w:rFonts w:eastAsia="Calibri" w:cs="Times New Roman"/>
          <w:b/>
          <w:sz w:val="22"/>
        </w:rPr>
        <w:t xml:space="preserve">not </w:t>
      </w:r>
      <w:r w:rsidRPr="00CF51E3" w:rsidR="00BC3C66">
        <w:rPr>
          <w:rFonts w:eastAsia="Calibri" w:cs="Times New Roman"/>
          <w:b/>
          <w:sz w:val="22"/>
        </w:rPr>
        <w:t xml:space="preserve">the </w:t>
      </w:r>
      <w:r w:rsidR="00197762">
        <w:rPr>
          <w:rFonts w:eastAsia="Calibri" w:cs="Times New Roman"/>
          <w:b/>
          <w:sz w:val="22"/>
        </w:rPr>
        <w:t xml:space="preserve">milk </w:t>
      </w:r>
      <w:r w:rsidRPr="00CF51E3" w:rsidR="00DB615A">
        <w:rPr>
          <w:rFonts w:eastAsia="Calibri" w:cs="Times New Roman"/>
          <w:b/>
          <w:sz w:val="22"/>
        </w:rPr>
        <w:t xml:space="preserve">of a </w:t>
      </w:r>
      <w:r w:rsidRPr="00CF51E3" w:rsidR="004D0944">
        <w:rPr>
          <w:rFonts w:eastAsia="Calibri" w:cs="Times New Roman"/>
          <w:b/>
          <w:sz w:val="22"/>
        </w:rPr>
        <w:t>dairy c</w:t>
      </w:r>
      <w:r w:rsidRPr="00CF51E3" w:rsidR="00DB615A">
        <w:rPr>
          <w:rFonts w:eastAsia="Calibri" w:cs="Times New Roman"/>
          <w:b/>
          <w:sz w:val="22"/>
        </w:rPr>
        <w:t xml:space="preserve">ow.  </w:t>
      </w:r>
      <w:r w:rsidRPr="00CF51E3">
        <w:rPr>
          <w:rFonts w:eastAsia="Calibri" w:cs="Times New Roman"/>
          <w:sz w:val="22"/>
        </w:rPr>
        <w:t>Lost Valley Farm</w:t>
      </w:r>
      <w:r w:rsidRPr="00CF51E3" w:rsidR="00DB615A">
        <w:rPr>
          <w:rFonts w:eastAsia="Calibri" w:cs="Times New Roman"/>
          <w:sz w:val="22"/>
        </w:rPr>
        <w:t xml:space="preserve"> (the “Debtor”) </w:t>
      </w:r>
      <w:r w:rsidR="00197762">
        <w:rPr>
          <w:rFonts w:eastAsia="Calibri" w:cs="Times New Roman"/>
          <w:sz w:val="22"/>
        </w:rPr>
        <w:t xml:space="preserve">was </w:t>
      </w:r>
      <w:r w:rsidRPr="00CF51E3" w:rsidR="00DB615A">
        <w:rPr>
          <w:rFonts w:eastAsia="Calibri" w:cs="Times New Roman"/>
          <w:sz w:val="22"/>
        </w:rPr>
        <w:t xml:space="preserve">a dairy in Oregon.  The Debtor was indebted to </w:t>
      </w:r>
      <w:r w:rsidRPr="00CF51E3" w:rsidR="004D0944">
        <w:rPr>
          <w:rFonts w:eastAsia="Calibri" w:cs="Times New Roman"/>
          <w:sz w:val="22"/>
        </w:rPr>
        <w:t>Rabobank, N.A.</w:t>
      </w:r>
      <w:r w:rsidRPr="00CF51E3" w:rsidR="00DB615A">
        <w:rPr>
          <w:rFonts w:eastAsia="Calibri" w:cs="Times New Roman"/>
          <w:sz w:val="22"/>
        </w:rPr>
        <w:t xml:space="preserve">(the “Lender”) and the debt was secured by certain personal property including, but not limited to, the dairy cows, </w:t>
      </w:r>
      <w:r w:rsidR="00197762">
        <w:rPr>
          <w:rFonts w:eastAsia="Calibri" w:cs="Times New Roman"/>
          <w:sz w:val="22"/>
        </w:rPr>
        <w:t xml:space="preserve">the </w:t>
      </w:r>
      <w:r w:rsidRPr="00CF51E3" w:rsidR="00DB615A">
        <w:rPr>
          <w:rFonts w:eastAsia="Calibri" w:cs="Times New Roman"/>
          <w:sz w:val="22"/>
        </w:rPr>
        <w:t xml:space="preserve">milk and the proceeds of the milk.  The Debtor sold milk to </w:t>
      </w:r>
      <w:r w:rsidRPr="00CF51E3">
        <w:rPr>
          <w:rFonts w:eastAsia="Calibri" w:cs="Times New Roman"/>
          <w:sz w:val="22"/>
        </w:rPr>
        <w:t>Columbia River Processing</w:t>
      </w:r>
      <w:r w:rsidRPr="00CF51E3" w:rsidR="00DB615A">
        <w:rPr>
          <w:rFonts w:eastAsia="Calibri" w:cs="Times New Roman"/>
          <w:sz w:val="22"/>
        </w:rPr>
        <w:t xml:space="preserve"> (“Milk Buyer”).  The Debtor filed bankruptcy.</w:t>
      </w:r>
      <w:r w:rsidRPr="00CF51E3" w:rsidR="004D0944">
        <w:rPr>
          <w:rFonts w:eastAsia="Calibri" w:cs="Times New Roman"/>
          <w:sz w:val="22"/>
        </w:rPr>
        <w:t xml:space="preserve">  The Lender was owed $7.8 million.</w:t>
      </w:r>
      <w:r w:rsidRPr="00CF51E3" w:rsidR="00DB615A">
        <w:rPr>
          <w:rFonts w:eastAsia="Calibri" w:cs="Times New Roman"/>
          <w:sz w:val="22"/>
        </w:rPr>
        <w:t xml:space="preserve">  The Debtor </w:t>
      </w:r>
      <w:r w:rsidRPr="00CF51E3" w:rsidR="004D0944">
        <w:rPr>
          <w:rFonts w:eastAsia="Calibri" w:cs="Times New Roman"/>
          <w:sz w:val="22"/>
        </w:rPr>
        <w:t xml:space="preserve">also </w:t>
      </w:r>
      <w:r w:rsidRPr="00CF51E3" w:rsidR="00DB615A">
        <w:rPr>
          <w:rFonts w:eastAsia="Calibri" w:cs="Times New Roman"/>
          <w:sz w:val="22"/>
        </w:rPr>
        <w:t xml:space="preserve">had various </w:t>
      </w:r>
      <w:r w:rsidRPr="00CF51E3" w:rsidR="004D0944">
        <w:rPr>
          <w:rFonts w:eastAsia="Calibri" w:cs="Times New Roman"/>
          <w:sz w:val="22"/>
        </w:rPr>
        <w:t xml:space="preserve">trade </w:t>
      </w:r>
      <w:r w:rsidRPr="00CF51E3" w:rsidR="00DB615A">
        <w:rPr>
          <w:rFonts w:eastAsia="Calibri" w:cs="Times New Roman"/>
          <w:sz w:val="22"/>
        </w:rPr>
        <w:t>creditors including $1.1 million in unpaid service providers.  At the time of filing the bankruptcy the Milk Buyer owed the Debtor $1.2 million for sold milk.  The unpaid service providers filed agricultural liens and asserted a lien priority for the unpaid milk proceed</w:t>
      </w:r>
      <w:r w:rsidR="00197762">
        <w:rPr>
          <w:rFonts w:eastAsia="Calibri" w:cs="Times New Roman"/>
          <w:sz w:val="22"/>
        </w:rPr>
        <w:t>s under Oregon Revised Statute §</w:t>
      </w:r>
      <w:r w:rsidRPr="00CF51E3" w:rsidR="00DB615A">
        <w:rPr>
          <w:rFonts w:eastAsia="Calibri" w:cs="Times New Roman"/>
          <w:sz w:val="22"/>
        </w:rPr>
        <w:t xml:space="preserve">87.226(1).  The Lender  disagreed and argued that </w:t>
      </w:r>
      <w:r w:rsidRPr="00CF51E3" w:rsidR="00F41031">
        <w:rPr>
          <w:rFonts w:eastAsia="Calibri" w:cs="Times New Roman"/>
          <w:sz w:val="22"/>
        </w:rPr>
        <w:t>Oregon Revise</w:t>
      </w:r>
      <w:r w:rsidR="00197762">
        <w:rPr>
          <w:rFonts w:eastAsia="Calibri" w:cs="Times New Roman"/>
          <w:sz w:val="22"/>
        </w:rPr>
        <w:t>d Statute</w:t>
      </w:r>
      <w:r w:rsidRPr="00CF51E3" w:rsidR="00F41031">
        <w:rPr>
          <w:rFonts w:eastAsia="Calibri" w:cs="Times New Roman"/>
          <w:sz w:val="22"/>
        </w:rPr>
        <w:t xml:space="preserve"> </w:t>
      </w:r>
      <w:r w:rsidR="00197762">
        <w:rPr>
          <w:rFonts w:eastAsia="Calibri" w:cs="Times New Roman"/>
          <w:sz w:val="22"/>
        </w:rPr>
        <w:t>§</w:t>
      </w:r>
      <w:r w:rsidRPr="00CF51E3" w:rsidR="00F41031">
        <w:rPr>
          <w:rFonts w:eastAsia="Calibri" w:cs="Times New Roman"/>
          <w:sz w:val="22"/>
        </w:rPr>
        <w:t xml:space="preserve">87.226(1) entitled the unpaid service providers to a lien in </w:t>
      </w:r>
      <w:r w:rsidRPr="00CF51E3" w:rsidR="004D0944">
        <w:rPr>
          <w:rFonts w:eastAsia="Calibri" w:cs="Times New Roman"/>
          <w:sz w:val="22"/>
        </w:rPr>
        <w:t xml:space="preserve">the </w:t>
      </w:r>
      <w:r w:rsidRPr="00CF51E3" w:rsidR="00F41031">
        <w:rPr>
          <w:rFonts w:eastAsia="Calibri" w:cs="Times New Roman"/>
          <w:sz w:val="22"/>
        </w:rPr>
        <w:t>dairy cows and the proceeds of the dairy cows; however, milk is not the “proceeds” of a dairy cow and, therefore, the unpaid service providers were not entitled to a lien in the milk proceeds owed to Debtor by the Milk Buyer.</w:t>
      </w:r>
      <w:r w:rsidRPr="00CF51E3" w:rsidR="004D0944">
        <w:rPr>
          <w:rFonts w:eastAsia="Calibri" w:cs="Times New Roman"/>
          <w:sz w:val="22"/>
        </w:rPr>
        <w:t xml:space="preserve">  The Court agreed and held that the Oregon agricultural lien is limited to the dairy cow</w:t>
      </w:r>
      <w:r w:rsidR="00197762">
        <w:rPr>
          <w:rFonts w:eastAsia="Calibri" w:cs="Times New Roman"/>
          <w:sz w:val="22"/>
        </w:rPr>
        <w:t xml:space="preserve"> and </w:t>
      </w:r>
      <w:r w:rsidR="004C534A">
        <w:rPr>
          <w:rFonts w:eastAsia="Calibri" w:cs="Times New Roman"/>
          <w:sz w:val="22"/>
        </w:rPr>
        <w:t>not</w:t>
      </w:r>
      <w:r w:rsidR="00197762">
        <w:rPr>
          <w:rFonts w:eastAsia="Calibri" w:cs="Times New Roman"/>
          <w:sz w:val="22"/>
        </w:rPr>
        <w:t xml:space="preserve"> the milk of the dairy cow</w:t>
      </w:r>
      <w:r w:rsidRPr="00CF51E3" w:rsidR="004D0944">
        <w:rPr>
          <w:rFonts w:eastAsia="Calibri" w:cs="Times New Roman"/>
          <w:sz w:val="22"/>
        </w:rPr>
        <w:t>.</w:t>
      </w:r>
      <w:r w:rsidRPr="00CF51E3" w:rsidR="00F41031">
        <w:rPr>
          <w:rFonts w:eastAsia="Calibri" w:cs="Times New Roman"/>
          <w:sz w:val="22"/>
        </w:rPr>
        <w:t xml:space="preserve">  </w:t>
      </w:r>
      <w:r w:rsidRPr="00CF51E3">
        <w:rPr>
          <w:rFonts w:eastAsia="Calibri" w:cs="Times New Roman"/>
          <w:i/>
          <w:sz w:val="22"/>
        </w:rPr>
        <w:t>In re Te Velde, Case No. 18-11651-A-11 (</w:t>
      </w:r>
      <w:r w:rsidRPr="00CF51E3" w:rsidR="00530C00">
        <w:rPr>
          <w:rFonts w:eastAsia="Calibri" w:cs="Times New Roman"/>
          <w:i/>
          <w:sz w:val="22"/>
        </w:rPr>
        <w:t>Bankr. E.D. Cal.</w:t>
      </w:r>
      <w:r w:rsidRPr="00CF51E3" w:rsidR="00F41031">
        <w:rPr>
          <w:rFonts w:eastAsia="Calibri" w:cs="Times New Roman"/>
          <w:i/>
          <w:sz w:val="22"/>
        </w:rPr>
        <w:t xml:space="preserve"> </w:t>
      </w:r>
      <w:r w:rsidRPr="00CF51E3">
        <w:rPr>
          <w:rFonts w:eastAsia="Calibri" w:cs="Times New Roman"/>
          <w:i/>
          <w:sz w:val="22"/>
        </w:rPr>
        <w:t>2018)</w:t>
      </w:r>
      <w:r w:rsidRPr="00CF51E3" w:rsidR="004D0944">
        <w:rPr>
          <w:rFonts w:eastAsia="Calibri" w:cs="Times New Roman"/>
          <w:i/>
          <w:sz w:val="22"/>
        </w:rPr>
        <w:t>.</w:t>
      </w:r>
    </w:p>
    <w:p w:rsidR="004D0944" w:rsidRPr="00CF51E3" w:rsidP="004855BA">
      <w:pPr>
        <w:ind w:left="1440"/>
        <w:jc w:val="both"/>
        <w:rPr>
          <w:rFonts w:eastAsia="Calibri" w:cs="Times New Roman"/>
          <w:sz w:val="22"/>
        </w:rPr>
      </w:pPr>
    </w:p>
    <w:p w:rsidR="00DC4F3A" w:rsidRPr="00CF51E3" w:rsidP="00122594">
      <w:pPr>
        <w:ind w:left="2160"/>
        <w:jc w:val="both"/>
        <w:rPr>
          <w:rFonts w:eastAsia="Calibri" w:cs="Times New Roman"/>
          <w:i/>
          <w:sz w:val="22"/>
        </w:rPr>
      </w:pPr>
      <w:r w:rsidRPr="00CF51E3">
        <w:rPr>
          <w:rFonts w:eastAsia="Calibri" w:cs="Times New Roman"/>
          <w:i/>
          <w:sz w:val="22"/>
        </w:rPr>
        <w:t>Comment</w:t>
      </w:r>
      <w:r w:rsidRPr="00CF51E3" w:rsidR="00D55DEB">
        <w:rPr>
          <w:rFonts w:eastAsia="Calibri" w:cs="Times New Roman"/>
          <w:i/>
          <w:sz w:val="22"/>
        </w:rPr>
        <w:t xml:space="preserve"> 1</w:t>
      </w:r>
      <w:r w:rsidRPr="00CF51E3">
        <w:rPr>
          <w:rFonts w:eastAsia="Calibri" w:cs="Times New Roman"/>
          <w:i/>
          <w:sz w:val="22"/>
        </w:rPr>
        <w:t>.</w:t>
      </w:r>
      <w:r w:rsidRPr="00CF51E3">
        <w:rPr>
          <w:rFonts w:eastAsia="Calibri" w:cs="Times New Roman"/>
          <w:i/>
          <w:sz w:val="22"/>
        </w:rPr>
        <w:t xml:space="preserve">  Distinguishing between the proceeds and the product of the original collateral is critical</w:t>
      </w:r>
      <w:r w:rsidRPr="00CF51E3" w:rsidR="00D55DEB">
        <w:rPr>
          <w:rFonts w:eastAsia="Calibri" w:cs="Times New Roman"/>
          <w:i/>
          <w:sz w:val="22"/>
        </w:rPr>
        <w:t xml:space="preserve"> – and the interplay with the state agricultural lien statute</w:t>
      </w:r>
      <w:r w:rsidRPr="00CF51E3">
        <w:rPr>
          <w:rFonts w:eastAsia="Calibri" w:cs="Times New Roman"/>
          <w:i/>
          <w:sz w:val="22"/>
        </w:rPr>
        <w:t xml:space="preserve">. </w:t>
      </w:r>
      <w:r w:rsidRPr="00CF51E3" w:rsidR="004D39AC">
        <w:rPr>
          <w:rFonts w:eastAsia="Calibri" w:cs="Times New Roman"/>
          <w:i/>
          <w:sz w:val="22"/>
        </w:rPr>
        <w:t xml:space="preserve">  </w:t>
      </w:r>
    </w:p>
    <w:p w:rsidR="00DC4F3A" w:rsidRPr="00CF51E3" w:rsidP="00BC3C66">
      <w:pPr>
        <w:ind w:left="1440"/>
        <w:jc w:val="both"/>
        <w:rPr>
          <w:rFonts w:eastAsia="Calibri" w:cs="Times New Roman"/>
          <w:i/>
          <w:sz w:val="22"/>
        </w:rPr>
      </w:pPr>
    </w:p>
    <w:p w:rsidR="00D55DEB" w:rsidRPr="00CF51E3" w:rsidP="00D55DEB">
      <w:pPr>
        <w:ind w:left="2160"/>
        <w:jc w:val="both"/>
        <w:rPr>
          <w:rFonts w:eastAsia="Calibri" w:cs="Times New Roman"/>
          <w:i/>
          <w:sz w:val="22"/>
        </w:rPr>
      </w:pPr>
      <w:r w:rsidRPr="00CF51E3">
        <w:rPr>
          <w:rFonts w:eastAsia="Calibri" w:cs="Times New Roman"/>
          <w:i/>
          <w:sz w:val="22"/>
          <w:u w:val="single"/>
        </w:rPr>
        <w:t>Proceeds of Original Collateral</w:t>
      </w:r>
      <w:r w:rsidRPr="00CF51E3">
        <w:rPr>
          <w:rFonts w:eastAsia="Calibri" w:cs="Times New Roman"/>
          <w:i/>
          <w:sz w:val="22"/>
        </w:rPr>
        <w:t>.</w:t>
      </w:r>
      <w:r w:rsidRPr="00CF51E3">
        <w:rPr>
          <w:sz w:val="22"/>
        </w:rPr>
        <w:t xml:space="preserve"> </w:t>
      </w:r>
      <w:r w:rsidRPr="00CF51E3">
        <w:rPr>
          <w:rFonts w:eastAsia="Calibri" w:cs="Times New Roman"/>
          <w:i/>
          <w:sz w:val="22"/>
        </w:rPr>
        <w:t xml:space="preserve">Revised Article 9 </w:t>
      </w:r>
      <w:r w:rsidRPr="00CF51E3">
        <w:rPr>
          <w:rFonts w:eastAsia="Calibri" w:cs="Times New Roman"/>
          <w:i/>
          <w:sz w:val="22"/>
          <w:u w:val="single"/>
        </w:rPr>
        <w:t>does not require</w:t>
      </w:r>
      <w:r w:rsidRPr="00CF51E3">
        <w:rPr>
          <w:rFonts w:eastAsia="Calibri" w:cs="Times New Roman"/>
          <w:i/>
          <w:sz w:val="22"/>
        </w:rPr>
        <w:t xml:space="preserve"> the security agreement to specifically state that the security interest attaches to the proceeds of the original collateral.  </w:t>
      </w:r>
      <w:r w:rsidRPr="00CF51E3">
        <w:rPr>
          <w:rFonts w:eastAsia="Calibri" w:cs="Times New Roman"/>
          <w:i/>
          <w:sz w:val="22"/>
        </w:rPr>
        <w:t xml:space="preserve">See UCC § 9-315, Comment 9.  </w:t>
      </w:r>
      <w:r w:rsidRPr="00CF51E3">
        <w:rPr>
          <w:rFonts w:eastAsia="Calibri" w:cs="Times New Roman"/>
          <w:i/>
          <w:sz w:val="22"/>
          <w:u w:val="single"/>
        </w:rPr>
        <w:t>However</w:t>
      </w:r>
      <w:r w:rsidRPr="00CF51E3">
        <w:rPr>
          <w:rFonts w:eastAsia="Calibri" w:cs="Times New Roman"/>
          <w:i/>
          <w:sz w:val="22"/>
        </w:rPr>
        <w:t>, Revised Article 9 defers to the state agricultural lien statute as to whether the agricultural lien attaches to the proceeds of the original collateral.  See UCC § 9-315, Comment 9; Barley Clark, The Law of Secured Transactions Under the Uniform Commercial Code,  Linda J. Rusch, Farm Financing Under Revised Article 9, The American Bankruptcy Law Journal, Volume 73, Winter 1999, 237. Vol. 2, Section 8.09, p. 8-121; Drew L. Kershen and Alvin C. Harrell, Agricultural Finance: Comparing the Current and Revised Article 9, Uniform Commercial Code of Law Journal, 169-224, 181-82. (Fall 2000).  Some states have taken a more liberal interpretation to the scope of the state agricultural lien statutes. See Stockman Bank of Montana v. Mon-Kota, Inc., 180 P.3d 1125 (Mont. 2008) (acknowledging</w:t>
      </w:r>
      <w:r w:rsidR="00EA29C0">
        <w:rPr>
          <w:rFonts w:eastAsia="Calibri" w:cs="Times New Roman"/>
          <w:i/>
          <w:sz w:val="22"/>
        </w:rPr>
        <w:t xml:space="preserve"> the legal issue but holding that </w:t>
      </w:r>
      <w:r w:rsidRPr="00CF51E3">
        <w:rPr>
          <w:rFonts w:eastAsia="Calibri" w:cs="Times New Roman"/>
          <w:i/>
          <w:sz w:val="22"/>
        </w:rPr>
        <w:t xml:space="preserve">proceeds held in check form are </w:t>
      </w:r>
      <w:r w:rsidR="00EA29C0">
        <w:rPr>
          <w:rFonts w:eastAsia="Calibri" w:cs="Times New Roman"/>
          <w:i/>
          <w:sz w:val="22"/>
        </w:rPr>
        <w:t xml:space="preserve">not </w:t>
      </w:r>
      <w:r w:rsidRPr="00CF51E3">
        <w:rPr>
          <w:rFonts w:eastAsia="Calibri" w:cs="Times New Roman"/>
          <w:i/>
          <w:sz w:val="22"/>
        </w:rPr>
        <w:t xml:space="preserve">proceeds); Oyens Feed Supply, Inc. v. Primebank, 808 N.W.2d 186 (Iowa 2011) (acknowledging </w:t>
      </w:r>
      <w:r w:rsidR="00EA29C0">
        <w:rPr>
          <w:rFonts w:eastAsia="Calibri" w:cs="Times New Roman"/>
          <w:i/>
          <w:sz w:val="22"/>
        </w:rPr>
        <w:t>the legal issue but holding that the Iowa legislative intended to include proceeds</w:t>
      </w:r>
      <w:r w:rsidRPr="00CF51E3">
        <w:rPr>
          <w:rFonts w:eastAsia="Calibri" w:cs="Times New Roman"/>
          <w:i/>
          <w:sz w:val="22"/>
        </w:rPr>
        <w:t>).</w:t>
      </w:r>
    </w:p>
    <w:p w:rsidR="00D55DEB" w:rsidRPr="00CF51E3" w:rsidP="00DC4F3A">
      <w:pPr>
        <w:ind w:left="2160"/>
        <w:jc w:val="both"/>
        <w:rPr>
          <w:rFonts w:eastAsia="Calibri" w:cs="Times New Roman"/>
          <w:i/>
          <w:sz w:val="22"/>
        </w:rPr>
      </w:pPr>
    </w:p>
    <w:p w:rsidR="00122594" w:rsidP="00122594">
      <w:pPr>
        <w:ind w:left="2160"/>
        <w:jc w:val="both"/>
        <w:rPr>
          <w:rFonts w:eastAsia="Calibri" w:cs="Times New Roman"/>
          <w:i/>
          <w:sz w:val="22"/>
        </w:rPr>
      </w:pPr>
      <w:r w:rsidRPr="00CF51E3">
        <w:rPr>
          <w:rFonts w:eastAsia="Calibri" w:cs="Times New Roman"/>
          <w:i/>
          <w:sz w:val="22"/>
          <w:u w:val="single"/>
        </w:rPr>
        <w:t>Products of Original Collateral</w:t>
      </w:r>
      <w:r w:rsidRPr="00CF51E3">
        <w:rPr>
          <w:rFonts w:eastAsia="Calibri" w:cs="Times New Roman"/>
          <w:i/>
          <w:sz w:val="22"/>
        </w:rPr>
        <w:t xml:space="preserve">.  Revised Article 9 </w:t>
      </w:r>
      <w:r w:rsidRPr="00CF51E3">
        <w:rPr>
          <w:rFonts w:eastAsia="Calibri" w:cs="Times New Roman"/>
          <w:i/>
          <w:sz w:val="22"/>
          <w:u w:val="single"/>
        </w:rPr>
        <w:t>requires</w:t>
      </w:r>
      <w:r w:rsidRPr="00CF51E3">
        <w:rPr>
          <w:rFonts w:eastAsia="Calibri" w:cs="Times New Roman"/>
          <w:i/>
          <w:sz w:val="22"/>
        </w:rPr>
        <w:t xml:space="preserve"> the security agreement to specifically state that the security interest attaches to the products of the original collateral for the security interest to be enforceable. See </w:t>
      </w:r>
      <w:r w:rsidRPr="00CF51E3" w:rsidR="00D55DEB">
        <w:rPr>
          <w:rFonts w:eastAsia="Calibri" w:cs="Times New Roman"/>
          <w:i/>
          <w:sz w:val="22"/>
        </w:rPr>
        <w:t xml:space="preserve">generally, </w:t>
      </w:r>
      <w:r w:rsidRPr="00CF51E3">
        <w:rPr>
          <w:rFonts w:eastAsia="Calibri" w:cs="Times New Roman"/>
          <w:i/>
          <w:sz w:val="22"/>
        </w:rPr>
        <w:t xml:space="preserve">Barley Clark, The Law of Secured Transactions Under the Uniform Commercial Code 8.04[2][c].  </w:t>
      </w:r>
      <w:r w:rsidRPr="00CF51E3" w:rsidR="00D55DEB">
        <w:rPr>
          <w:rFonts w:eastAsia="Calibri" w:cs="Times New Roman"/>
          <w:i/>
          <w:sz w:val="22"/>
        </w:rPr>
        <w:t xml:space="preserve">However, as mentioned above, Revised Article 9 also defers to the state agricultural lien statute as to whether the agricultural lien attaches to the products of the original collateral.  In re Te Velde correctly held that the state statute must specifically state that the ag lien attaches to the products of the original collateral.  However, based on the decisions in Stockman </w:t>
      </w:r>
      <w:r w:rsidRPr="00CF51E3" w:rsidR="00D55DEB">
        <w:rPr>
          <w:rFonts w:eastAsia="Calibri" w:cs="Times New Roman"/>
          <w:i/>
          <w:sz w:val="22"/>
        </w:rPr>
        <w:t xml:space="preserve">Bank of Montana v. Mon-Kota, Inc., 180 P.3d 1125 (Mont. 2008) and Oyens Feed Supply, Inc. v. Primebank, 808 N.W.2d 186 (Iowa 2011), it would appear in Montana and Iowa a court may come to a different conclusion.  </w:t>
      </w:r>
    </w:p>
    <w:p w:rsidR="00122594" w:rsidP="00122594">
      <w:pPr>
        <w:ind w:left="2160"/>
        <w:jc w:val="both"/>
        <w:rPr>
          <w:rFonts w:eastAsia="Calibri" w:cs="Times New Roman"/>
          <w:i/>
          <w:sz w:val="22"/>
        </w:rPr>
      </w:pPr>
    </w:p>
    <w:p w:rsidR="00DB615A" w:rsidRPr="00CF51E3" w:rsidP="00122594">
      <w:pPr>
        <w:ind w:left="2160"/>
        <w:jc w:val="both"/>
        <w:rPr>
          <w:rFonts w:eastAsia="Calibri" w:cs="Times New Roman"/>
          <w:i/>
          <w:sz w:val="22"/>
        </w:rPr>
      </w:pPr>
      <w:r w:rsidRPr="00CF51E3">
        <w:rPr>
          <w:rFonts w:eastAsia="Calibri" w:cs="Times New Roman"/>
          <w:i/>
          <w:sz w:val="22"/>
        </w:rPr>
        <w:t>Comment 2.  In r</w:t>
      </w:r>
      <w:r w:rsidRPr="00CF51E3" w:rsidR="006478B0">
        <w:rPr>
          <w:rFonts w:eastAsia="Calibri" w:cs="Times New Roman"/>
          <w:i/>
          <w:sz w:val="22"/>
        </w:rPr>
        <w:t xml:space="preserve">e Te Velde correctly held that milk is the product of a dairy cow.  </w:t>
      </w:r>
      <w:r w:rsidRPr="00CF51E3" w:rsidR="00BC3C66">
        <w:rPr>
          <w:rFonts w:eastAsia="Calibri" w:cs="Times New Roman"/>
          <w:i/>
          <w:sz w:val="22"/>
        </w:rPr>
        <w:t xml:space="preserve">It is worth noting that under bankruptcy law there is </w:t>
      </w:r>
      <w:r w:rsidRPr="00CF51E3">
        <w:rPr>
          <w:rFonts w:eastAsia="Calibri" w:cs="Times New Roman"/>
          <w:i/>
          <w:sz w:val="22"/>
        </w:rPr>
        <w:t xml:space="preserve">mixed case law as to whether milk is the product of a cow for purposes of severing post-petition liens under 552 of the Bankruptcy Code.  See </w:t>
      </w:r>
      <w:r w:rsidRPr="00CF51E3" w:rsidR="00BC3C66">
        <w:rPr>
          <w:rFonts w:eastAsia="Calibri" w:cs="Times New Roman"/>
          <w:i/>
          <w:sz w:val="22"/>
        </w:rPr>
        <w:t>In re Lawrence, 41 B.R. 36, 37 (Bankr. D. Minn)</w:t>
      </w:r>
      <w:r w:rsidRPr="00CF51E3" w:rsidR="006478B0">
        <w:rPr>
          <w:sz w:val="22"/>
        </w:rPr>
        <w:t xml:space="preserve"> </w:t>
      </w:r>
      <w:r w:rsidRPr="00CF51E3" w:rsidR="006478B0">
        <w:rPr>
          <w:rFonts w:eastAsia="Calibri" w:cs="Times New Roman"/>
          <w:i/>
          <w:sz w:val="22"/>
        </w:rPr>
        <w:t>(pre-petition security interest does not extend to post-petition milk)</w:t>
      </w:r>
      <w:r w:rsidRPr="00CF51E3" w:rsidR="00BC3C66">
        <w:rPr>
          <w:rFonts w:eastAsia="Calibri" w:cs="Times New Roman"/>
          <w:i/>
          <w:sz w:val="22"/>
        </w:rPr>
        <w:t xml:space="preserve">; but see In re Underbakke, 60 B.R. 705, 706 (Bankr. N. D. Iowa 1986); In re Wiegmann, 95 B.R. 90, 91 (Bankr. S.D. Ill. 1989) (pre-petition security interest extends to post-petition milk); In re Aspen Dairy, 2005 WL 2547111 (Bankr. D. Neb. Feb. 14, 2005); and In re Purdy, 490 B.R. 530, 532 (Bankr. W.D. Ky. 2013).  </w:t>
      </w:r>
    </w:p>
    <w:p w:rsidR="004D39AC" w:rsidRPr="00CF51E3" w:rsidP="00BC3C66">
      <w:pPr>
        <w:ind w:left="1440"/>
        <w:jc w:val="both"/>
        <w:rPr>
          <w:rFonts w:eastAsia="Calibri" w:cs="Times New Roman"/>
          <w:i/>
          <w:sz w:val="22"/>
        </w:rPr>
      </w:pPr>
    </w:p>
    <w:p w:rsidR="00CD55F9" w:rsidRPr="00CF51E3" w:rsidP="004855BA">
      <w:pPr>
        <w:ind w:left="1440"/>
        <w:jc w:val="both"/>
        <w:rPr>
          <w:rFonts w:eastAsia="Calibri" w:cs="Times New Roman"/>
          <w:sz w:val="22"/>
        </w:rPr>
      </w:pPr>
      <w:r>
        <w:rPr>
          <w:rFonts w:eastAsia="Calibri" w:cs="Times New Roman"/>
          <w:b/>
          <w:sz w:val="22"/>
        </w:rPr>
        <w:t>d.</w:t>
      </w:r>
      <w:r>
        <w:rPr>
          <w:rFonts w:eastAsia="Calibri" w:cs="Times New Roman"/>
          <w:b/>
          <w:sz w:val="22"/>
        </w:rPr>
        <w:tab/>
      </w:r>
      <w:r w:rsidRPr="00CF51E3" w:rsidR="006478B0">
        <w:rPr>
          <w:rFonts w:eastAsia="Calibri" w:cs="Times New Roman"/>
          <w:b/>
          <w:sz w:val="22"/>
        </w:rPr>
        <w:t>Lack of kn</w:t>
      </w:r>
      <w:r w:rsidRPr="00CF51E3" w:rsidR="007D325B">
        <w:rPr>
          <w:rFonts w:eastAsia="Calibri" w:cs="Times New Roman"/>
          <w:b/>
          <w:sz w:val="22"/>
        </w:rPr>
        <w:t xml:space="preserve">owledge </w:t>
      </w:r>
      <w:r w:rsidRPr="00CF51E3" w:rsidR="006478B0">
        <w:rPr>
          <w:rFonts w:eastAsia="Calibri" w:cs="Times New Roman"/>
          <w:b/>
          <w:sz w:val="22"/>
        </w:rPr>
        <w:t xml:space="preserve">is </w:t>
      </w:r>
      <w:r w:rsidRPr="00CF51E3" w:rsidR="007D325B">
        <w:rPr>
          <w:rFonts w:eastAsia="Calibri" w:cs="Times New Roman"/>
          <w:b/>
          <w:sz w:val="22"/>
        </w:rPr>
        <w:t xml:space="preserve">not </w:t>
      </w:r>
      <w:r w:rsidRPr="00CF51E3" w:rsidR="006478B0">
        <w:rPr>
          <w:rFonts w:eastAsia="Calibri" w:cs="Times New Roman"/>
          <w:b/>
          <w:sz w:val="22"/>
        </w:rPr>
        <w:t xml:space="preserve">a </w:t>
      </w:r>
      <w:r w:rsidRPr="00CF51E3" w:rsidR="007D325B">
        <w:rPr>
          <w:rFonts w:eastAsia="Calibri" w:cs="Times New Roman"/>
          <w:b/>
          <w:sz w:val="22"/>
        </w:rPr>
        <w:t xml:space="preserve">defense to </w:t>
      </w:r>
      <w:r w:rsidRPr="00CF51E3" w:rsidR="006478B0">
        <w:rPr>
          <w:rFonts w:eastAsia="Calibri" w:cs="Times New Roman"/>
          <w:b/>
          <w:sz w:val="22"/>
        </w:rPr>
        <w:t>a l</w:t>
      </w:r>
      <w:r w:rsidRPr="00CF51E3" w:rsidR="00F41031">
        <w:rPr>
          <w:rFonts w:eastAsia="Calibri" w:cs="Times New Roman"/>
          <w:b/>
          <w:sz w:val="22"/>
        </w:rPr>
        <w:t xml:space="preserve">ien </w:t>
      </w:r>
      <w:r w:rsidRPr="00CF51E3" w:rsidR="006478B0">
        <w:rPr>
          <w:rFonts w:eastAsia="Calibri" w:cs="Times New Roman"/>
          <w:b/>
          <w:sz w:val="22"/>
        </w:rPr>
        <w:t>w</w:t>
      </w:r>
      <w:r w:rsidRPr="00CF51E3" w:rsidR="00F41031">
        <w:rPr>
          <w:rFonts w:eastAsia="Calibri" w:cs="Times New Roman"/>
          <w:b/>
          <w:sz w:val="22"/>
        </w:rPr>
        <w:t xml:space="preserve">aiver.  </w:t>
      </w:r>
      <w:r w:rsidRPr="00CF51E3" w:rsidR="00F41031">
        <w:rPr>
          <w:rFonts w:eastAsia="Calibri" w:cs="Times New Roman"/>
          <w:sz w:val="22"/>
        </w:rPr>
        <w:t>P</w:t>
      </w:r>
      <w:r w:rsidRPr="00CF51E3">
        <w:rPr>
          <w:rFonts w:eastAsia="Calibri" w:cs="Times New Roman"/>
          <w:sz w:val="22"/>
        </w:rPr>
        <w:t xml:space="preserve">erry and Laurie Duden </w:t>
      </w:r>
      <w:r w:rsidRPr="00CF51E3" w:rsidR="00F41031">
        <w:rPr>
          <w:rFonts w:eastAsia="Calibri" w:cs="Times New Roman"/>
          <w:sz w:val="22"/>
        </w:rPr>
        <w:t xml:space="preserve">(the “Debtors”) </w:t>
      </w:r>
      <w:r w:rsidRPr="00CF51E3">
        <w:rPr>
          <w:rFonts w:eastAsia="Calibri" w:cs="Times New Roman"/>
          <w:sz w:val="22"/>
        </w:rPr>
        <w:t>operate</w:t>
      </w:r>
      <w:r w:rsidR="00197762">
        <w:rPr>
          <w:rFonts w:eastAsia="Calibri" w:cs="Times New Roman"/>
          <w:sz w:val="22"/>
        </w:rPr>
        <w:t>d</w:t>
      </w:r>
      <w:r w:rsidRPr="00CF51E3">
        <w:rPr>
          <w:rFonts w:eastAsia="Calibri" w:cs="Times New Roman"/>
          <w:sz w:val="22"/>
        </w:rPr>
        <w:t xml:space="preserve"> a cattle farm</w:t>
      </w:r>
      <w:r w:rsidRPr="00CF51E3" w:rsidR="00F41031">
        <w:rPr>
          <w:rFonts w:eastAsia="Calibri" w:cs="Times New Roman"/>
          <w:sz w:val="22"/>
        </w:rPr>
        <w:t xml:space="preserve">.  The Debtors </w:t>
      </w:r>
      <w:r w:rsidR="00197762">
        <w:rPr>
          <w:rFonts w:eastAsia="Calibri" w:cs="Times New Roman"/>
          <w:sz w:val="22"/>
        </w:rPr>
        <w:t>were</w:t>
      </w:r>
      <w:r w:rsidRPr="00CF51E3" w:rsidR="00F41031">
        <w:rPr>
          <w:rFonts w:eastAsia="Calibri" w:cs="Times New Roman"/>
          <w:sz w:val="22"/>
        </w:rPr>
        <w:t xml:space="preserve"> indebted to </w:t>
      </w:r>
      <w:r w:rsidRPr="00CF51E3">
        <w:rPr>
          <w:rFonts w:eastAsia="Calibri" w:cs="Times New Roman"/>
          <w:sz w:val="22"/>
        </w:rPr>
        <w:t>PLCC</w:t>
      </w:r>
      <w:r w:rsidRPr="00CF51E3" w:rsidR="00F41031">
        <w:rPr>
          <w:rFonts w:eastAsia="Calibri" w:cs="Times New Roman"/>
          <w:sz w:val="22"/>
        </w:rPr>
        <w:t xml:space="preserve"> (the “Lender”)</w:t>
      </w:r>
      <w:r w:rsidRPr="00CF51E3" w:rsidR="00F41031">
        <w:rPr>
          <w:sz w:val="22"/>
        </w:rPr>
        <w:t xml:space="preserve"> </w:t>
      </w:r>
      <w:r w:rsidRPr="00CF51E3" w:rsidR="00F41031">
        <w:rPr>
          <w:rFonts w:eastAsia="Calibri" w:cs="Times New Roman"/>
          <w:sz w:val="22"/>
        </w:rPr>
        <w:t>and the debt was secured by certain personal property including, but not limited to, the cattle of the Debtors.  I</w:t>
      </w:r>
      <w:r w:rsidRPr="00CF51E3">
        <w:rPr>
          <w:rFonts w:eastAsia="Calibri" w:cs="Times New Roman"/>
          <w:sz w:val="22"/>
        </w:rPr>
        <w:t xml:space="preserve">n May 2016, the </w:t>
      </w:r>
      <w:r w:rsidRPr="00CF51E3" w:rsidR="00F41031">
        <w:rPr>
          <w:rFonts w:eastAsia="Calibri" w:cs="Times New Roman"/>
          <w:sz w:val="22"/>
        </w:rPr>
        <w:t xml:space="preserve">Debtors </w:t>
      </w:r>
      <w:r w:rsidRPr="00CF51E3">
        <w:rPr>
          <w:rFonts w:eastAsia="Calibri" w:cs="Times New Roman"/>
          <w:sz w:val="22"/>
        </w:rPr>
        <w:t xml:space="preserve">moved about 240 head of cattle to </w:t>
      </w:r>
      <w:r w:rsidRPr="00CF51E3" w:rsidR="00F41031">
        <w:rPr>
          <w:rFonts w:eastAsia="Calibri" w:cs="Times New Roman"/>
          <w:sz w:val="22"/>
        </w:rPr>
        <w:t xml:space="preserve">a feedlot owned by </w:t>
      </w:r>
      <w:r w:rsidRPr="00CF51E3" w:rsidR="006478B0">
        <w:rPr>
          <w:rFonts w:eastAsia="Calibri" w:cs="Times New Roman"/>
          <w:sz w:val="22"/>
        </w:rPr>
        <w:t xml:space="preserve">Benedict </w:t>
      </w:r>
      <w:r w:rsidRPr="00CF51E3">
        <w:rPr>
          <w:rFonts w:eastAsia="Calibri" w:cs="Times New Roman"/>
          <w:sz w:val="22"/>
        </w:rPr>
        <w:t>Weiland</w:t>
      </w:r>
      <w:r w:rsidRPr="00CF51E3" w:rsidR="00F41031">
        <w:rPr>
          <w:rFonts w:eastAsia="Calibri" w:cs="Times New Roman"/>
          <w:sz w:val="22"/>
        </w:rPr>
        <w:t xml:space="preserve"> (the “Feedlot Owner”)</w:t>
      </w:r>
      <w:r w:rsidRPr="00CF51E3">
        <w:rPr>
          <w:rFonts w:eastAsia="Calibri" w:cs="Times New Roman"/>
          <w:sz w:val="22"/>
        </w:rPr>
        <w:t xml:space="preserve">. </w:t>
      </w:r>
      <w:r w:rsidRPr="00CF51E3" w:rsidR="00F41031">
        <w:rPr>
          <w:rFonts w:eastAsia="Calibri" w:cs="Times New Roman"/>
          <w:sz w:val="22"/>
        </w:rPr>
        <w:t xml:space="preserve"> The Lender obtained a lien waiver from the Feedlot Owner.  The Debtors failed to pay the Feedlot Owner.  The Feedlot Owner filed an agricultural lien under </w:t>
      </w:r>
      <w:r w:rsidRPr="00CF51E3">
        <w:rPr>
          <w:rFonts w:eastAsia="Calibri" w:cs="Times New Roman"/>
          <w:sz w:val="22"/>
        </w:rPr>
        <w:t>Minnesota statute § 514.966, subdivision 4</w:t>
      </w:r>
      <w:r w:rsidRPr="00CF51E3" w:rsidR="00F41031">
        <w:rPr>
          <w:rFonts w:eastAsia="Calibri" w:cs="Times New Roman"/>
          <w:sz w:val="22"/>
        </w:rPr>
        <w:t xml:space="preserve"> and argued that the waiver was invalid because the Feedlot Owner </w:t>
      </w:r>
      <w:r w:rsidRPr="00CF51E3">
        <w:rPr>
          <w:rFonts w:eastAsia="Calibri" w:cs="Times New Roman"/>
          <w:sz w:val="22"/>
        </w:rPr>
        <w:t xml:space="preserve">lacked the requisite knowledge to waive his interest in cattle. </w:t>
      </w:r>
      <w:r w:rsidRPr="00CF51E3" w:rsidR="00F41031">
        <w:rPr>
          <w:rFonts w:eastAsia="Calibri" w:cs="Times New Roman"/>
          <w:sz w:val="22"/>
        </w:rPr>
        <w:t xml:space="preserve">The Lender asserted the waiver was effective.  The Court agreed and held that the Feedlot Owner </w:t>
      </w:r>
      <w:r w:rsidRPr="00CF51E3" w:rsidR="006478B0">
        <w:rPr>
          <w:rFonts w:eastAsia="Calibri" w:cs="Times New Roman"/>
          <w:sz w:val="22"/>
        </w:rPr>
        <w:t xml:space="preserve">had constructive knowledge to </w:t>
      </w:r>
      <w:r w:rsidRPr="00CF51E3" w:rsidR="00F41031">
        <w:rPr>
          <w:rFonts w:eastAsia="Calibri" w:cs="Times New Roman"/>
          <w:sz w:val="22"/>
        </w:rPr>
        <w:t xml:space="preserve">waive </w:t>
      </w:r>
      <w:r w:rsidRPr="00CF51E3">
        <w:rPr>
          <w:rFonts w:eastAsia="Calibri" w:cs="Times New Roman"/>
          <w:sz w:val="22"/>
        </w:rPr>
        <w:t>his statutory feeder’s lien and</w:t>
      </w:r>
      <w:r w:rsidR="00197762">
        <w:rPr>
          <w:rFonts w:eastAsia="Calibri" w:cs="Times New Roman"/>
          <w:sz w:val="22"/>
        </w:rPr>
        <w:t>,</w:t>
      </w:r>
      <w:r w:rsidRPr="00CF51E3">
        <w:rPr>
          <w:rFonts w:eastAsia="Calibri" w:cs="Times New Roman"/>
          <w:sz w:val="22"/>
        </w:rPr>
        <w:t xml:space="preserve"> therefore</w:t>
      </w:r>
      <w:r w:rsidR="00197762">
        <w:rPr>
          <w:rFonts w:eastAsia="Calibri" w:cs="Times New Roman"/>
          <w:sz w:val="22"/>
        </w:rPr>
        <w:t>,</w:t>
      </w:r>
      <w:r w:rsidRPr="00CF51E3">
        <w:rPr>
          <w:rFonts w:eastAsia="Calibri" w:cs="Times New Roman"/>
          <w:sz w:val="22"/>
        </w:rPr>
        <w:t xml:space="preserve"> had no interest in the proceeds of the sale of cattle. </w:t>
      </w:r>
      <w:r w:rsidRPr="00CF51E3">
        <w:rPr>
          <w:rFonts w:cs="Times New Roman"/>
          <w:i/>
          <w:sz w:val="22"/>
        </w:rPr>
        <w:t>Producers Livestoc</w:t>
      </w:r>
      <w:r w:rsidRPr="00CF51E3" w:rsidR="00530C00">
        <w:rPr>
          <w:rFonts w:cs="Times New Roman"/>
          <w:i/>
          <w:sz w:val="22"/>
        </w:rPr>
        <w:t>k Credit Corporation v. Benson; Case A18-0654</w:t>
      </w:r>
      <w:r w:rsidRPr="00CF51E3">
        <w:rPr>
          <w:rFonts w:cs="Times New Roman"/>
          <w:i/>
          <w:sz w:val="22"/>
        </w:rPr>
        <w:t xml:space="preserve"> (</w:t>
      </w:r>
      <w:r w:rsidRPr="00CF51E3" w:rsidR="00F41031">
        <w:rPr>
          <w:rFonts w:cs="Times New Roman"/>
          <w:i/>
          <w:sz w:val="22"/>
        </w:rPr>
        <w:t xml:space="preserve">Minn. </w:t>
      </w:r>
      <w:r w:rsidRPr="00CF51E3" w:rsidR="00530C00">
        <w:rPr>
          <w:rFonts w:cs="Times New Roman"/>
          <w:i/>
          <w:sz w:val="22"/>
        </w:rPr>
        <w:t>March 11,</w:t>
      </w:r>
      <w:r w:rsidRPr="00CF51E3" w:rsidR="00F41031">
        <w:rPr>
          <w:rFonts w:cs="Times New Roman"/>
          <w:i/>
          <w:sz w:val="22"/>
        </w:rPr>
        <w:t xml:space="preserve"> </w:t>
      </w:r>
      <w:r w:rsidRPr="00CF51E3">
        <w:rPr>
          <w:rFonts w:cs="Times New Roman"/>
          <w:i/>
          <w:sz w:val="22"/>
        </w:rPr>
        <w:t>2019)</w:t>
      </w:r>
      <w:r w:rsidRPr="00CF51E3" w:rsidR="007D325B">
        <w:rPr>
          <w:rFonts w:cs="Times New Roman"/>
          <w:i/>
          <w:sz w:val="22"/>
        </w:rPr>
        <w:t>.</w:t>
      </w:r>
    </w:p>
    <w:p w:rsidR="005F2DA6" w:rsidRPr="00CF51E3" w:rsidP="003D3283">
      <w:pPr>
        <w:jc w:val="both"/>
        <w:rPr>
          <w:sz w:val="22"/>
        </w:rPr>
      </w:pPr>
    </w:p>
    <w:p w:rsidR="005B1D97" w:rsidRPr="00CF51E3" w:rsidP="00A45ED8">
      <w:pPr>
        <w:pStyle w:val="ListParagraph"/>
        <w:spacing w:line="240" w:lineRule="auto"/>
        <w:ind w:left="1440"/>
        <w:jc w:val="both"/>
        <w:rPr>
          <w:rFonts w:ascii="Times New Roman" w:hAnsi="Times New Roman" w:cs="Times New Roman"/>
          <w:b/>
        </w:rPr>
      </w:pPr>
      <w:r w:rsidRPr="00CF51E3">
        <w:rPr>
          <w:rFonts w:ascii="Times New Roman" w:hAnsi="Times New Roman" w:cs="Times New Roman"/>
          <w:b/>
        </w:rPr>
        <w:t>2.</w:t>
      </w:r>
      <w:r w:rsidRPr="00CF51E3">
        <w:rPr>
          <w:rFonts w:ascii="Times New Roman" w:hAnsi="Times New Roman" w:cs="Times New Roman"/>
          <w:b/>
        </w:rPr>
        <w:tab/>
      </w:r>
      <w:r w:rsidRPr="00CF51E3" w:rsidR="00017026">
        <w:rPr>
          <w:rFonts w:ascii="Times New Roman" w:hAnsi="Times New Roman" w:cs="Times New Roman"/>
          <w:b/>
        </w:rPr>
        <w:t>Buyer of Farm Products (Federal Food Security Act).</w:t>
      </w:r>
    </w:p>
    <w:p w:rsidR="003C181B" w:rsidRPr="00CF51E3" w:rsidP="00A45ED8">
      <w:pPr>
        <w:pStyle w:val="ListParagraph"/>
        <w:spacing w:line="240" w:lineRule="auto"/>
        <w:ind w:left="1440"/>
        <w:jc w:val="both"/>
        <w:rPr>
          <w:rFonts w:ascii="Times New Roman" w:hAnsi="Times New Roman" w:cs="Times New Roman"/>
          <w:b/>
        </w:rPr>
      </w:pPr>
    </w:p>
    <w:p w:rsidR="003C181B" w:rsidRPr="00CF51E3" w:rsidP="00A45ED8">
      <w:pPr>
        <w:pStyle w:val="ListParagraph"/>
        <w:spacing w:line="240" w:lineRule="auto"/>
        <w:ind w:left="1440"/>
        <w:jc w:val="both"/>
        <w:rPr>
          <w:rFonts w:ascii="Times New Roman" w:hAnsi="Times New Roman" w:cs="Times New Roman"/>
        </w:rPr>
      </w:pPr>
      <w:r w:rsidRPr="00CF51E3">
        <w:rPr>
          <w:rFonts w:ascii="Times New Roman" w:hAnsi="Times New Roman" w:cs="Times New Roman"/>
        </w:rPr>
        <w:t>No updates.</w:t>
      </w:r>
    </w:p>
    <w:p w:rsidR="00546EB8" w:rsidRPr="00CF51E3" w:rsidP="00A45ED8">
      <w:pPr>
        <w:pStyle w:val="ListParagraph"/>
        <w:spacing w:line="240" w:lineRule="auto"/>
        <w:ind w:left="1440"/>
        <w:jc w:val="both"/>
        <w:rPr>
          <w:rFonts w:ascii="Times New Roman" w:hAnsi="Times New Roman" w:cs="Times New Roman"/>
          <w:b/>
        </w:rPr>
      </w:pPr>
    </w:p>
    <w:p w:rsidR="003A47CB" w:rsidRPr="00CF51E3" w:rsidP="00175AB4">
      <w:pPr>
        <w:pStyle w:val="ListParagraph"/>
        <w:spacing w:line="240" w:lineRule="auto"/>
        <w:ind w:left="1440"/>
        <w:jc w:val="both"/>
        <w:rPr>
          <w:rFonts w:ascii="Times New Roman" w:hAnsi="Times New Roman" w:cs="Times New Roman"/>
          <w:b/>
        </w:rPr>
      </w:pPr>
      <w:r w:rsidRPr="00CF51E3">
        <w:rPr>
          <w:rFonts w:ascii="Times New Roman" w:hAnsi="Times New Roman" w:cs="Times New Roman"/>
          <w:b/>
        </w:rPr>
        <w:t>3.</w:t>
      </w:r>
      <w:r w:rsidRPr="00CF51E3">
        <w:rPr>
          <w:rFonts w:ascii="Times New Roman" w:hAnsi="Times New Roman" w:cs="Times New Roman"/>
          <w:b/>
        </w:rPr>
        <w:tab/>
      </w:r>
      <w:r w:rsidRPr="00CF51E3" w:rsidR="00017026">
        <w:rPr>
          <w:rFonts w:ascii="Times New Roman" w:hAnsi="Times New Roman" w:cs="Times New Roman"/>
          <w:b/>
        </w:rPr>
        <w:t>Statutory Trusts.</w:t>
      </w:r>
    </w:p>
    <w:p w:rsidR="008449A6" w:rsidRPr="00CF51E3" w:rsidP="008449A6">
      <w:pPr>
        <w:ind w:left="1440"/>
        <w:jc w:val="both"/>
        <w:rPr>
          <w:rFonts w:eastAsia="Calibri" w:cs="Times New Roman"/>
          <w:b/>
          <w:sz w:val="22"/>
        </w:rPr>
      </w:pPr>
      <w:r>
        <w:rPr>
          <w:rFonts w:eastAsia="Calibri" w:cs="Times New Roman"/>
          <w:b/>
          <w:sz w:val="22"/>
        </w:rPr>
        <w:t>a.</w:t>
      </w:r>
      <w:r>
        <w:rPr>
          <w:rFonts w:eastAsia="Calibri" w:cs="Times New Roman"/>
          <w:b/>
          <w:sz w:val="22"/>
        </w:rPr>
        <w:tab/>
      </w:r>
      <w:r w:rsidR="00197762">
        <w:rPr>
          <w:rFonts w:eastAsia="Calibri" w:cs="Times New Roman"/>
          <w:b/>
          <w:sz w:val="22"/>
        </w:rPr>
        <w:t>S</w:t>
      </w:r>
      <w:r w:rsidRPr="00CF51E3">
        <w:rPr>
          <w:rFonts w:eastAsia="Calibri" w:cs="Times New Roman"/>
          <w:b/>
          <w:sz w:val="22"/>
        </w:rPr>
        <w:t xml:space="preserve">ale of goods </w:t>
      </w:r>
      <w:r w:rsidR="00197762">
        <w:rPr>
          <w:rFonts w:eastAsia="Calibri" w:cs="Times New Roman"/>
          <w:b/>
          <w:sz w:val="22"/>
        </w:rPr>
        <w:t xml:space="preserve">is required </w:t>
      </w:r>
      <w:r w:rsidRPr="00CF51E3">
        <w:rPr>
          <w:rFonts w:eastAsia="Calibri" w:cs="Times New Roman"/>
          <w:b/>
          <w:sz w:val="22"/>
        </w:rPr>
        <w:t xml:space="preserve">under Article 2 for </w:t>
      </w:r>
      <w:r w:rsidR="00197762">
        <w:rPr>
          <w:rFonts w:eastAsia="Calibri" w:cs="Times New Roman"/>
          <w:b/>
          <w:sz w:val="22"/>
        </w:rPr>
        <w:t>a</w:t>
      </w:r>
      <w:r w:rsidRPr="00CF51E3">
        <w:rPr>
          <w:rFonts w:eastAsia="Calibri" w:cs="Times New Roman"/>
          <w:b/>
          <w:sz w:val="22"/>
        </w:rPr>
        <w:t xml:space="preserve"> “creditor” to be considered an unpaid seller of produce.  </w:t>
      </w:r>
      <w:r w:rsidRPr="00CF51E3">
        <w:rPr>
          <w:rFonts w:eastAsia="Calibri" w:cs="Times New Roman"/>
          <w:sz w:val="22"/>
        </w:rPr>
        <w:t>Spiech Farms, LLC (the “Debtor”) raised and sold produce.  The Debtor was indebted to Chemical Bank (the “Lender”) and the debt was secured by the produce and accounts of the Debtor.  The Debtor and Produce Pay</w:t>
      </w:r>
      <w:r w:rsidR="00696229">
        <w:rPr>
          <w:rFonts w:eastAsia="Calibri" w:cs="Times New Roman"/>
          <w:sz w:val="22"/>
        </w:rPr>
        <w:t>, Inc. (“Produce Pay”)</w:t>
      </w:r>
      <w:r w:rsidRPr="00CF51E3">
        <w:rPr>
          <w:rFonts w:eastAsia="Calibri" w:cs="Times New Roman"/>
          <w:sz w:val="22"/>
        </w:rPr>
        <w:t xml:space="preserve"> were parties to an involved distribution agreement that provided for a combination of the sale of produce to Produce Pay, the factoring of accounts receivable to Produce Pay and the consignment of produce to Produce Pay – which enabled the Debtor to obtain financing from Produce Pay.  The Debtor became insolvent and filed a Chapter 1</w:t>
      </w:r>
      <w:r w:rsidR="00696229">
        <w:rPr>
          <w:rFonts w:eastAsia="Calibri" w:cs="Times New Roman"/>
          <w:sz w:val="22"/>
        </w:rPr>
        <w:t>1 bankruptcy.  Produce Pay</w:t>
      </w:r>
      <w:r w:rsidRPr="00CF51E3">
        <w:rPr>
          <w:rFonts w:eastAsia="Calibri" w:cs="Times New Roman"/>
          <w:sz w:val="22"/>
        </w:rPr>
        <w:t xml:space="preserve"> asserted a claim of more than $1 million against the Debtor under the Perishable Agricultural Commodities Act, 7 U.S.C. §499 </w:t>
      </w:r>
      <w:r w:rsidRPr="00CF51E3">
        <w:rPr>
          <w:rFonts w:eastAsia="Calibri" w:cs="Times New Roman"/>
          <w:i/>
          <w:sz w:val="22"/>
        </w:rPr>
        <w:t>et seq.</w:t>
      </w:r>
      <w:r w:rsidRPr="00CF51E3">
        <w:rPr>
          <w:rFonts w:eastAsia="Calibri" w:cs="Times New Roman"/>
          <w:sz w:val="22"/>
        </w:rPr>
        <w:t xml:space="preserve"> (“PACA”).  Produce Pay argued that it was an unpaid seller of produce because the Debtor sold the produce to Produce Pay, and then, the Debtor sold the produce to its customers </w:t>
      </w:r>
      <w:r w:rsidRPr="00CF51E3">
        <w:rPr>
          <w:rFonts w:eastAsia="Calibri" w:cs="Times New Roman"/>
          <w:sz w:val="22"/>
          <w:u w:val="single"/>
        </w:rPr>
        <w:t>on behalf of Produce Pay</w:t>
      </w:r>
      <w:r w:rsidRPr="00CF51E3">
        <w:rPr>
          <w:rFonts w:eastAsia="Calibri" w:cs="Times New Roman"/>
          <w:sz w:val="22"/>
        </w:rPr>
        <w:t xml:space="preserve">.  The failure of the eventual buyers of the produce to pay Produce Pay (via the Debtor) entitled Produce Pay to the PACA claim.  The Debtor and creditor disagree and argued that there was no transfer of title of the produce to Produce Pay </w:t>
      </w:r>
      <w:r w:rsidRPr="00CF51E3">
        <w:rPr>
          <w:rFonts w:eastAsia="Calibri" w:cs="Times New Roman"/>
          <w:sz w:val="22"/>
        </w:rPr>
        <w:t xml:space="preserve">under UCC §2-403.  The Court agreed and held that title did not pass to Produce Pay </w:t>
      </w:r>
      <w:r w:rsidRPr="00CF51E3">
        <w:rPr>
          <w:rFonts w:eastAsia="Calibri" w:cs="Times New Roman"/>
          <w:sz w:val="22"/>
          <w:u w:val="single"/>
        </w:rPr>
        <w:t>prior to</w:t>
      </w:r>
      <w:r w:rsidRPr="00CF51E3">
        <w:rPr>
          <w:rFonts w:eastAsia="Calibri" w:cs="Times New Roman"/>
          <w:sz w:val="22"/>
        </w:rPr>
        <w:t xml:space="preserve"> title passing to the eventual buyers of the produce and, therefore, the Debtor did not own the produce at the time title was purportedly passed to Produce Pay.  The Court concluded the arrangement constituted a financing arrangement and not a sale of goods.  </w:t>
      </w:r>
      <w:r w:rsidRPr="00CF51E3">
        <w:rPr>
          <w:rFonts w:eastAsia="Calibri" w:cs="Times New Roman"/>
          <w:i/>
          <w:sz w:val="22"/>
        </w:rPr>
        <w:t>In re Spiech Farms, LLC, 592 B.R. 152 (Bankr. W.D. Mich. 2018).</w:t>
      </w:r>
    </w:p>
    <w:p w:rsidR="008449A6" w:rsidRPr="00CF51E3" w:rsidP="008449A6">
      <w:pPr>
        <w:ind w:left="1440"/>
        <w:jc w:val="both"/>
        <w:rPr>
          <w:rFonts w:eastAsia="Calibri" w:cs="Times New Roman"/>
          <w:b/>
          <w:sz w:val="22"/>
        </w:rPr>
      </w:pPr>
    </w:p>
    <w:p w:rsidR="005F2DA6" w:rsidRPr="00CF51E3" w:rsidP="008449A6">
      <w:pPr>
        <w:ind w:left="1440"/>
        <w:jc w:val="both"/>
        <w:rPr>
          <w:rFonts w:eastAsia="Calibri" w:cs="Times New Roman"/>
          <w:i/>
          <w:sz w:val="22"/>
        </w:rPr>
      </w:pPr>
      <w:r>
        <w:rPr>
          <w:rFonts w:eastAsia="Calibri" w:cs="Times New Roman"/>
          <w:b/>
          <w:sz w:val="22"/>
        </w:rPr>
        <w:t>b.</w:t>
      </w:r>
      <w:r>
        <w:rPr>
          <w:rFonts w:eastAsia="Calibri" w:cs="Times New Roman"/>
          <w:b/>
          <w:sz w:val="22"/>
        </w:rPr>
        <w:tab/>
      </w:r>
      <w:r w:rsidR="00197762">
        <w:rPr>
          <w:rFonts w:eastAsia="Calibri" w:cs="Times New Roman"/>
          <w:b/>
          <w:sz w:val="22"/>
        </w:rPr>
        <w:t xml:space="preserve">Agreement </w:t>
      </w:r>
      <w:r w:rsidRPr="00CF51E3" w:rsidR="008449A6">
        <w:rPr>
          <w:rFonts w:eastAsia="Calibri" w:cs="Times New Roman"/>
          <w:b/>
          <w:sz w:val="22"/>
        </w:rPr>
        <w:t xml:space="preserve">did not constitute a factoring agreement because the seller remain obligated to the creditor on the customer accounts.  </w:t>
      </w:r>
      <w:r w:rsidRPr="00CF51E3">
        <w:rPr>
          <w:rFonts w:eastAsia="Calibri" w:cs="Times New Roman"/>
          <w:sz w:val="22"/>
        </w:rPr>
        <w:t>Spiech Farms</w:t>
      </w:r>
      <w:r w:rsidRPr="00CF51E3" w:rsidR="004527EE">
        <w:rPr>
          <w:rFonts w:eastAsia="Calibri" w:cs="Times New Roman"/>
          <w:sz w:val="22"/>
        </w:rPr>
        <w:t>, LLC (the “Debtor”)</w:t>
      </w:r>
      <w:r w:rsidRPr="00CF51E3">
        <w:rPr>
          <w:rFonts w:eastAsia="Calibri" w:cs="Times New Roman"/>
          <w:sz w:val="22"/>
        </w:rPr>
        <w:t xml:space="preserve"> </w:t>
      </w:r>
      <w:r w:rsidRPr="00CF51E3" w:rsidR="004527EE">
        <w:rPr>
          <w:rFonts w:eastAsia="Calibri" w:cs="Times New Roman"/>
          <w:sz w:val="22"/>
        </w:rPr>
        <w:t xml:space="preserve">raised and sold produce.  The Debtor was indebted to Chemical Bank (the “Lender”) and the debt was secured by the produce and accounts of the Debtor.  The Debtor and </w:t>
      </w:r>
      <w:r w:rsidRPr="00CF51E3">
        <w:rPr>
          <w:rFonts w:eastAsia="Calibri" w:cs="Times New Roman"/>
          <w:sz w:val="22"/>
        </w:rPr>
        <w:t xml:space="preserve">Produce Pay </w:t>
      </w:r>
      <w:r w:rsidRPr="00CF51E3" w:rsidR="004527EE">
        <w:rPr>
          <w:rFonts w:eastAsia="Calibri" w:cs="Times New Roman"/>
          <w:sz w:val="22"/>
        </w:rPr>
        <w:t xml:space="preserve">were parties to an involved distribution agreement that provided for a combination of the sale of produce to Produce Pay, the factoring of accounts receivable to Produce Pay and the consignment of produce to Produce Pay – which enabled the Debtor to obtain financing from Produce Pay.  The Debtor became insolvent and filed a Chapter 11 bankruptcy.  </w:t>
      </w:r>
      <w:r w:rsidRPr="00CF51E3" w:rsidR="008B2CF7">
        <w:rPr>
          <w:rFonts w:eastAsia="Calibri" w:cs="Times New Roman"/>
          <w:sz w:val="22"/>
        </w:rPr>
        <w:t>Produce Pay argued that the agreement was a factoring agreement and Produce Pay purchase the accounts of the Debtor free of any security interests.  The Debtor and committee argued that Produce Pay did not purchase the accounts of the Debtor because the Debtor retained the risk of loss associated with the accounts</w:t>
      </w:r>
      <w:r w:rsidRPr="00CF51E3" w:rsidR="008449A6">
        <w:rPr>
          <w:rFonts w:eastAsia="Calibri" w:cs="Times New Roman"/>
          <w:sz w:val="22"/>
        </w:rPr>
        <w:t xml:space="preserve"> under the “transfer-of-risk” test articulated by the Second, Third, Fourth, Fifth and Ninth Circuit. </w:t>
      </w:r>
      <w:r w:rsidRPr="00CF51E3" w:rsidR="008449A6">
        <w:rPr>
          <w:rFonts w:eastAsia="Calibri" w:cs="Times New Roman"/>
          <w:i/>
          <w:sz w:val="22"/>
        </w:rPr>
        <w:t>See S &amp; H Packing &amp; Sales Co., Inc. v. Tanimura Distributing, Inc.</w:t>
      </w:r>
      <w:r w:rsidRPr="00CF51E3" w:rsidR="008449A6">
        <w:rPr>
          <w:rFonts w:eastAsia="Calibri" w:cs="Times New Roman"/>
          <w:sz w:val="22"/>
        </w:rPr>
        <w:t>, 883 F.3d 797, 808 (9</w:t>
      </w:r>
      <w:r w:rsidRPr="00CF51E3" w:rsidR="008449A6">
        <w:rPr>
          <w:rFonts w:eastAsia="Calibri" w:cs="Times New Roman"/>
          <w:sz w:val="22"/>
          <w:vertAlign w:val="superscript"/>
        </w:rPr>
        <w:t>th</w:t>
      </w:r>
      <w:r w:rsidRPr="00CF51E3" w:rsidR="008449A6">
        <w:rPr>
          <w:rFonts w:eastAsia="Calibri" w:cs="Times New Roman"/>
          <w:sz w:val="22"/>
        </w:rPr>
        <w:t xml:space="preserve"> Cir. 2018), </w:t>
      </w:r>
      <w:r w:rsidRPr="00CF51E3" w:rsidR="008449A6">
        <w:rPr>
          <w:rFonts w:eastAsia="Calibri" w:cs="Times New Roman"/>
          <w:i/>
          <w:sz w:val="22"/>
        </w:rPr>
        <w:t>Nickey Gregory Co., LLC v. AgriCap, LLC</w:t>
      </w:r>
      <w:r w:rsidRPr="00CF51E3" w:rsidR="008449A6">
        <w:rPr>
          <w:rFonts w:eastAsia="Calibri" w:cs="Times New Roman"/>
          <w:sz w:val="22"/>
        </w:rPr>
        <w:t>, 597 F.3d 600-603 (4</w:t>
      </w:r>
      <w:r w:rsidRPr="00CF51E3" w:rsidR="008449A6">
        <w:rPr>
          <w:rFonts w:eastAsia="Calibri" w:cs="Times New Roman"/>
          <w:sz w:val="22"/>
          <w:vertAlign w:val="superscript"/>
        </w:rPr>
        <w:t>th</w:t>
      </w:r>
      <w:r w:rsidRPr="00CF51E3" w:rsidR="008449A6">
        <w:rPr>
          <w:rFonts w:eastAsia="Calibri" w:cs="Times New Roman"/>
          <w:sz w:val="22"/>
        </w:rPr>
        <w:t xml:space="preserve"> Cir. 2010), </w:t>
      </w:r>
      <w:r w:rsidRPr="00CF51E3" w:rsidR="008449A6">
        <w:rPr>
          <w:rFonts w:eastAsia="Calibri" w:cs="Times New Roman"/>
          <w:i/>
          <w:sz w:val="22"/>
        </w:rPr>
        <w:t>Reaves Brokerage Co., Inc. v. Sunbelt Fruit &amp; Vegetable Co., Inc.</w:t>
      </w:r>
      <w:r w:rsidRPr="00CF51E3" w:rsidR="008449A6">
        <w:rPr>
          <w:rFonts w:eastAsia="Calibri" w:cs="Times New Roman"/>
          <w:sz w:val="22"/>
        </w:rPr>
        <w:t>, 336 F.3d 410 (5</w:t>
      </w:r>
      <w:r w:rsidRPr="00CF51E3" w:rsidR="008449A6">
        <w:rPr>
          <w:rFonts w:eastAsia="Calibri" w:cs="Times New Roman"/>
          <w:sz w:val="22"/>
          <w:vertAlign w:val="superscript"/>
        </w:rPr>
        <w:t>th</w:t>
      </w:r>
      <w:r w:rsidRPr="00CF51E3" w:rsidR="008449A6">
        <w:rPr>
          <w:rFonts w:eastAsia="Calibri" w:cs="Times New Roman"/>
          <w:sz w:val="22"/>
        </w:rPr>
        <w:t xml:space="preserve"> Cir. 2003).</w:t>
      </w:r>
      <w:r w:rsidRPr="00CF51E3" w:rsidR="008449A6">
        <w:rPr>
          <w:rFonts w:eastAsia="Calibri" w:cs="Times New Roman"/>
          <w:i/>
          <w:sz w:val="22"/>
        </w:rPr>
        <w:t xml:space="preserve"> </w:t>
      </w:r>
      <w:r w:rsidRPr="00CF51E3" w:rsidR="008449A6">
        <w:rPr>
          <w:rFonts w:eastAsia="Calibri" w:cs="Times New Roman"/>
          <w:sz w:val="22"/>
        </w:rPr>
        <w:t xml:space="preserve"> </w:t>
      </w:r>
      <w:r w:rsidRPr="00CF51E3" w:rsidR="008B2CF7">
        <w:rPr>
          <w:rFonts w:eastAsia="Calibri" w:cs="Times New Roman"/>
          <w:sz w:val="22"/>
        </w:rPr>
        <w:t>The Court agreed and held that under the distribution agreement the Debtor remained obligated to Produce Pay even if the Debtor’s custo</w:t>
      </w:r>
      <w:r w:rsidRPr="00CF51E3" w:rsidR="008449A6">
        <w:rPr>
          <w:rFonts w:eastAsia="Calibri" w:cs="Times New Roman"/>
          <w:sz w:val="22"/>
        </w:rPr>
        <w:t xml:space="preserve">mers failed to pay on for the produce.  </w:t>
      </w:r>
      <w:r w:rsidRPr="00CF51E3" w:rsidR="008B2CF7">
        <w:rPr>
          <w:rFonts w:eastAsia="Calibri" w:cs="Times New Roman"/>
          <w:sz w:val="22"/>
        </w:rPr>
        <w:t xml:space="preserve"> </w:t>
      </w:r>
      <w:r w:rsidRPr="00CF51E3">
        <w:rPr>
          <w:rFonts w:eastAsia="Calibri" w:cs="Times New Roman"/>
          <w:i/>
          <w:sz w:val="22"/>
        </w:rPr>
        <w:t>In re Spiech Farms, LLC, 592 B.R. 152 (</w:t>
      </w:r>
      <w:r w:rsidRPr="00CF51E3" w:rsidR="00530C00">
        <w:rPr>
          <w:rFonts w:eastAsia="Calibri" w:cs="Times New Roman"/>
          <w:i/>
          <w:sz w:val="22"/>
        </w:rPr>
        <w:t>Bankr. W.D. Mich.</w:t>
      </w:r>
      <w:r w:rsidRPr="00CF51E3" w:rsidR="007D325B">
        <w:rPr>
          <w:rFonts w:eastAsia="Calibri" w:cs="Times New Roman"/>
          <w:i/>
          <w:sz w:val="22"/>
        </w:rPr>
        <w:t xml:space="preserve"> </w:t>
      </w:r>
      <w:r w:rsidRPr="00CF51E3">
        <w:rPr>
          <w:rFonts w:eastAsia="Calibri" w:cs="Times New Roman"/>
          <w:i/>
          <w:sz w:val="22"/>
        </w:rPr>
        <w:t>2018)</w:t>
      </w:r>
      <w:r w:rsidRPr="00CF51E3" w:rsidR="008449A6">
        <w:rPr>
          <w:rFonts w:eastAsia="Calibri" w:cs="Times New Roman"/>
          <w:i/>
          <w:sz w:val="22"/>
        </w:rPr>
        <w:t>.</w:t>
      </w:r>
    </w:p>
    <w:p w:rsidR="008449A6" w:rsidRPr="00CF51E3" w:rsidP="008449A6">
      <w:pPr>
        <w:jc w:val="both"/>
        <w:rPr>
          <w:rFonts w:eastAsia="Calibri" w:cs="Times New Roman"/>
          <w:i/>
          <w:sz w:val="22"/>
        </w:rPr>
      </w:pPr>
    </w:p>
    <w:p w:rsidR="005F2DA6" w:rsidRPr="00CF51E3" w:rsidP="00F54211">
      <w:pPr>
        <w:ind w:left="1440"/>
        <w:jc w:val="both"/>
        <w:rPr>
          <w:rFonts w:eastAsia="Calibri" w:cs="Times New Roman"/>
          <w:sz w:val="22"/>
        </w:rPr>
      </w:pPr>
      <w:r>
        <w:rPr>
          <w:rFonts w:eastAsia="Calibri" w:cs="Times New Roman"/>
          <w:b/>
          <w:sz w:val="22"/>
        </w:rPr>
        <w:t>c.</w:t>
      </w:r>
      <w:r>
        <w:rPr>
          <w:rFonts w:eastAsia="Calibri" w:cs="Times New Roman"/>
          <w:b/>
          <w:sz w:val="22"/>
        </w:rPr>
        <w:tab/>
      </w:r>
      <w:r w:rsidRPr="00CF51E3" w:rsidR="00076558">
        <w:rPr>
          <w:rFonts w:eastAsia="Calibri" w:cs="Times New Roman"/>
          <w:b/>
          <w:sz w:val="22"/>
        </w:rPr>
        <w:t>Sweet potatoes</w:t>
      </w:r>
      <w:r w:rsidRPr="00CF51E3" w:rsidR="00F54211">
        <w:rPr>
          <w:rFonts w:eastAsia="Calibri" w:cs="Times New Roman"/>
          <w:b/>
          <w:sz w:val="22"/>
        </w:rPr>
        <w:t xml:space="preserve"> seller failed to timely give notice of PACA trust claim.  </w:t>
      </w:r>
      <w:r w:rsidRPr="00CF51E3" w:rsidR="00D050C8">
        <w:rPr>
          <w:rFonts w:eastAsia="Calibri" w:cs="Times New Roman"/>
          <w:sz w:val="22"/>
        </w:rPr>
        <w:t>Wayne Bailey, Inc. (the “Debtor”) was a sweet potato grower, packer and shipper.  The Debtor was indebted to SP Funding, LLC (the “Lender”) and the debt was secured by the sweet potatoes and accounts of the Debtor.  The Debtor purchased sweet potatoes from Southern Roots Farming Company, LLC (the “Seller”) on credit.  The Debtor filed a Chapter 11 bankruptcy.  The Seller was owed $1,882,944.67 and argued it was entitled to a</w:t>
      </w:r>
      <w:r w:rsidRPr="00CF51E3" w:rsidR="00D050C8">
        <w:rPr>
          <w:sz w:val="22"/>
        </w:rPr>
        <w:t xml:space="preserve"> trust </w:t>
      </w:r>
      <w:r w:rsidRPr="00CF51E3" w:rsidR="00D050C8">
        <w:rPr>
          <w:rFonts w:eastAsia="Calibri" w:cs="Times New Roman"/>
          <w:sz w:val="22"/>
        </w:rPr>
        <w:t xml:space="preserve">claim under the Perishable Agricultural Commodities Act, 7 U.S.C. §499 </w:t>
      </w:r>
      <w:r w:rsidRPr="00CF51E3" w:rsidR="00D050C8">
        <w:rPr>
          <w:rFonts w:eastAsia="Calibri" w:cs="Times New Roman"/>
          <w:i/>
          <w:sz w:val="22"/>
        </w:rPr>
        <w:t>et seq</w:t>
      </w:r>
      <w:r w:rsidRPr="00CF51E3" w:rsidR="00D050C8">
        <w:rPr>
          <w:rFonts w:eastAsia="Calibri" w:cs="Times New Roman"/>
          <w:sz w:val="22"/>
        </w:rPr>
        <w:t>. (“PACA”)</w:t>
      </w:r>
      <w:r w:rsidRPr="00CF51E3" w:rsidR="00076558">
        <w:rPr>
          <w:rFonts w:eastAsia="Calibri" w:cs="Times New Roman"/>
          <w:sz w:val="22"/>
        </w:rPr>
        <w:t xml:space="preserve"> because payment was not made within 30 days of sale as required under the grower agreements.  The Seller argued that title passed to the Debtor when the sweet potatoes were packaged by the Debtor</w:t>
      </w:r>
      <w:r w:rsidRPr="00CF51E3" w:rsidR="00D050C8">
        <w:rPr>
          <w:rFonts w:eastAsia="Calibri" w:cs="Times New Roman"/>
          <w:sz w:val="22"/>
        </w:rPr>
        <w:t>.  The Debtor and th</w:t>
      </w:r>
      <w:r w:rsidRPr="00CF51E3" w:rsidR="00076558">
        <w:rPr>
          <w:rFonts w:eastAsia="Calibri" w:cs="Times New Roman"/>
          <w:sz w:val="22"/>
        </w:rPr>
        <w:t xml:space="preserve">e Lender disagree and argued that title to the sweet potatoes passed at harvest by the Seller and, therefore, title passed in excess of the 30 days.  The Court agreed and held that the Seller was not entitled to a PACA claim.   </w:t>
      </w:r>
      <w:r w:rsidRPr="00CF51E3">
        <w:rPr>
          <w:rFonts w:eastAsia="Calibri" w:cs="Times New Roman"/>
          <w:i/>
          <w:sz w:val="22"/>
        </w:rPr>
        <w:t>In re Wayne Bailey, Inc.</w:t>
      </w:r>
      <w:r w:rsidRPr="00CF51E3" w:rsidR="00530C00">
        <w:rPr>
          <w:rFonts w:eastAsia="Calibri" w:cs="Times New Roman"/>
          <w:i/>
          <w:sz w:val="22"/>
        </w:rPr>
        <w:t>,</w:t>
      </w:r>
      <w:r w:rsidRPr="00CF51E3">
        <w:rPr>
          <w:rFonts w:eastAsia="Calibri" w:cs="Times New Roman"/>
          <w:i/>
          <w:sz w:val="22"/>
        </w:rPr>
        <w:t xml:space="preserve"> 598 B.R. 389 (</w:t>
      </w:r>
      <w:r w:rsidRPr="00CF51E3" w:rsidR="00530C00">
        <w:rPr>
          <w:rFonts w:eastAsia="Calibri" w:cs="Times New Roman"/>
          <w:i/>
          <w:sz w:val="22"/>
        </w:rPr>
        <w:t xml:space="preserve">Bankr. E.D. N.C. </w:t>
      </w:r>
      <w:r w:rsidRPr="00CF51E3">
        <w:rPr>
          <w:rFonts w:eastAsia="Calibri" w:cs="Times New Roman"/>
          <w:i/>
          <w:sz w:val="22"/>
        </w:rPr>
        <w:t>2019).</w:t>
      </w:r>
    </w:p>
    <w:p w:rsidR="00F54211" w:rsidRPr="00CF51E3" w:rsidP="00F54211">
      <w:pPr>
        <w:rPr>
          <w:rFonts w:cs="Times New Roman"/>
          <w:b/>
          <w:sz w:val="22"/>
        </w:rPr>
      </w:pPr>
    </w:p>
    <w:p w:rsidR="005F2DA6" w:rsidRPr="00CF51E3" w:rsidP="0001405A">
      <w:pPr>
        <w:ind w:left="1440"/>
        <w:jc w:val="both"/>
        <w:rPr>
          <w:rFonts w:eastAsia="Calibri" w:cs="Times New Roman"/>
          <w:sz w:val="22"/>
        </w:rPr>
      </w:pPr>
      <w:r>
        <w:rPr>
          <w:rFonts w:eastAsia="Calibri" w:cs="Times New Roman"/>
          <w:b/>
          <w:sz w:val="22"/>
        </w:rPr>
        <w:t>d.</w:t>
      </w:r>
      <w:r>
        <w:rPr>
          <w:rFonts w:eastAsia="Calibri" w:cs="Times New Roman"/>
          <w:b/>
          <w:sz w:val="22"/>
        </w:rPr>
        <w:tab/>
      </w:r>
      <w:r w:rsidRPr="00CF51E3" w:rsidR="0001405A">
        <w:rPr>
          <w:rFonts w:eastAsia="Calibri" w:cs="Times New Roman"/>
          <w:b/>
          <w:sz w:val="22"/>
        </w:rPr>
        <w:t>Right of setoff under Bankruptcy Code does not extend to PACA claims.</w:t>
      </w:r>
      <w:r w:rsidRPr="00CF51E3" w:rsidR="00F54211">
        <w:rPr>
          <w:rFonts w:eastAsia="Calibri" w:cs="Times New Roman"/>
          <w:sz w:val="22"/>
        </w:rPr>
        <w:t xml:space="preserve">  </w:t>
      </w:r>
      <w:r w:rsidRPr="00CF51E3">
        <w:rPr>
          <w:rFonts w:eastAsia="Calibri" w:cs="Times New Roman"/>
          <w:sz w:val="22"/>
        </w:rPr>
        <w:t>Lenny Perry’s Produce Inc.</w:t>
      </w:r>
      <w:r w:rsidRPr="00CF51E3" w:rsidR="00F54211">
        <w:rPr>
          <w:rFonts w:eastAsia="Calibri" w:cs="Times New Roman"/>
          <w:sz w:val="22"/>
        </w:rPr>
        <w:t xml:space="preserve"> (the “Debtor”) routinely purchased and sold produce to </w:t>
      </w:r>
      <w:r w:rsidRPr="00CF51E3">
        <w:rPr>
          <w:rFonts w:eastAsia="Calibri" w:cs="Times New Roman"/>
          <w:sz w:val="22"/>
        </w:rPr>
        <w:t>Genecco Produce Inc.</w:t>
      </w:r>
      <w:r w:rsidRPr="00CF51E3" w:rsidR="00F54211">
        <w:rPr>
          <w:rFonts w:eastAsia="Calibri" w:cs="Times New Roman"/>
          <w:sz w:val="22"/>
        </w:rPr>
        <w:t xml:space="preserve"> (the “Buyer”).  Due to the relationship, the Debtor and Buyer routinely </w:t>
      </w:r>
      <w:r w:rsidRPr="00CF51E3" w:rsidR="00212669">
        <w:rPr>
          <w:rFonts w:eastAsia="Calibri" w:cs="Times New Roman"/>
          <w:sz w:val="22"/>
        </w:rPr>
        <w:t xml:space="preserve">setoff </w:t>
      </w:r>
      <w:r w:rsidRPr="00CF51E3" w:rsidR="00F54211">
        <w:rPr>
          <w:rFonts w:eastAsia="Calibri" w:cs="Times New Roman"/>
          <w:sz w:val="22"/>
        </w:rPr>
        <w:t xml:space="preserve">their respective debts as against each other.  The Debtor filed a Chapter 7 bankruptcy – and at the time of the bankruptcy filing – the Buyer owed the Debtor $204,774.88 and the Debtor owed the Buyer $263,061.92.  The </w:t>
      </w:r>
      <w:r w:rsidRPr="00CF51E3" w:rsidR="00212669">
        <w:rPr>
          <w:rFonts w:eastAsia="Calibri" w:cs="Times New Roman"/>
          <w:sz w:val="22"/>
        </w:rPr>
        <w:t xml:space="preserve">creditors of the </w:t>
      </w:r>
      <w:r w:rsidRPr="00CF51E3" w:rsidR="00F54211">
        <w:rPr>
          <w:rFonts w:eastAsia="Calibri" w:cs="Times New Roman"/>
          <w:sz w:val="22"/>
        </w:rPr>
        <w:t xml:space="preserve">Debtor commenced a legal action against the Buyer and asserted the Debtor was entitled to a </w:t>
      </w:r>
      <w:r w:rsidRPr="00CF51E3" w:rsidR="00212669">
        <w:rPr>
          <w:rFonts w:eastAsia="Calibri" w:cs="Times New Roman"/>
          <w:sz w:val="22"/>
        </w:rPr>
        <w:t xml:space="preserve">$204,774.88 </w:t>
      </w:r>
      <w:r w:rsidRPr="00CF51E3" w:rsidR="00F54211">
        <w:rPr>
          <w:rFonts w:eastAsia="Calibri" w:cs="Times New Roman"/>
          <w:sz w:val="22"/>
        </w:rPr>
        <w:t xml:space="preserve">trust claim under the Perishable Agricultural Commodities Act, 7 U.S.C. </w:t>
      </w:r>
      <w:r w:rsidRPr="00CF51E3" w:rsidR="00F54211">
        <w:rPr>
          <w:rFonts w:eastAsia="Calibri" w:cs="Times New Roman"/>
          <w:sz w:val="22"/>
        </w:rPr>
        <w:t>§499 et seq. (“PACA”)</w:t>
      </w:r>
      <w:r w:rsidRPr="00CF51E3" w:rsidR="00212669">
        <w:rPr>
          <w:rFonts w:eastAsia="Calibri" w:cs="Times New Roman"/>
          <w:sz w:val="22"/>
        </w:rPr>
        <w:t>.  The Buyer disagreed and held that the Buyer was entitled to setoff – resulting in a net $58,287.04 claim against the Debtor.</w:t>
      </w:r>
      <w:r w:rsidRPr="00CF51E3" w:rsidR="0001405A">
        <w:rPr>
          <w:rFonts w:eastAsia="Calibri" w:cs="Times New Roman"/>
          <w:sz w:val="22"/>
        </w:rPr>
        <w:t xml:space="preserve">  The Buyer relied on the general principal under 11 U.S.C. §553 of the Bankruptcy Code that allows for the setoff of mutual debts.  </w:t>
      </w:r>
      <w:r w:rsidRPr="00CF51E3" w:rsidR="00212669">
        <w:rPr>
          <w:rFonts w:eastAsia="Calibri" w:cs="Times New Roman"/>
          <w:sz w:val="22"/>
        </w:rPr>
        <w:t xml:space="preserve">The District Court held, and the Second Circuit affirmed, that the Buyer was not entitled to </w:t>
      </w:r>
      <w:r w:rsidRPr="00CF51E3" w:rsidR="0001405A">
        <w:rPr>
          <w:rFonts w:eastAsia="Calibri" w:cs="Times New Roman"/>
          <w:sz w:val="22"/>
        </w:rPr>
        <w:t>set</w:t>
      </w:r>
      <w:r w:rsidR="00696229">
        <w:rPr>
          <w:rFonts w:eastAsia="Calibri" w:cs="Times New Roman"/>
          <w:sz w:val="22"/>
        </w:rPr>
        <w:t>-</w:t>
      </w:r>
      <w:r w:rsidRPr="00CF51E3" w:rsidR="0001405A">
        <w:rPr>
          <w:rFonts w:eastAsia="Calibri" w:cs="Times New Roman"/>
          <w:sz w:val="22"/>
        </w:rPr>
        <w:t xml:space="preserve">off the debt </w:t>
      </w:r>
      <w:r w:rsidRPr="00CF51E3" w:rsidR="00212669">
        <w:rPr>
          <w:rFonts w:eastAsia="Calibri" w:cs="Times New Roman"/>
          <w:sz w:val="22"/>
        </w:rPr>
        <w:t>because the produce held by the Debtor was held in trust for the benefit of the creditors of the Debtor</w:t>
      </w:r>
      <w:r w:rsidRPr="00CF51E3" w:rsidR="0001405A">
        <w:rPr>
          <w:rFonts w:eastAsia="Calibri" w:cs="Times New Roman"/>
          <w:sz w:val="22"/>
        </w:rPr>
        <w:t xml:space="preserve"> and was not property of the bankruptcy estate.  </w:t>
      </w:r>
      <w:r w:rsidRPr="00CF51E3">
        <w:rPr>
          <w:rFonts w:eastAsia="Calibri" w:cs="Times New Roman"/>
          <w:i/>
          <w:sz w:val="22"/>
        </w:rPr>
        <w:t>PACA Trust Creditors of Lenny Perry’s Produce, Inc. v. Genecco Produce Inc., 913 F.3d 268 (</w:t>
      </w:r>
      <w:r w:rsidRPr="00CF51E3" w:rsidR="00530C00">
        <w:rPr>
          <w:rFonts w:eastAsia="Calibri" w:cs="Times New Roman"/>
          <w:i/>
          <w:sz w:val="22"/>
        </w:rPr>
        <w:t>2</w:t>
      </w:r>
      <w:r w:rsidRPr="00CF51E3" w:rsidR="00530C00">
        <w:rPr>
          <w:rFonts w:eastAsia="Calibri" w:cs="Times New Roman"/>
          <w:i/>
          <w:sz w:val="22"/>
          <w:vertAlign w:val="superscript"/>
        </w:rPr>
        <w:t>nd</w:t>
      </w:r>
      <w:r w:rsidRPr="00CF51E3" w:rsidR="00530C00">
        <w:rPr>
          <w:rFonts w:eastAsia="Calibri" w:cs="Times New Roman"/>
          <w:i/>
          <w:sz w:val="22"/>
        </w:rPr>
        <w:t xml:space="preserve"> Cir. </w:t>
      </w:r>
      <w:r w:rsidRPr="00CF51E3">
        <w:rPr>
          <w:rFonts w:eastAsia="Calibri" w:cs="Times New Roman"/>
          <w:i/>
          <w:sz w:val="22"/>
        </w:rPr>
        <w:t>2019)</w:t>
      </w:r>
      <w:r w:rsidRPr="00CF51E3" w:rsidR="0001405A">
        <w:rPr>
          <w:rFonts w:eastAsia="Calibri" w:cs="Times New Roman"/>
          <w:i/>
          <w:sz w:val="22"/>
        </w:rPr>
        <w:t>.</w:t>
      </w:r>
    </w:p>
    <w:p w:rsidR="005F2DA6" w:rsidRPr="00CF51E3" w:rsidP="005F2DA6">
      <w:pPr>
        <w:rPr>
          <w:rFonts w:eastAsia="Calibri" w:cs="Times New Roman"/>
          <w:sz w:val="22"/>
        </w:rPr>
      </w:pPr>
    </w:p>
    <w:p w:rsidR="002869F2" w:rsidRPr="00CF51E3" w:rsidP="002869F2">
      <w:pPr>
        <w:rPr>
          <w:rFonts w:cs="Times New Roman"/>
          <w:b/>
          <w:sz w:val="22"/>
        </w:rPr>
      </w:pPr>
      <w:r w:rsidRPr="00CF51E3">
        <w:rPr>
          <w:rFonts w:cs="Times New Roman"/>
          <w:b/>
          <w:sz w:val="22"/>
        </w:rPr>
        <w:t>II.</w:t>
      </w:r>
      <w:r w:rsidRPr="00CF51E3" w:rsidR="00017026">
        <w:rPr>
          <w:rFonts w:cs="Times New Roman"/>
          <w:b/>
          <w:sz w:val="22"/>
        </w:rPr>
        <w:t xml:space="preserve">  </w:t>
      </w:r>
      <w:r w:rsidRPr="00CF51E3" w:rsidR="00B91A69">
        <w:rPr>
          <w:rFonts w:cs="Times New Roman"/>
          <w:b/>
          <w:sz w:val="22"/>
        </w:rPr>
        <w:tab/>
      </w:r>
      <w:r w:rsidRPr="00CF51E3" w:rsidR="00994965">
        <w:rPr>
          <w:rFonts w:cs="Times New Roman"/>
          <w:b/>
          <w:sz w:val="22"/>
        </w:rPr>
        <w:t xml:space="preserve">UCC </w:t>
      </w:r>
      <w:r w:rsidRPr="00CF51E3">
        <w:rPr>
          <w:rFonts w:cs="Times New Roman"/>
          <w:b/>
          <w:sz w:val="22"/>
        </w:rPr>
        <w:t>ARTICLE 2</w:t>
      </w:r>
      <w:r w:rsidRPr="00CF51E3" w:rsidR="000D0555">
        <w:rPr>
          <w:rFonts w:cs="Times New Roman"/>
          <w:b/>
          <w:sz w:val="22"/>
        </w:rPr>
        <w:t xml:space="preserve"> [SALE OF GOODS]</w:t>
      </w:r>
      <w:r w:rsidRPr="00CF51E3">
        <w:rPr>
          <w:rFonts w:cs="Times New Roman"/>
          <w:b/>
          <w:sz w:val="22"/>
        </w:rPr>
        <w:t>.</w:t>
      </w:r>
    </w:p>
    <w:p w:rsidR="00441684" w:rsidRPr="00CF51E3" w:rsidP="002869F2">
      <w:pPr>
        <w:rPr>
          <w:rFonts w:cs="Times New Roman"/>
          <w:b/>
          <w:sz w:val="22"/>
        </w:rPr>
      </w:pPr>
    </w:p>
    <w:p w:rsidR="00441684" w:rsidRPr="00CF51E3" w:rsidP="00441684">
      <w:pPr>
        <w:rPr>
          <w:rFonts w:cs="Times New Roman"/>
          <w:b/>
          <w:sz w:val="22"/>
        </w:rPr>
      </w:pPr>
      <w:r w:rsidRPr="00CF51E3">
        <w:rPr>
          <w:rFonts w:cs="Times New Roman"/>
          <w:b/>
          <w:sz w:val="22"/>
        </w:rPr>
        <w:t xml:space="preserve">     </w:t>
      </w:r>
      <w:r w:rsidRPr="00CF51E3">
        <w:rPr>
          <w:rFonts w:cs="Times New Roman"/>
          <w:b/>
          <w:sz w:val="22"/>
        </w:rPr>
        <w:tab/>
        <w:t>A.</w:t>
      </w:r>
      <w:r w:rsidRPr="00CF51E3">
        <w:rPr>
          <w:rFonts w:cs="Times New Roman"/>
          <w:b/>
          <w:sz w:val="22"/>
        </w:rPr>
        <w:tab/>
      </w:r>
      <w:r w:rsidRPr="00CF51E3" w:rsidR="00D050C8">
        <w:rPr>
          <w:rFonts w:cs="Times New Roman"/>
          <w:b/>
          <w:sz w:val="22"/>
        </w:rPr>
        <w:t>Title, Creditors and Good Faith Purchasers</w:t>
      </w:r>
      <w:r w:rsidRPr="00CF51E3" w:rsidR="00B91A69">
        <w:rPr>
          <w:rFonts w:cs="Times New Roman"/>
          <w:b/>
          <w:sz w:val="22"/>
        </w:rPr>
        <w:t>. (UCC § 2-</w:t>
      </w:r>
      <w:r w:rsidRPr="00CF51E3" w:rsidR="00D050C8">
        <w:rPr>
          <w:rFonts w:cs="Times New Roman"/>
          <w:b/>
          <w:sz w:val="22"/>
        </w:rPr>
        <w:t>4</w:t>
      </w:r>
      <w:r w:rsidRPr="00CF51E3" w:rsidR="00B91A69">
        <w:rPr>
          <w:rFonts w:cs="Times New Roman"/>
          <w:b/>
          <w:sz w:val="22"/>
        </w:rPr>
        <w:t xml:space="preserve">01 </w:t>
      </w:r>
      <w:r w:rsidRPr="00CF51E3" w:rsidR="00B91A69">
        <w:rPr>
          <w:rFonts w:cs="Times New Roman"/>
          <w:b/>
          <w:i/>
          <w:sz w:val="22"/>
        </w:rPr>
        <w:t>et seq.</w:t>
      </w:r>
      <w:r w:rsidRPr="00CF51E3" w:rsidR="00B91A69">
        <w:rPr>
          <w:rFonts w:cs="Times New Roman"/>
          <w:b/>
          <w:sz w:val="22"/>
        </w:rPr>
        <w:t>)</w:t>
      </w:r>
    </w:p>
    <w:p w:rsidR="00081C37" w:rsidRPr="00CF51E3" w:rsidP="00441684">
      <w:pPr>
        <w:rPr>
          <w:rFonts w:cs="Times New Roman"/>
          <w:b/>
          <w:sz w:val="22"/>
        </w:rPr>
      </w:pPr>
    </w:p>
    <w:p w:rsidR="00441684" w:rsidRPr="00CF51E3" w:rsidP="00D050C8">
      <w:pPr>
        <w:ind w:left="1440"/>
        <w:jc w:val="both"/>
        <w:rPr>
          <w:rFonts w:cs="Times New Roman"/>
          <w:sz w:val="22"/>
        </w:rPr>
      </w:pPr>
      <w:r>
        <w:rPr>
          <w:rFonts w:eastAsia="Calibri" w:cs="Times New Roman"/>
          <w:b/>
          <w:sz w:val="22"/>
        </w:rPr>
        <w:t>S</w:t>
      </w:r>
      <w:r w:rsidRPr="00CF51E3" w:rsidR="00D050C8">
        <w:rPr>
          <w:rFonts w:eastAsia="Calibri" w:cs="Times New Roman"/>
          <w:b/>
          <w:sz w:val="22"/>
        </w:rPr>
        <w:t xml:space="preserve">ale of goods </w:t>
      </w:r>
      <w:r>
        <w:rPr>
          <w:rFonts w:eastAsia="Calibri" w:cs="Times New Roman"/>
          <w:b/>
          <w:sz w:val="22"/>
        </w:rPr>
        <w:t xml:space="preserve">is required </w:t>
      </w:r>
      <w:r w:rsidRPr="00CF51E3" w:rsidR="00D050C8">
        <w:rPr>
          <w:rFonts w:eastAsia="Calibri" w:cs="Times New Roman"/>
          <w:b/>
          <w:sz w:val="22"/>
        </w:rPr>
        <w:t xml:space="preserve">under Article 2 for </w:t>
      </w:r>
      <w:r>
        <w:rPr>
          <w:rFonts w:eastAsia="Calibri" w:cs="Times New Roman"/>
          <w:b/>
          <w:sz w:val="22"/>
        </w:rPr>
        <w:t>a</w:t>
      </w:r>
      <w:r w:rsidRPr="00CF51E3" w:rsidR="00D050C8">
        <w:rPr>
          <w:rFonts w:eastAsia="Calibri" w:cs="Times New Roman"/>
          <w:b/>
          <w:sz w:val="22"/>
        </w:rPr>
        <w:t xml:space="preserve"> “creditor” to be considered an unpaid seller of produce.  </w:t>
      </w:r>
      <w:r w:rsidRPr="00CF51E3" w:rsidR="00D050C8">
        <w:rPr>
          <w:rFonts w:eastAsia="Calibri" w:cs="Times New Roman"/>
          <w:sz w:val="22"/>
        </w:rPr>
        <w:t>Spiech Farms, LLC (the “Debtor”) raised and sold produce.  The Debtor was indebted to Chemical Bank (the “Lender”) and the debt was secured by the produce and accounts of the Debtor.  The Debtor and Produce Pay</w:t>
      </w:r>
      <w:r w:rsidR="00696229">
        <w:rPr>
          <w:rFonts w:eastAsia="Calibri" w:cs="Times New Roman"/>
          <w:sz w:val="22"/>
        </w:rPr>
        <w:t>, Inc. (“Produce Pay”)</w:t>
      </w:r>
      <w:r w:rsidRPr="00CF51E3" w:rsidR="00D050C8">
        <w:rPr>
          <w:rFonts w:eastAsia="Calibri" w:cs="Times New Roman"/>
          <w:sz w:val="22"/>
        </w:rPr>
        <w:t xml:space="preserve"> were parties to an involved distribution agreement that provided for a combination of the sale of produce to Produce Pay, the factoring of accounts receivable to Produce Pay and the consignment of produce to Produce Pay – which enabled the Debtor to obtain financing from Produce Pay.  The Debtor became insolvent and filed a Chapter </w:t>
      </w:r>
      <w:r w:rsidR="00696229">
        <w:rPr>
          <w:rFonts w:eastAsia="Calibri" w:cs="Times New Roman"/>
          <w:sz w:val="22"/>
        </w:rPr>
        <w:t xml:space="preserve">11 bankruptcy.  Produce Pay </w:t>
      </w:r>
      <w:r w:rsidRPr="00CF51E3" w:rsidR="00D050C8">
        <w:rPr>
          <w:rFonts w:eastAsia="Calibri" w:cs="Times New Roman"/>
          <w:sz w:val="22"/>
        </w:rPr>
        <w:t xml:space="preserve">asserted a claim of more than $1 million against the Debtor under the Perishable Agricultural Commodities Act, 7 U.S.C. §499 </w:t>
      </w:r>
      <w:r w:rsidRPr="00CF51E3" w:rsidR="00D050C8">
        <w:rPr>
          <w:rFonts w:eastAsia="Calibri" w:cs="Times New Roman"/>
          <w:i/>
          <w:sz w:val="22"/>
        </w:rPr>
        <w:t>et seq.</w:t>
      </w:r>
      <w:r w:rsidRPr="00CF51E3" w:rsidR="00D050C8">
        <w:rPr>
          <w:rFonts w:eastAsia="Calibri" w:cs="Times New Roman"/>
          <w:sz w:val="22"/>
        </w:rPr>
        <w:t xml:space="preserve"> (“PACA”).  Produce Pay argued that it was an unpaid seller of produce because the Debtor sold the produce to Produce Pay, and then, the Debtor sold the produce to its customers </w:t>
      </w:r>
      <w:r w:rsidRPr="00CF51E3" w:rsidR="00D050C8">
        <w:rPr>
          <w:rFonts w:eastAsia="Calibri" w:cs="Times New Roman"/>
          <w:sz w:val="22"/>
          <w:u w:val="single"/>
        </w:rPr>
        <w:t>on behalf of Produce Pay</w:t>
      </w:r>
      <w:r w:rsidRPr="00CF51E3" w:rsidR="00D050C8">
        <w:rPr>
          <w:rFonts w:eastAsia="Calibri" w:cs="Times New Roman"/>
          <w:sz w:val="22"/>
        </w:rPr>
        <w:t xml:space="preserve">.  The failure of the eventual buyers of the produce to pay Produce Pay (via the Debtor) entitled Produce Pay to the PACA claim.  The Debtor and creditor disagree and argued that there was no transfer of title of the produce to Produce Pay under UCC §2-403.  The Court agreed and held that title did not pass to Produce Pay </w:t>
      </w:r>
      <w:r w:rsidRPr="00CF51E3" w:rsidR="00D050C8">
        <w:rPr>
          <w:rFonts w:eastAsia="Calibri" w:cs="Times New Roman"/>
          <w:sz w:val="22"/>
          <w:u w:val="single"/>
        </w:rPr>
        <w:t>prior to</w:t>
      </w:r>
      <w:r w:rsidRPr="00CF51E3" w:rsidR="00D050C8">
        <w:rPr>
          <w:rFonts w:eastAsia="Calibri" w:cs="Times New Roman"/>
          <w:sz w:val="22"/>
        </w:rPr>
        <w:t xml:space="preserve"> title passing to the eventual buyers of the produce and, therefore, the Debtor did not own the produce at the time title was purportedly passed to Produce Pay.  The Court concluded the arrangement constituted a financing arrangement and not a sale of goods.  </w:t>
      </w:r>
      <w:r w:rsidRPr="00CF51E3" w:rsidR="00D050C8">
        <w:rPr>
          <w:rFonts w:eastAsia="Calibri" w:cs="Times New Roman"/>
          <w:i/>
          <w:sz w:val="22"/>
        </w:rPr>
        <w:t>In re Spiech Farms, LLC, 592 B.R. 152 (Bankr. W.D. Mich. 2018).</w:t>
      </w:r>
    </w:p>
    <w:p w:rsidR="00DD2910" w:rsidRPr="00CF51E3" w:rsidP="00B91A69">
      <w:pPr>
        <w:rPr>
          <w:rFonts w:cs="Times New Roman"/>
          <w:b/>
          <w:sz w:val="22"/>
        </w:rPr>
      </w:pPr>
    </w:p>
    <w:p w:rsidR="00081C37" w:rsidRPr="00CF51E3" w:rsidP="00081C37">
      <w:pPr>
        <w:rPr>
          <w:rFonts w:cs="Times New Roman"/>
          <w:b/>
          <w:sz w:val="22"/>
        </w:rPr>
      </w:pPr>
      <w:r w:rsidRPr="00CF51E3">
        <w:rPr>
          <w:rFonts w:cs="Times New Roman"/>
          <w:b/>
          <w:sz w:val="22"/>
        </w:rPr>
        <w:tab/>
      </w:r>
      <w:r w:rsidRPr="00CF51E3" w:rsidR="00441684">
        <w:rPr>
          <w:rFonts w:cs="Times New Roman"/>
          <w:b/>
          <w:sz w:val="22"/>
        </w:rPr>
        <w:t>B</w:t>
      </w:r>
      <w:r w:rsidRPr="00CF51E3" w:rsidR="00347564">
        <w:rPr>
          <w:rFonts w:cs="Times New Roman"/>
          <w:b/>
          <w:sz w:val="22"/>
        </w:rPr>
        <w:t>.</w:t>
      </w:r>
      <w:r w:rsidRPr="00CF51E3" w:rsidR="00347564">
        <w:rPr>
          <w:rFonts w:cs="Times New Roman"/>
          <w:b/>
          <w:sz w:val="22"/>
        </w:rPr>
        <w:tab/>
      </w:r>
      <w:r w:rsidRPr="00CF51E3">
        <w:rPr>
          <w:rFonts w:cs="Times New Roman"/>
          <w:b/>
          <w:sz w:val="22"/>
        </w:rPr>
        <w:t>Remedies. (UCC § 2-</w:t>
      </w:r>
      <w:r w:rsidRPr="00CF51E3" w:rsidR="00D050C8">
        <w:rPr>
          <w:rFonts w:cs="Times New Roman"/>
          <w:b/>
          <w:sz w:val="22"/>
        </w:rPr>
        <w:t>7</w:t>
      </w:r>
      <w:r w:rsidRPr="00CF51E3">
        <w:rPr>
          <w:rFonts w:cs="Times New Roman"/>
          <w:b/>
          <w:sz w:val="22"/>
        </w:rPr>
        <w:t xml:space="preserve">01 </w:t>
      </w:r>
      <w:r w:rsidRPr="00CF51E3">
        <w:rPr>
          <w:rFonts w:cs="Times New Roman"/>
          <w:b/>
          <w:i/>
          <w:sz w:val="22"/>
        </w:rPr>
        <w:t>et seq.</w:t>
      </w:r>
      <w:r w:rsidRPr="00CF51E3">
        <w:rPr>
          <w:rFonts w:cs="Times New Roman"/>
          <w:b/>
          <w:sz w:val="22"/>
        </w:rPr>
        <w:t>).</w:t>
      </w:r>
    </w:p>
    <w:p w:rsidR="00D050C8" w:rsidRPr="00CF51E3" w:rsidP="00D050C8">
      <w:pPr>
        <w:pStyle w:val="ListParagraph"/>
        <w:spacing w:line="240" w:lineRule="auto"/>
        <w:ind w:left="1440"/>
        <w:jc w:val="both"/>
        <w:rPr>
          <w:rFonts w:ascii="Times New Roman" w:hAnsi="Times New Roman" w:cs="Times New Roman"/>
        </w:rPr>
      </w:pPr>
    </w:p>
    <w:p w:rsidR="00D050C8" w:rsidRPr="00CF51E3" w:rsidP="00D050C8">
      <w:pPr>
        <w:pStyle w:val="ListParagraph"/>
        <w:spacing w:line="240" w:lineRule="auto"/>
        <w:ind w:left="1440"/>
        <w:jc w:val="both"/>
        <w:rPr>
          <w:rFonts w:ascii="Times New Roman" w:hAnsi="Times New Roman" w:cs="Times New Roman"/>
        </w:rPr>
      </w:pPr>
      <w:r w:rsidRPr="00CF51E3">
        <w:rPr>
          <w:rFonts w:ascii="Times New Roman" w:hAnsi="Times New Roman" w:cs="Times New Roman"/>
        </w:rPr>
        <w:t>No updates.</w:t>
      </w:r>
    </w:p>
    <w:p w:rsidR="003C181B" w:rsidRPr="00CF51E3" w:rsidP="00D050C8">
      <w:pPr>
        <w:jc w:val="both"/>
        <w:rPr>
          <w:sz w:val="22"/>
        </w:rPr>
      </w:pPr>
    </w:p>
    <w:p w:rsidR="00B91A69" w:rsidRPr="00CF51E3" w:rsidP="008C5E6C">
      <w:pPr>
        <w:rPr>
          <w:rFonts w:cs="Times New Roman"/>
          <w:b/>
          <w:sz w:val="22"/>
        </w:rPr>
      </w:pPr>
      <w:r w:rsidRPr="00CF51E3">
        <w:rPr>
          <w:rFonts w:cs="Times New Roman"/>
          <w:b/>
          <w:sz w:val="22"/>
        </w:rPr>
        <w:t xml:space="preserve">III.  </w:t>
      </w:r>
      <w:r w:rsidRPr="00CF51E3" w:rsidR="00043656">
        <w:rPr>
          <w:rFonts w:cs="Times New Roman"/>
          <w:b/>
          <w:sz w:val="22"/>
        </w:rPr>
        <w:tab/>
      </w:r>
      <w:r w:rsidRPr="00CF51E3" w:rsidR="008C5E6C">
        <w:rPr>
          <w:rFonts w:cs="Times New Roman"/>
          <w:b/>
          <w:sz w:val="22"/>
        </w:rPr>
        <w:t xml:space="preserve">UCC ARTICLE 1 [GENERAL PROVISIONS], ARTICLE 2 [LEASES], </w:t>
      </w:r>
    </w:p>
    <w:p w:rsidR="00B91A69" w:rsidRPr="00CF51E3" w:rsidP="008C5E6C">
      <w:pPr>
        <w:rPr>
          <w:rFonts w:cs="Times New Roman"/>
          <w:b/>
          <w:sz w:val="22"/>
        </w:rPr>
      </w:pPr>
      <w:r w:rsidRPr="00CF51E3">
        <w:rPr>
          <w:rFonts w:cs="Times New Roman"/>
          <w:b/>
          <w:sz w:val="22"/>
        </w:rPr>
        <w:tab/>
      </w:r>
      <w:r w:rsidRPr="00CF51E3" w:rsidR="00AD0A59">
        <w:rPr>
          <w:rFonts w:cs="Times New Roman"/>
          <w:b/>
          <w:sz w:val="22"/>
        </w:rPr>
        <w:t xml:space="preserve">ARTICLE </w:t>
      </w:r>
      <w:r w:rsidRPr="00CF51E3" w:rsidR="008C5E6C">
        <w:rPr>
          <w:rFonts w:cs="Times New Roman"/>
          <w:b/>
          <w:sz w:val="22"/>
        </w:rPr>
        <w:t xml:space="preserve">3 [NEGOTIABLE INSTRUMENTS] AND </w:t>
      </w:r>
    </w:p>
    <w:p w:rsidR="00D331A3" w:rsidRPr="00CF51E3" w:rsidP="00D331A3">
      <w:pPr>
        <w:rPr>
          <w:rFonts w:cs="Times New Roman"/>
          <w:b/>
          <w:sz w:val="22"/>
        </w:rPr>
      </w:pPr>
      <w:r w:rsidRPr="00CF51E3">
        <w:rPr>
          <w:rFonts w:cs="Times New Roman"/>
          <w:b/>
          <w:sz w:val="22"/>
        </w:rPr>
        <w:tab/>
      </w:r>
      <w:r w:rsidRPr="00CF51E3" w:rsidR="00AD0A59">
        <w:rPr>
          <w:rFonts w:cs="Times New Roman"/>
          <w:b/>
          <w:sz w:val="22"/>
        </w:rPr>
        <w:t xml:space="preserve">ARTICLE </w:t>
      </w:r>
      <w:r w:rsidRPr="00CF51E3" w:rsidR="008C5E6C">
        <w:rPr>
          <w:rFonts w:cs="Times New Roman"/>
          <w:b/>
          <w:sz w:val="22"/>
        </w:rPr>
        <w:t>7 [DOCUMENTS OF TITLE].</w:t>
      </w:r>
    </w:p>
    <w:p w:rsidR="00D331A3" w:rsidRPr="00CF51E3" w:rsidP="00D331A3">
      <w:pPr>
        <w:rPr>
          <w:rFonts w:cs="Times New Roman"/>
          <w:b/>
          <w:sz w:val="22"/>
        </w:rPr>
      </w:pPr>
    </w:p>
    <w:p w:rsidR="00D050C8" w:rsidRPr="00CF51E3" w:rsidP="00D050C8">
      <w:pPr>
        <w:pStyle w:val="ListParagraph"/>
        <w:spacing w:line="240" w:lineRule="auto"/>
        <w:ind w:left="1440"/>
        <w:jc w:val="both"/>
        <w:rPr>
          <w:rFonts w:ascii="Times New Roman" w:hAnsi="Times New Roman" w:cs="Times New Roman"/>
        </w:rPr>
      </w:pPr>
      <w:r w:rsidRPr="00CF51E3">
        <w:rPr>
          <w:rFonts w:ascii="Times New Roman" w:hAnsi="Times New Roman" w:cs="Times New Roman"/>
        </w:rPr>
        <w:t>No updates.</w:t>
      </w:r>
    </w:p>
    <w:p w:rsidR="001C25F0" w:rsidRPr="00CF51E3" w:rsidP="00ED544E">
      <w:pPr>
        <w:jc w:val="both"/>
        <w:rPr>
          <w:rFonts w:cs="Times New Roman"/>
          <w:b/>
          <w:sz w:val="22"/>
        </w:rPr>
      </w:pPr>
      <w:r w:rsidRPr="00CF51E3">
        <w:rPr>
          <w:rFonts w:cs="Times New Roman"/>
          <w:b/>
          <w:sz w:val="22"/>
        </w:rPr>
        <w:t>IV.</w:t>
      </w:r>
      <w:r w:rsidRPr="00CF51E3" w:rsidR="00017026">
        <w:rPr>
          <w:rFonts w:cs="Times New Roman"/>
          <w:b/>
          <w:sz w:val="22"/>
        </w:rPr>
        <w:t xml:space="preserve">  </w:t>
      </w:r>
      <w:r w:rsidRPr="00CF51E3" w:rsidR="001553DD">
        <w:rPr>
          <w:rFonts w:cs="Times New Roman"/>
          <w:b/>
          <w:sz w:val="22"/>
        </w:rPr>
        <w:tab/>
      </w:r>
      <w:r w:rsidRPr="00CF51E3">
        <w:rPr>
          <w:rFonts w:cs="Times New Roman"/>
          <w:b/>
          <w:sz w:val="22"/>
        </w:rPr>
        <w:t>OTHER STATE LAW.</w:t>
      </w:r>
    </w:p>
    <w:p w:rsidR="005F2DA6" w:rsidRPr="00CF51E3" w:rsidP="00ED544E">
      <w:pPr>
        <w:jc w:val="both"/>
        <w:rPr>
          <w:rFonts w:cs="Times New Roman"/>
          <w:b/>
          <w:sz w:val="22"/>
        </w:rPr>
      </w:pPr>
    </w:p>
    <w:p w:rsidR="00CD55F9" w:rsidRPr="00CF51E3" w:rsidP="00CF51E3">
      <w:pPr>
        <w:ind w:left="720"/>
        <w:jc w:val="both"/>
        <w:rPr>
          <w:rFonts w:eastAsia="Calibri" w:cs="Times New Roman"/>
          <w:b/>
          <w:i/>
          <w:sz w:val="22"/>
        </w:rPr>
      </w:pPr>
      <w:r>
        <w:rPr>
          <w:rFonts w:cs="Times New Roman"/>
          <w:b/>
          <w:sz w:val="22"/>
        </w:rPr>
        <w:t>A.</w:t>
      </w:r>
      <w:r>
        <w:rPr>
          <w:rFonts w:cs="Times New Roman"/>
          <w:b/>
          <w:sz w:val="22"/>
        </w:rPr>
        <w:tab/>
      </w:r>
      <w:r w:rsidRPr="00CF51E3" w:rsidR="003E4176">
        <w:rPr>
          <w:rFonts w:cs="Times New Roman"/>
          <w:b/>
          <w:sz w:val="22"/>
        </w:rPr>
        <w:t>Cause e</w:t>
      </w:r>
      <w:r w:rsidRPr="00CF51E3" w:rsidR="007D325B">
        <w:rPr>
          <w:rFonts w:cs="Times New Roman"/>
          <w:b/>
          <w:sz w:val="22"/>
        </w:rPr>
        <w:t xml:space="preserve">xisted </w:t>
      </w:r>
      <w:r w:rsidRPr="00CF51E3" w:rsidR="00E807D6">
        <w:rPr>
          <w:rFonts w:cs="Times New Roman"/>
          <w:b/>
          <w:sz w:val="22"/>
        </w:rPr>
        <w:t xml:space="preserve">under Iowa law </w:t>
      </w:r>
      <w:r w:rsidRPr="00CF51E3" w:rsidR="003E4176">
        <w:rPr>
          <w:rFonts w:cs="Times New Roman"/>
          <w:b/>
          <w:sz w:val="22"/>
        </w:rPr>
        <w:t>to appoint receiver of crop f</w:t>
      </w:r>
      <w:r w:rsidRPr="00CF51E3" w:rsidR="007D325B">
        <w:rPr>
          <w:rFonts w:cs="Times New Roman"/>
          <w:b/>
          <w:sz w:val="22"/>
        </w:rPr>
        <w:t>arm.</w:t>
      </w:r>
      <w:r w:rsidRPr="00CF51E3" w:rsidR="007D325B">
        <w:rPr>
          <w:rFonts w:cs="Times New Roman"/>
          <w:b/>
          <w:i/>
          <w:sz w:val="22"/>
        </w:rPr>
        <w:t xml:space="preserve"> </w:t>
      </w:r>
      <w:r w:rsidRPr="00CF51E3" w:rsidR="007D325B">
        <w:rPr>
          <w:rFonts w:cs="Times New Roman"/>
          <w:sz w:val="22"/>
        </w:rPr>
        <w:t xml:space="preserve"> </w:t>
      </w:r>
      <w:r w:rsidRPr="00CF51E3">
        <w:rPr>
          <w:rFonts w:cs="Times New Roman"/>
          <w:sz w:val="22"/>
        </w:rPr>
        <w:t>Dale and Danna Braaksma, their son Jesse</w:t>
      </w:r>
      <w:r w:rsidRPr="00CF51E3" w:rsidR="007D325B">
        <w:rPr>
          <w:rFonts w:cs="Times New Roman"/>
          <w:sz w:val="22"/>
        </w:rPr>
        <w:t xml:space="preserve"> Braaksma</w:t>
      </w:r>
      <w:r w:rsidRPr="00CF51E3">
        <w:rPr>
          <w:rFonts w:cs="Times New Roman"/>
          <w:sz w:val="22"/>
        </w:rPr>
        <w:t xml:space="preserve">, and Braaksma Grain Farms, Inc. </w:t>
      </w:r>
      <w:r w:rsidRPr="00CF51E3" w:rsidR="007D325B">
        <w:rPr>
          <w:rFonts w:cs="Times New Roman"/>
          <w:sz w:val="22"/>
        </w:rPr>
        <w:t xml:space="preserve">(the “Debtors”) farmed 800 acres.  </w:t>
      </w:r>
      <w:r w:rsidRPr="00CF51E3" w:rsidR="007D325B">
        <w:rPr>
          <w:rFonts w:eastAsia="Calibri" w:cs="Times New Roman"/>
          <w:sz w:val="22"/>
        </w:rPr>
        <w:t>The Debtors were indebted to Sibley State Bank (the “Lender”)</w:t>
      </w:r>
      <w:r w:rsidRPr="00CF51E3" w:rsidR="007D325B">
        <w:rPr>
          <w:sz w:val="22"/>
        </w:rPr>
        <w:t xml:space="preserve"> </w:t>
      </w:r>
      <w:r w:rsidRPr="00CF51E3" w:rsidR="007D325B">
        <w:rPr>
          <w:rFonts w:eastAsia="Calibri" w:cs="Times New Roman"/>
          <w:sz w:val="22"/>
        </w:rPr>
        <w:t xml:space="preserve">and the debt was </w:t>
      </w:r>
      <w:r w:rsidRPr="00CF51E3" w:rsidR="007D325B">
        <w:rPr>
          <w:rFonts w:eastAsia="Calibri" w:cs="Times New Roman"/>
          <w:sz w:val="22"/>
        </w:rPr>
        <w:t xml:space="preserve">secured by a mortgage </w:t>
      </w:r>
      <w:r w:rsidR="004C534A">
        <w:rPr>
          <w:rFonts w:eastAsia="Calibri" w:cs="Times New Roman"/>
          <w:sz w:val="22"/>
        </w:rPr>
        <w:t>on</w:t>
      </w:r>
      <w:r w:rsidRPr="00CF51E3" w:rsidR="007D325B">
        <w:rPr>
          <w:rFonts w:eastAsia="Calibri" w:cs="Times New Roman"/>
          <w:sz w:val="22"/>
        </w:rPr>
        <w:t xml:space="preserve"> certain cropland.  The Debtors failed to make payment to the Lender.  The Lender commenced a foreclosure action and requested the appointment of a receiver </w:t>
      </w:r>
      <w:r w:rsidRPr="00CF51E3" w:rsidR="007833F0">
        <w:rPr>
          <w:rFonts w:eastAsia="Calibri" w:cs="Times New Roman"/>
          <w:sz w:val="22"/>
        </w:rPr>
        <w:t xml:space="preserve">under Iowa Code </w:t>
      </w:r>
      <w:r w:rsidR="00197762">
        <w:rPr>
          <w:rFonts w:eastAsia="Calibri" w:cs="Times New Roman"/>
          <w:sz w:val="22"/>
        </w:rPr>
        <w:t>§</w:t>
      </w:r>
      <w:r w:rsidRPr="00CF51E3" w:rsidR="00162655">
        <w:rPr>
          <w:rFonts w:eastAsia="Calibri" w:cs="Times New Roman"/>
          <w:sz w:val="22"/>
        </w:rPr>
        <w:t>680.1</w:t>
      </w:r>
      <w:r w:rsidRPr="00CF51E3" w:rsidR="007833F0">
        <w:rPr>
          <w:rFonts w:eastAsia="Calibri" w:cs="Times New Roman"/>
          <w:sz w:val="22"/>
        </w:rPr>
        <w:t xml:space="preserve"> </w:t>
      </w:r>
      <w:r w:rsidRPr="00CF51E3" w:rsidR="007D325B">
        <w:rPr>
          <w:rFonts w:eastAsia="Calibri" w:cs="Times New Roman"/>
          <w:sz w:val="22"/>
        </w:rPr>
        <w:t>because</w:t>
      </w:r>
      <w:r w:rsidRPr="00CF51E3" w:rsidR="00162655">
        <w:rPr>
          <w:rFonts w:eastAsia="Calibri" w:cs="Times New Roman"/>
          <w:sz w:val="22"/>
        </w:rPr>
        <w:t xml:space="preserve"> of the risk that the rents and profits of the cropland were in danger of being lost or materially injured or impaired.  The Lender asserted that the Debtors used poor farming practices which deteriorated the condition of the farmland and resulted in yields well below local production averages.  The Debtors elected not to harvest the </w:t>
      </w:r>
      <w:r w:rsidRPr="00CF51E3" w:rsidR="003E4176">
        <w:rPr>
          <w:rFonts w:eastAsia="Calibri" w:cs="Times New Roman"/>
          <w:sz w:val="22"/>
        </w:rPr>
        <w:t xml:space="preserve">earlier </w:t>
      </w:r>
      <w:r w:rsidRPr="00CF51E3" w:rsidR="00162655">
        <w:rPr>
          <w:rFonts w:eastAsia="Calibri" w:cs="Times New Roman"/>
          <w:sz w:val="22"/>
        </w:rPr>
        <w:t xml:space="preserve">2016 crop in the fall of 2016 – resulting in the Lender advancing funds for </w:t>
      </w:r>
      <w:r w:rsidRPr="00CF51E3" w:rsidR="003E4176">
        <w:rPr>
          <w:rFonts w:eastAsia="Calibri" w:cs="Times New Roman"/>
          <w:sz w:val="22"/>
        </w:rPr>
        <w:t xml:space="preserve">a third party to harvest the crop.  </w:t>
      </w:r>
      <w:r w:rsidRPr="00CF51E3" w:rsidR="007833F0">
        <w:rPr>
          <w:rFonts w:eastAsia="Calibri" w:cs="Times New Roman"/>
          <w:sz w:val="22"/>
        </w:rPr>
        <w:t xml:space="preserve">The Debtors disputed the </w:t>
      </w:r>
      <w:r w:rsidRPr="00CF51E3" w:rsidR="003E4176">
        <w:rPr>
          <w:rFonts w:eastAsia="Calibri" w:cs="Times New Roman"/>
          <w:sz w:val="22"/>
        </w:rPr>
        <w:t xml:space="preserve">appointment of </w:t>
      </w:r>
      <w:r w:rsidRPr="00CF51E3" w:rsidR="007833F0">
        <w:rPr>
          <w:rFonts w:eastAsia="Calibri" w:cs="Times New Roman"/>
          <w:sz w:val="22"/>
        </w:rPr>
        <w:t>a receiver.</w:t>
      </w:r>
      <w:r w:rsidRPr="00CF51E3" w:rsidR="003E4176">
        <w:rPr>
          <w:rFonts w:eastAsia="Calibri" w:cs="Times New Roman"/>
          <w:sz w:val="22"/>
        </w:rPr>
        <w:t xml:space="preserve">  </w:t>
      </w:r>
      <w:r w:rsidRPr="00CF51E3" w:rsidR="007833F0">
        <w:rPr>
          <w:rFonts w:eastAsia="Calibri" w:cs="Times New Roman"/>
          <w:sz w:val="22"/>
        </w:rPr>
        <w:t>The Court disagreed and held</w:t>
      </w:r>
      <w:r w:rsidRPr="00CF51E3">
        <w:rPr>
          <w:rFonts w:cs="Times New Roman"/>
          <w:sz w:val="22"/>
        </w:rPr>
        <w:t xml:space="preserve"> that the appointment of the receiver </w:t>
      </w:r>
      <w:r w:rsidR="00696229">
        <w:rPr>
          <w:rFonts w:cs="Times New Roman"/>
          <w:sz w:val="22"/>
        </w:rPr>
        <w:t xml:space="preserve">is </w:t>
      </w:r>
      <w:r w:rsidRPr="00CF51E3">
        <w:rPr>
          <w:rFonts w:cs="Times New Roman"/>
          <w:sz w:val="22"/>
        </w:rPr>
        <w:t>a benefit to both parties</w:t>
      </w:r>
      <w:r w:rsidRPr="00CF51E3" w:rsidR="007833F0">
        <w:rPr>
          <w:rFonts w:cs="Times New Roman"/>
          <w:sz w:val="22"/>
        </w:rPr>
        <w:t xml:space="preserve"> by </w:t>
      </w:r>
      <w:r w:rsidRPr="00CF51E3">
        <w:rPr>
          <w:rFonts w:cs="Times New Roman"/>
          <w:sz w:val="22"/>
        </w:rPr>
        <w:t>maximiz</w:t>
      </w:r>
      <w:r w:rsidRPr="00CF51E3" w:rsidR="007833F0">
        <w:rPr>
          <w:rFonts w:cs="Times New Roman"/>
          <w:sz w:val="22"/>
        </w:rPr>
        <w:t xml:space="preserve">ing the value of the land.  </w:t>
      </w:r>
      <w:r w:rsidRPr="00CF51E3">
        <w:rPr>
          <w:rFonts w:eastAsia="Calibri" w:cs="Times New Roman"/>
          <w:i/>
          <w:sz w:val="22"/>
        </w:rPr>
        <w:t>Sibley State Bank v. Braaksma, 922 N.W.2d 105 (</w:t>
      </w:r>
      <w:r w:rsidRPr="00CF51E3" w:rsidR="007833F0">
        <w:rPr>
          <w:rFonts w:eastAsia="Calibri" w:cs="Times New Roman"/>
          <w:i/>
          <w:sz w:val="22"/>
        </w:rPr>
        <w:t xml:space="preserve">Iowa </w:t>
      </w:r>
      <w:r w:rsidRPr="00CF51E3">
        <w:rPr>
          <w:rFonts w:eastAsia="Calibri" w:cs="Times New Roman"/>
          <w:i/>
          <w:sz w:val="22"/>
        </w:rPr>
        <w:t>2018)</w:t>
      </w:r>
      <w:r w:rsidRPr="00CF51E3" w:rsidR="007833F0">
        <w:rPr>
          <w:rFonts w:eastAsia="Calibri" w:cs="Times New Roman"/>
          <w:i/>
          <w:sz w:val="22"/>
        </w:rPr>
        <w:t>.</w:t>
      </w:r>
    </w:p>
    <w:p w:rsidR="00CD55F9" w:rsidRPr="00CF51E3" w:rsidP="00EA29C0">
      <w:pPr>
        <w:jc w:val="both"/>
        <w:rPr>
          <w:rFonts w:eastAsia="Calibri" w:cs="Times New Roman"/>
          <w:b/>
          <w:i/>
          <w:sz w:val="22"/>
        </w:rPr>
      </w:pPr>
    </w:p>
    <w:p w:rsidR="00CD55F9" w:rsidRPr="00CF51E3" w:rsidP="00CF51E3">
      <w:pPr>
        <w:ind w:left="720"/>
        <w:jc w:val="both"/>
        <w:rPr>
          <w:rFonts w:eastAsia="Calibri" w:cs="Times New Roman"/>
          <w:i/>
          <w:sz w:val="22"/>
        </w:rPr>
      </w:pPr>
      <w:r>
        <w:rPr>
          <w:rFonts w:cs="Times New Roman"/>
          <w:b/>
          <w:sz w:val="22"/>
        </w:rPr>
        <w:t>B.</w:t>
      </w:r>
      <w:r>
        <w:rPr>
          <w:rFonts w:cs="Times New Roman"/>
          <w:b/>
          <w:sz w:val="22"/>
        </w:rPr>
        <w:tab/>
      </w:r>
      <w:r w:rsidRPr="00CF51E3" w:rsidR="003E4176">
        <w:rPr>
          <w:rFonts w:cs="Times New Roman"/>
          <w:b/>
          <w:sz w:val="22"/>
        </w:rPr>
        <w:t>Minnesota t</w:t>
      </w:r>
      <w:r w:rsidRPr="00CF51E3" w:rsidR="007833F0">
        <w:rPr>
          <w:rFonts w:cs="Times New Roman"/>
          <w:b/>
          <w:sz w:val="22"/>
        </w:rPr>
        <w:t>hree-</w:t>
      </w:r>
      <w:r w:rsidRPr="00CF51E3" w:rsidR="003E4176">
        <w:rPr>
          <w:rFonts w:cs="Times New Roman"/>
          <w:b/>
          <w:sz w:val="22"/>
        </w:rPr>
        <w:t>year st</w:t>
      </w:r>
      <w:r w:rsidRPr="00CF51E3" w:rsidR="007833F0">
        <w:rPr>
          <w:rFonts w:cs="Times New Roman"/>
          <w:b/>
          <w:sz w:val="22"/>
        </w:rPr>
        <w:t xml:space="preserve">atute of </w:t>
      </w:r>
      <w:r w:rsidRPr="00CF51E3" w:rsidR="003E4176">
        <w:rPr>
          <w:rFonts w:cs="Times New Roman"/>
          <w:b/>
          <w:sz w:val="22"/>
        </w:rPr>
        <w:t>limitation n</w:t>
      </w:r>
      <w:r w:rsidRPr="00CF51E3" w:rsidR="007833F0">
        <w:rPr>
          <w:rFonts w:cs="Times New Roman"/>
          <w:b/>
          <w:sz w:val="22"/>
        </w:rPr>
        <w:t xml:space="preserve">ot </w:t>
      </w:r>
      <w:r w:rsidRPr="00CF51E3" w:rsidR="003E4176">
        <w:rPr>
          <w:rFonts w:cs="Times New Roman"/>
          <w:b/>
          <w:sz w:val="22"/>
        </w:rPr>
        <w:t>e</w:t>
      </w:r>
      <w:r w:rsidRPr="00CF51E3" w:rsidR="007833F0">
        <w:rPr>
          <w:rFonts w:cs="Times New Roman"/>
          <w:b/>
          <w:sz w:val="22"/>
        </w:rPr>
        <w:t xml:space="preserve">nforceable as to </w:t>
      </w:r>
      <w:r w:rsidRPr="00CF51E3" w:rsidR="003E4176">
        <w:rPr>
          <w:rFonts w:cs="Times New Roman"/>
          <w:b/>
          <w:sz w:val="22"/>
        </w:rPr>
        <w:t>non-f</w:t>
      </w:r>
      <w:r w:rsidRPr="00CF51E3" w:rsidR="007833F0">
        <w:rPr>
          <w:rFonts w:cs="Times New Roman"/>
          <w:b/>
          <w:sz w:val="22"/>
        </w:rPr>
        <w:t xml:space="preserve">arm related </w:t>
      </w:r>
      <w:r w:rsidRPr="00CF51E3" w:rsidR="003E4176">
        <w:rPr>
          <w:rFonts w:cs="Times New Roman"/>
          <w:b/>
          <w:sz w:val="22"/>
        </w:rPr>
        <w:t>d</w:t>
      </w:r>
      <w:r w:rsidRPr="00CF51E3" w:rsidR="007833F0">
        <w:rPr>
          <w:rFonts w:cs="Times New Roman"/>
          <w:b/>
          <w:sz w:val="22"/>
        </w:rPr>
        <w:t>ebts</w:t>
      </w:r>
      <w:r w:rsidRPr="00CF51E3" w:rsidR="007833F0">
        <w:rPr>
          <w:rFonts w:cs="Times New Roman"/>
          <w:sz w:val="22"/>
        </w:rPr>
        <w:t xml:space="preserve">.   </w:t>
      </w:r>
      <w:r w:rsidRPr="00CF51E3">
        <w:rPr>
          <w:rFonts w:cs="Times New Roman"/>
          <w:sz w:val="22"/>
        </w:rPr>
        <w:t xml:space="preserve">Greg Kellen </w:t>
      </w:r>
      <w:r w:rsidRPr="00CF51E3" w:rsidR="007833F0">
        <w:rPr>
          <w:rFonts w:cs="Times New Roman"/>
          <w:sz w:val="22"/>
        </w:rPr>
        <w:t xml:space="preserve">(“Kellen”) </w:t>
      </w:r>
      <w:r w:rsidRPr="00CF51E3">
        <w:rPr>
          <w:rFonts w:cs="Times New Roman"/>
          <w:sz w:val="22"/>
        </w:rPr>
        <w:t xml:space="preserve">and John Green </w:t>
      </w:r>
      <w:r w:rsidRPr="00CF51E3" w:rsidR="007833F0">
        <w:rPr>
          <w:rFonts w:cs="Times New Roman"/>
          <w:sz w:val="22"/>
        </w:rPr>
        <w:t xml:space="preserve">(“Green”) </w:t>
      </w:r>
      <w:r w:rsidRPr="00CF51E3" w:rsidR="00514FB2">
        <w:rPr>
          <w:rFonts w:cs="Times New Roman"/>
          <w:sz w:val="22"/>
        </w:rPr>
        <w:t>shared farming equipment.  I</w:t>
      </w:r>
      <w:r w:rsidRPr="00CF51E3" w:rsidR="007833F0">
        <w:rPr>
          <w:rFonts w:cs="Times New Roman"/>
          <w:sz w:val="22"/>
        </w:rPr>
        <w:t xml:space="preserve">n 2012 the parties ended the </w:t>
      </w:r>
      <w:r w:rsidRPr="00CF51E3" w:rsidR="00514FB2">
        <w:rPr>
          <w:rFonts w:cs="Times New Roman"/>
          <w:sz w:val="22"/>
        </w:rPr>
        <w:t>relationship</w:t>
      </w:r>
      <w:r w:rsidRPr="00CF51E3" w:rsidR="007833F0">
        <w:rPr>
          <w:rFonts w:cs="Times New Roman"/>
          <w:sz w:val="22"/>
        </w:rPr>
        <w:t xml:space="preserve">.  </w:t>
      </w:r>
      <w:r w:rsidRPr="00CF51E3">
        <w:rPr>
          <w:rFonts w:cs="Times New Roman"/>
          <w:sz w:val="22"/>
        </w:rPr>
        <w:t xml:space="preserve">Green sued Kellen for numerous reasons, including conversion of farm </w:t>
      </w:r>
      <w:r w:rsidR="004C534A">
        <w:rPr>
          <w:rFonts w:cs="Times New Roman"/>
          <w:sz w:val="22"/>
        </w:rPr>
        <w:t>equipment, trespass on</w:t>
      </w:r>
      <w:r w:rsidRPr="00CF51E3" w:rsidR="00514FB2">
        <w:rPr>
          <w:rFonts w:cs="Times New Roman"/>
          <w:sz w:val="22"/>
        </w:rPr>
        <w:t xml:space="preserve"> his corn</w:t>
      </w:r>
      <w:r w:rsidRPr="00CF51E3">
        <w:rPr>
          <w:rFonts w:cs="Times New Roman"/>
          <w:sz w:val="22"/>
        </w:rPr>
        <w:t>field</w:t>
      </w:r>
      <w:r w:rsidRPr="00CF51E3" w:rsidR="00514FB2">
        <w:rPr>
          <w:rFonts w:cs="Times New Roman"/>
          <w:sz w:val="22"/>
        </w:rPr>
        <w:t>s</w:t>
      </w:r>
      <w:r w:rsidRPr="00CF51E3">
        <w:rPr>
          <w:rFonts w:cs="Times New Roman"/>
          <w:sz w:val="22"/>
        </w:rPr>
        <w:t>, and defamation for spreading rumors. Green alleged that these rumors hurt his business among the farm</w:t>
      </w:r>
      <w:r w:rsidR="004C534A">
        <w:rPr>
          <w:rFonts w:cs="Times New Roman"/>
          <w:sz w:val="22"/>
        </w:rPr>
        <w:t>ing</w:t>
      </w:r>
      <w:r w:rsidRPr="00CF51E3">
        <w:rPr>
          <w:rFonts w:cs="Times New Roman"/>
          <w:sz w:val="22"/>
        </w:rPr>
        <w:t xml:space="preserve"> community, causing him to lose land which he was leasing.</w:t>
      </w:r>
      <w:r w:rsidRPr="00CF51E3" w:rsidR="007833F0">
        <w:rPr>
          <w:rFonts w:cs="Times New Roman"/>
          <w:sz w:val="22"/>
        </w:rPr>
        <w:t xml:space="preserve">  The Court agreed and </w:t>
      </w:r>
      <w:r w:rsidRPr="00CF51E3">
        <w:rPr>
          <w:rFonts w:cs="Times New Roman"/>
          <w:sz w:val="22"/>
        </w:rPr>
        <w:t xml:space="preserve">awarded </w:t>
      </w:r>
      <w:r w:rsidRPr="00CF51E3" w:rsidR="007833F0">
        <w:rPr>
          <w:rFonts w:cs="Times New Roman"/>
          <w:sz w:val="22"/>
        </w:rPr>
        <w:t>Green damages</w:t>
      </w:r>
      <w:r w:rsidRPr="00CF51E3" w:rsidR="00514FB2">
        <w:rPr>
          <w:rFonts w:cs="Times New Roman"/>
          <w:sz w:val="22"/>
        </w:rPr>
        <w:t xml:space="preserve"> in the amount of $88,840</w:t>
      </w:r>
      <w:r w:rsidRPr="00CF51E3" w:rsidR="007833F0">
        <w:rPr>
          <w:rFonts w:cs="Times New Roman"/>
          <w:sz w:val="22"/>
        </w:rPr>
        <w:t xml:space="preserve">.  </w:t>
      </w:r>
      <w:r w:rsidRPr="00CF51E3">
        <w:rPr>
          <w:rFonts w:cs="Times New Roman"/>
          <w:sz w:val="22"/>
        </w:rPr>
        <w:t>Green began efforts to collect his judgment</w:t>
      </w:r>
      <w:r w:rsidRPr="00CF51E3" w:rsidR="007833F0">
        <w:rPr>
          <w:rFonts w:cs="Times New Roman"/>
          <w:sz w:val="22"/>
        </w:rPr>
        <w:t xml:space="preserve"> against the agricultural property of Kellen</w:t>
      </w:r>
      <w:r w:rsidRPr="00CF51E3">
        <w:rPr>
          <w:rFonts w:cs="Times New Roman"/>
          <w:sz w:val="22"/>
        </w:rPr>
        <w:t xml:space="preserve">. </w:t>
      </w:r>
      <w:r w:rsidRPr="00CF51E3" w:rsidR="007833F0">
        <w:rPr>
          <w:rFonts w:cs="Times New Roman"/>
          <w:sz w:val="22"/>
        </w:rPr>
        <w:t xml:space="preserve"> </w:t>
      </w:r>
      <w:r w:rsidRPr="00CF51E3">
        <w:rPr>
          <w:rFonts w:cs="Times New Roman"/>
          <w:sz w:val="22"/>
        </w:rPr>
        <w:t xml:space="preserve">Kellen filed a motion to </w:t>
      </w:r>
      <w:r w:rsidRPr="00CF51E3" w:rsidR="00514FB2">
        <w:rPr>
          <w:rFonts w:cs="Times New Roman"/>
          <w:sz w:val="22"/>
        </w:rPr>
        <w:t xml:space="preserve">stop the sale of his property because the sale was outside the </w:t>
      </w:r>
      <w:r w:rsidRPr="00CF51E3">
        <w:rPr>
          <w:rFonts w:cs="Times New Roman"/>
          <w:sz w:val="22"/>
        </w:rPr>
        <w:t>three</w:t>
      </w:r>
      <w:r w:rsidRPr="00CF51E3" w:rsidR="007833F0">
        <w:rPr>
          <w:rFonts w:cs="Times New Roman"/>
          <w:sz w:val="22"/>
        </w:rPr>
        <w:t>-</w:t>
      </w:r>
      <w:r w:rsidRPr="00CF51E3">
        <w:rPr>
          <w:rFonts w:cs="Times New Roman"/>
          <w:sz w:val="22"/>
        </w:rPr>
        <w:t xml:space="preserve">year limitation on </w:t>
      </w:r>
      <w:r w:rsidRPr="00CF51E3" w:rsidR="00514FB2">
        <w:rPr>
          <w:rFonts w:cs="Times New Roman"/>
          <w:sz w:val="22"/>
        </w:rPr>
        <w:t xml:space="preserve">the </w:t>
      </w:r>
      <w:r w:rsidRPr="00CF51E3">
        <w:rPr>
          <w:rFonts w:cs="Times New Roman"/>
          <w:sz w:val="22"/>
        </w:rPr>
        <w:t xml:space="preserve">execution on agricultural property </w:t>
      </w:r>
      <w:r w:rsidRPr="00CF51E3" w:rsidR="007833F0">
        <w:rPr>
          <w:rFonts w:cs="Times New Roman"/>
          <w:sz w:val="22"/>
        </w:rPr>
        <w:t xml:space="preserve">under Minn. Stat. </w:t>
      </w:r>
      <w:r w:rsidRPr="00CF51E3" w:rsidR="00514FB2">
        <w:rPr>
          <w:rFonts w:cs="Times New Roman"/>
          <w:sz w:val="22"/>
        </w:rPr>
        <w:t>§550.366.</w:t>
      </w:r>
      <w:r w:rsidRPr="00CF51E3" w:rsidR="00514FB2">
        <w:rPr>
          <w:sz w:val="22"/>
        </w:rPr>
        <w:t xml:space="preserve">  </w:t>
      </w:r>
      <w:r w:rsidRPr="00CF51E3" w:rsidR="00514FB2">
        <w:rPr>
          <w:rFonts w:cs="Times New Roman"/>
          <w:sz w:val="22"/>
        </w:rPr>
        <w:t xml:space="preserve">Minn. Stat. §550.366 deviates from the ten-year statute of limitation to collect a debt; providing for a three-year statute of limitation for unpaid </w:t>
      </w:r>
      <w:r w:rsidR="004C534A">
        <w:rPr>
          <w:rFonts w:cs="Times New Roman"/>
          <w:sz w:val="22"/>
        </w:rPr>
        <w:t>“</w:t>
      </w:r>
      <w:r w:rsidRPr="00CF51E3" w:rsidR="00514FB2">
        <w:rPr>
          <w:rFonts w:cs="Times New Roman"/>
          <w:sz w:val="22"/>
        </w:rPr>
        <w:t xml:space="preserve">debts on agricultural </w:t>
      </w:r>
      <w:r w:rsidR="004C534A">
        <w:rPr>
          <w:rFonts w:cs="Times New Roman"/>
          <w:sz w:val="22"/>
        </w:rPr>
        <w:t>property”</w:t>
      </w:r>
      <w:r w:rsidRPr="00CF51E3" w:rsidR="00514FB2">
        <w:rPr>
          <w:rFonts w:cs="Times New Roman"/>
          <w:sz w:val="22"/>
        </w:rPr>
        <w:t xml:space="preserve">.  </w:t>
      </w:r>
      <w:r w:rsidRPr="00CF51E3" w:rsidR="007833F0">
        <w:rPr>
          <w:rFonts w:cs="Times New Roman"/>
          <w:sz w:val="22"/>
        </w:rPr>
        <w:t xml:space="preserve">The Court disagreed and held that </w:t>
      </w:r>
      <w:r w:rsidRPr="00CF51E3" w:rsidR="00514FB2">
        <w:rPr>
          <w:rFonts w:cs="Times New Roman"/>
          <w:sz w:val="22"/>
        </w:rPr>
        <w:t xml:space="preserve">“debt on agricultural property” is limited to farm related debts.  The judgment related to intentional torts.  The Court held debts related to intentional torts are excluded from the three-year statute of limitations.   </w:t>
      </w:r>
      <w:r w:rsidRPr="00CF51E3">
        <w:rPr>
          <w:rFonts w:eastAsia="Calibri" w:cs="Times New Roman"/>
          <w:i/>
          <w:sz w:val="22"/>
        </w:rPr>
        <w:t>Green v. Kellen, 921 N.W.2d 768 (</w:t>
      </w:r>
      <w:r w:rsidRPr="00CF51E3" w:rsidR="007833F0">
        <w:rPr>
          <w:rFonts w:eastAsia="Calibri" w:cs="Times New Roman"/>
          <w:i/>
          <w:sz w:val="22"/>
        </w:rPr>
        <w:t xml:space="preserve">Minn. </w:t>
      </w:r>
      <w:r w:rsidRPr="00CF51E3" w:rsidR="00450E8D">
        <w:rPr>
          <w:rFonts w:eastAsia="Calibri" w:cs="Times New Roman"/>
          <w:i/>
          <w:sz w:val="22"/>
        </w:rPr>
        <w:t xml:space="preserve">App. </w:t>
      </w:r>
      <w:r w:rsidRPr="00CF51E3">
        <w:rPr>
          <w:rFonts w:eastAsia="Calibri" w:cs="Times New Roman"/>
          <w:i/>
          <w:sz w:val="22"/>
        </w:rPr>
        <w:t>2018)</w:t>
      </w:r>
      <w:r w:rsidRPr="00CF51E3" w:rsidR="007833F0">
        <w:rPr>
          <w:rFonts w:eastAsia="Calibri" w:cs="Times New Roman"/>
          <w:i/>
          <w:sz w:val="22"/>
        </w:rPr>
        <w:t>.</w:t>
      </w:r>
    </w:p>
    <w:p w:rsidR="00514FB2" w:rsidRPr="00CF51E3" w:rsidP="00CF51E3">
      <w:pPr>
        <w:ind w:left="720"/>
        <w:jc w:val="both"/>
        <w:rPr>
          <w:rFonts w:eastAsia="Calibri" w:cs="Times New Roman"/>
          <w:i/>
          <w:sz w:val="22"/>
        </w:rPr>
      </w:pPr>
    </w:p>
    <w:p w:rsidR="0033080B" w:rsidRPr="00CF51E3" w:rsidP="00122594">
      <w:pPr>
        <w:ind w:left="1440"/>
        <w:jc w:val="both"/>
        <w:rPr>
          <w:rFonts w:eastAsia="Calibri" w:cs="Times New Roman"/>
          <w:i/>
          <w:sz w:val="22"/>
        </w:rPr>
      </w:pPr>
      <w:r w:rsidRPr="00CF51E3">
        <w:rPr>
          <w:rFonts w:eastAsia="Calibri" w:cs="Times New Roman"/>
          <w:i/>
          <w:sz w:val="22"/>
        </w:rPr>
        <w:t xml:space="preserve">Comment.  </w:t>
      </w:r>
      <w:r w:rsidRPr="00CF51E3">
        <w:rPr>
          <w:rFonts w:eastAsia="Calibri" w:cs="Times New Roman"/>
          <w:i/>
          <w:sz w:val="22"/>
        </w:rPr>
        <w:t xml:space="preserve">The court reasoned that a debt resulting from an intentional tort is not a “debt on agricultural property”.  Minn. Stat. §550.366 does not address intentional torts.  The court carved out this exception.  It will be seen if judgment creditors argue that any non-farm related debts are also excluded from Minn. Stat. §550.366.  </w:t>
      </w:r>
    </w:p>
    <w:p w:rsidR="0033080B" w:rsidRPr="00CF51E3" w:rsidP="00CF51E3">
      <w:pPr>
        <w:ind w:left="720"/>
        <w:jc w:val="both"/>
        <w:rPr>
          <w:rFonts w:eastAsia="Calibri" w:cs="Times New Roman"/>
          <w:i/>
          <w:sz w:val="22"/>
        </w:rPr>
      </w:pPr>
    </w:p>
    <w:p w:rsidR="00CD55F9" w:rsidRPr="00CF51E3" w:rsidP="00CF51E3">
      <w:pPr>
        <w:ind w:left="720"/>
        <w:jc w:val="both"/>
        <w:rPr>
          <w:rFonts w:cs="Times New Roman"/>
          <w:sz w:val="22"/>
        </w:rPr>
      </w:pPr>
      <w:r>
        <w:rPr>
          <w:rFonts w:cs="Times New Roman"/>
          <w:b/>
          <w:sz w:val="22"/>
        </w:rPr>
        <w:t>C.</w:t>
      </w:r>
      <w:r>
        <w:rPr>
          <w:rFonts w:cs="Times New Roman"/>
          <w:b/>
          <w:sz w:val="22"/>
        </w:rPr>
        <w:tab/>
      </w:r>
      <w:r w:rsidRPr="00CF51E3" w:rsidR="0033080B">
        <w:rPr>
          <w:rFonts w:cs="Times New Roman"/>
          <w:b/>
          <w:sz w:val="22"/>
        </w:rPr>
        <w:t>Loan renewal adequately m</w:t>
      </w:r>
      <w:r w:rsidRPr="00CF51E3" w:rsidR="009C4B6F">
        <w:rPr>
          <w:rFonts w:cs="Times New Roman"/>
          <w:b/>
          <w:sz w:val="22"/>
        </w:rPr>
        <w:t>aintain</w:t>
      </w:r>
      <w:r w:rsidRPr="00CF51E3" w:rsidR="0033080B">
        <w:rPr>
          <w:rFonts w:cs="Times New Roman"/>
          <w:b/>
          <w:sz w:val="22"/>
        </w:rPr>
        <w:t>s</w:t>
      </w:r>
      <w:r w:rsidRPr="00CF51E3" w:rsidR="009C4B6F">
        <w:rPr>
          <w:rFonts w:cs="Times New Roman"/>
          <w:b/>
          <w:sz w:val="22"/>
        </w:rPr>
        <w:t xml:space="preserve"> </w:t>
      </w:r>
      <w:r w:rsidRPr="00CF51E3" w:rsidR="0033080B">
        <w:rPr>
          <w:rFonts w:cs="Times New Roman"/>
          <w:b/>
          <w:sz w:val="22"/>
        </w:rPr>
        <w:t>m</w:t>
      </w:r>
      <w:r w:rsidRPr="00CF51E3" w:rsidR="009C4B6F">
        <w:rPr>
          <w:rFonts w:cs="Times New Roman"/>
          <w:b/>
          <w:sz w:val="22"/>
        </w:rPr>
        <w:t xml:space="preserve">ortgage </w:t>
      </w:r>
      <w:r w:rsidRPr="00CF51E3" w:rsidR="0033080B">
        <w:rPr>
          <w:rFonts w:cs="Times New Roman"/>
          <w:b/>
          <w:sz w:val="22"/>
        </w:rPr>
        <w:t>lien p</w:t>
      </w:r>
      <w:r w:rsidRPr="00CF51E3" w:rsidR="009C4B6F">
        <w:rPr>
          <w:rFonts w:cs="Times New Roman"/>
          <w:b/>
          <w:sz w:val="22"/>
        </w:rPr>
        <w:t>riority.</w:t>
      </w:r>
      <w:r w:rsidRPr="00CF51E3" w:rsidR="009C4B6F">
        <w:rPr>
          <w:rFonts w:cs="Times New Roman"/>
          <w:sz w:val="22"/>
        </w:rPr>
        <w:t xml:space="preserve">  </w:t>
      </w:r>
      <w:r w:rsidRPr="00CF51E3" w:rsidR="007833F0">
        <w:rPr>
          <w:rFonts w:cs="Times New Roman"/>
          <w:sz w:val="22"/>
        </w:rPr>
        <w:t xml:space="preserve">Edward D. Smith and Jan Smith Dale (the “Debtors”) were indebted to Troy Bank (the “Lender”) and the debt was </w:t>
      </w:r>
      <w:r w:rsidRPr="00CF51E3" w:rsidR="0033080B">
        <w:rPr>
          <w:rFonts w:cs="Times New Roman"/>
          <w:sz w:val="22"/>
        </w:rPr>
        <w:t>secured by a mortgage on</w:t>
      </w:r>
      <w:r w:rsidRPr="00CF51E3" w:rsidR="007833F0">
        <w:rPr>
          <w:rFonts w:cs="Times New Roman"/>
          <w:sz w:val="22"/>
        </w:rPr>
        <w:t xml:space="preserve"> </w:t>
      </w:r>
      <w:r w:rsidRPr="00CF51E3" w:rsidR="0033080B">
        <w:rPr>
          <w:rFonts w:cs="Times New Roman"/>
          <w:sz w:val="22"/>
        </w:rPr>
        <w:t>farm</w:t>
      </w:r>
      <w:r w:rsidRPr="00CF51E3" w:rsidR="007833F0">
        <w:rPr>
          <w:rFonts w:cs="Times New Roman"/>
          <w:sz w:val="22"/>
        </w:rPr>
        <w:t xml:space="preserve">land.  The debt was evidenced by two promissory notes executed in 2002.  </w:t>
      </w:r>
      <w:r w:rsidRPr="00CF51E3" w:rsidR="00E807D6">
        <w:rPr>
          <w:rFonts w:cs="Times New Roman"/>
          <w:sz w:val="22"/>
        </w:rPr>
        <w:t>In 2006</w:t>
      </w:r>
      <w:r w:rsidR="004C534A">
        <w:rPr>
          <w:rFonts w:cs="Times New Roman"/>
          <w:sz w:val="22"/>
        </w:rPr>
        <w:t>,</w:t>
      </w:r>
      <w:r w:rsidRPr="00CF51E3" w:rsidR="00E807D6">
        <w:rPr>
          <w:rFonts w:cs="Times New Roman"/>
          <w:sz w:val="22"/>
        </w:rPr>
        <w:t xml:space="preserve"> the notes were consolidated into a single promissory note (the “Note”).  In 2009, </w:t>
      </w:r>
      <w:r w:rsidRPr="00CF51E3">
        <w:rPr>
          <w:rFonts w:cs="Times New Roman"/>
          <w:sz w:val="22"/>
        </w:rPr>
        <w:t xml:space="preserve">Coffee Farmers </w:t>
      </w:r>
      <w:r w:rsidRPr="00CF51E3" w:rsidR="00E807D6">
        <w:rPr>
          <w:rFonts w:cs="Times New Roman"/>
          <w:sz w:val="22"/>
        </w:rPr>
        <w:t xml:space="preserve">(the “Judgment Creditor”) </w:t>
      </w:r>
      <w:r w:rsidRPr="00CF51E3">
        <w:rPr>
          <w:rFonts w:cs="Times New Roman"/>
          <w:sz w:val="22"/>
        </w:rPr>
        <w:t>obtained a money judgment</w:t>
      </w:r>
      <w:r w:rsidRPr="00CF51E3" w:rsidR="00E807D6">
        <w:rPr>
          <w:rFonts w:cs="Times New Roman"/>
          <w:sz w:val="22"/>
        </w:rPr>
        <w:t xml:space="preserve"> against the Debtors in the amount of $</w:t>
      </w:r>
      <w:r w:rsidRPr="00CF51E3">
        <w:rPr>
          <w:rFonts w:cs="Times New Roman"/>
          <w:sz w:val="22"/>
        </w:rPr>
        <w:t>183,780.20</w:t>
      </w:r>
      <w:r w:rsidRPr="00CF51E3" w:rsidR="00E807D6">
        <w:rPr>
          <w:rFonts w:cs="Times New Roman"/>
          <w:sz w:val="22"/>
        </w:rPr>
        <w:t xml:space="preserve"> (the “Judgment”).  The Debtors and the Lender subsequently “renewed” the Note secured by the mortgage in 2012.  The Judgment Creditor argued that the 2012 renewal was not a renewal but, instead, a future advance for which subordinated the Lender’s mortgage to the </w:t>
      </w:r>
      <w:r w:rsidRPr="00CF51E3" w:rsidR="0033080B">
        <w:rPr>
          <w:rFonts w:cs="Times New Roman"/>
          <w:sz w:val="22"/>
        </w:rPr>
        <w:t xml:space="preserve">Judgment Creditor’s </w:t>
      </w:r>
      <w:r w:rsidRPr="00CF51E3" w:rsidR="00E807D6">
        <w:rPr>
          <w:rFonts w:cs="Times New Roman"/>
          <w:sz w:val="22"/>
        </w:rPr>
        <w:t>judgment lien</w:t>
      </w:r>
      <w:r w:rsidRPr="00CF51E3" w:rsidR="0033080B">
        <w:rPr>
          <w:rFonts w:cs="Times New Roman"/>
          <w:sz w:val="22"/>
        </w:rPr>
        <w:t>.</w:t>
      </w:r>
      <w:r w:rsidRPr="00CF51E3" w:rsidR="00E807D6">
        <w:rPr>
          <w:rFonts w:cs="Times New Roman"/>
          <w:sz w:val="22"/>
        </w:rPr>
        <w:t xml:space="preserve">  The Court disagreed and held that the renewal was, in fact, a renewal and, therefore, the Lender maintained its lien priority as against the mortgaged </w:t>
      </w:r>
      <w:r w:rsidRPr="00CF51E3" w:rsidR="0033080B">
        <w:rPr>
          <w:rFonts w:cs="Times New Roman"/>
          <w:sz w:val="22"/>
        </w:rPr>
        <w:t>farmland</w:t>
      </w:r>
      <w:r w:rsidRPr="00CF51E3" w:rsidR="00E807D6">
        <w:rPr>
          <w:rFonts w:cs="Times New Roman"/>
          <w:sz w:val="22"/>
        </w:rPr>
        <w:t xml:space="preserve">. </w:t>
      </w:r>
      <w:r w:rsidRPr="00CF51E3">
        <w:rPr>
          <w:rFonts w:eastAsia="Calibri" w:cs="Times New Roman"/>
          <w:i/>
          <w:sz w:val="22"/>
        </w:rPr>
        <w:t>In re Smith, 596 B.R. 902 (</w:t>
      </w:r>
      <w:r w:rsidRPr="00CF51E3" w:rsidR="00450E8D">
        <w:rPr>
          <w:rFonts w:eastAsia="Calibri" w:cs="Times New Roman"/>
          <w:i/>
          <w:sz w:val="22"/>
        </w:rPr>
        <w:t>Bankr. M.D. Ala.</w:t>
      </w:r>
      <w:r w:rsidRPr="00CF51E3" w:rsidR="00E807D6">
        <w:rPr>
          <w:rFonts w:eastAsia="Calibri" w:cs="Times New Roman"/>
          <w:i/>
          <w:sz w:val="22"/>
        </w:rPr>
        <w:t xml:space="preserve"> </w:t>
      </w:r>
      <w:r w:rsidRPr="00CF51E3">
        <w:rPr>
          <w:rFonts w:eastAsia="Calibri" w:cs="Times New Roman"/>
          <w:i/>
          <w:sz w:val="22"/>
        </w:rPr>
        <w:t>2019)</w:t>
      </w:r>
      <w:r w:rsidRPr="00CF51E3" w:rsidR="00E807D6">
        <w:rPr>
          <w:rFonts w:eastAsia="Calibri" w:cs="Times New Roman"/>
          <w:i/>
          <w:sz w:val="22"/>
        </w:rPr>
        <w:t>.</w:t>
      </w:r>
    </w:p>
    <w:p w:rsidR="004C4706" w:rsidRPr="00CF51E3" w:rsidP="00CF51E3">
      <w:pPr>
        <w:ind w:left="720"/>
        <w:jc w:val="both"/>
        <w:rPr>
          <w:rFonts w:cs="Times New Roman"/>
          <w:b/>
          <w:sz w:val="22"/>
        </w:rPr>
      </w:pPr>
    </w:p>
    <w:p w:rsidR="004A2CA4" w:rsidRPr="00CF51E3" w:rsidP="00CF51E3">
      <w:pPr>
        <w:ind w:left="720"/>
        <w:jc w:val="both"/>
        <w:rPr>
          <w:rFonts w:cs="Times New Roman"/>
          <w:sz w:val="22"/>
        </w:rPr>
      </w:pPr>
      <w:r>
        <w:rPr>
          <w:rFonts w:cs="Times New Roman"/>
          <w:b/>
          <w:sz w:val="22"/>
        </w:rPr>
        <w:t>D.</w:t>
      </w:r>
      <w:r>
        <w:rPr>
          <w:rFonts w:cs="Times New Roman"/>
          <w:b/>
          <w:sz w:val="22"/>
        </w:rPr>
        <w:tab/>
      </w:r>
      <w:r w:rsidRPr="00CF51E3" w:rsidR="00BE3214">
        <w:rPr>
          <w:rFonts w:cs="Times New Roman"/>
          <w:b/>
          <w:sz w:val="22"/>
        </w:rPr>
        <w:t>Transfer of e</w:t>
      </w:r>
      <w:r w:rsidRPr="00CF51E3" w:rsidR="003E6E37">
        <w:rPr>
          <w:rFonts w:cs="Times New Roman"/>
          <w:b/>
          <w:sz w:val="22"/>
        </w:rPr>
        <w:t xml:space="preserve">ncumbered </w:t>
      </w:r>
      <w:r w:rsidRPr="00CF51E3" w:rsidR="00BE3214">
        <w:rPr>
          <w:rFonts w:cs="Times New Roman"/>
          <w:b/>
          <w:sz w:val="22"/>
        </w:rPr>
        <w:t>a</w:t>
      </w:r>
      <w:r w:rsidRPr="00CF51E3" w:rsidR="003E6E37">
        <w:rPr>
          <w:rFonts w:cs="Times New Roman"/>
          <w:b/>
          <w:sz w:val="22"/>
        </w:rPr>
        <w:t xml:space="preserve">ssets not </w:t>
      </w:r>
      <w:r w:rsidRPr="00CF51E3" w:rsidR="00BE3214">
        <w:rPr>
          <w:rFonts w:cs="Times New Roman"/>
          <w:b/>
          <w:sz w:val="22"/>
        </w:rPr>
        <w:t>a fraudulent transfer under Iowa l</w:t>
      </w:r>
      <w:r w:rsidRPr="00CF51E3" w:rsidR="003E6E37">
        <w:rPr>
          <w:rFonts w:cs="Times New Roman"/>
          <w:b/>
          <w:sz w:val="22"/>
        </w:rPr>
        <w:t xml:space="preserve">aw.  </w:t>
      </w:r>
      <w:r w:rsidRPr="00CF51E3" w:rsidR="003E6E37">
        <w:rPr>
          <w:rFonts w:cs="Times New Roman"/>
          <w:sz w:val="22"/>
        </w:rPr>
        <w:t>Western Slopes Farm Partnership (the “Debtor”) and BJM, Inc. (“Co-Debtor”) were controlled and owned by Frank White.  The Debtor and Co-Debtor were indebted to Roger Rand (the “Lender”) and the debt was secured by certain personal</w:t>
      </w:r>
      <w:r w:rsidRPr="00CF51E3">
        <w:rPr>
          <w:rFonts w:cs="Times New Roman"/>
          <w:sz w:val="22"/>
        </w:rPr>
        <w:t xml:space="preserve"> property of the Debtor and Co-Debtor</w:t>
      </w:r>
      <w:r w:rsidRPr="00CF51E3" w:rsidR="003E6E37">
        <w:rPr>
          <w:rFonts w:cs="Times New Roman"/>
          <w:sz w:val="22"/>
        </w:rPr>
        <w:t>.  The Lender died.  The personal representative of the Lender (for purposes of this summary, also the “Lender”) commenced a legal action to replevin the personal property.</w:t>
      </w:r>
      <w:r w:rsidRPr="00CF51E3">
        <w:rPr>
          <w:rFonts w:cs="Times New Roman"/>
          <w:sz w:val="22"/>
        </w:rPr>
        <w:t xml:space="preserve">  The Co-Debtor transferred its </w:t>
      </w:r>
      <w:r w:rsidRPr="00CF51E3">
        <w:rPr>
          <w:rFonts w:cs="Times New Roman"/>
          <w:sz w:val="22"/>
        </w:rPr>
        <w:t>personal property to the Debtor and the Debtor filed bankruptcy on the same day.  The Lender filed an adversary action for a determination that the transfer of equipment was voidable under th</w:t>
      </w:r>
      <w:r w:rsidRPr="00CF51E3" w:rsidR="0033080B">
        <w:rPr>
          <w:rFonts w:cs="Times New Roman"/>
          <w:sz w:val="22"/>
        </w:rPr>
        <w:t xml:space="preserve">e Uniform Voidable Transfer Act; </w:t>
      </w:r>
      <w:r w:rsidRPr="00CF51E3">
        <w:rPr>
          <w:rFonts w:cs="Times New Roman"/>
          <w:sz w:val="22"/>
        </w:rPr>
        <w:t xml:space="preserve">Iowa Code </w:t>
      </w:r>
      <w:r w:rsidRPr="00CF51E3" w:rsidR="0033080B">
        <w:rPr>
          <w:rFonts w:cs="Times New Roman"/>
          <w:sz w:val="22"/>
        </w:rPr>
        <w:t>§</w:t>
      </w:r>
      <w:r w:rsidRPr="00CF51E3">
        <w:rPr>
          <w:rFonts w:cs="Times New Roman"/>
          <w:sz w:val="22"/>
        </w:rPr>
        <w:t xml:space="preserve">684.4 and </w:t>
      </w:r>
      <w:r w:rsidRPr="00CF51E3" w:rsidR="00BE3214">
        <w:rPr>
          <w:rFonts w:cs="Times New Roman"/>
          <w:sz w:val="22"/>
        </w:rPr>
        <w:t>§</w:t>
      </w:r>
      <w:r w:rsidRPr="00CF51E3">
        <w:rPr>
          <w:rFonts w:cs="Times New Roman"/>
          <w:sz w:val="22"/>
        </w:rPr>
        <w:t>684.5 (“UVTA”).  The Debtor argued that the UVTA was not applicable because the transfer was not made with the intent to defraud its creditors</w:t>
      </w:r>
      <w:r w:rsidRPr="00CF51E3" w:rsidR="00007921">
        <w:rPr>
          <w:rFonts w:cs="Times New Roman"/>
          <w:sz w:val="22"/>
        </w:rPr>
        <w:t xml:space="preserve"> (but, instead, to avoid the need for the Co-Debtor to file bankruptcy) and </w:t>
      </w:r>
      <w:r w:rsidRPr="00CF51E3">
        <w:rPr>
          <w:rFonts w:cs="Times New Roman"/>
          <w:sz w:val="22"/>
        </w:rPr>
        <w:t>the equipment remains subject to the security interest of the Lender.</w:t>
      </w:r>
      <w:r w:rsidRPr="00CF51E3" w:rsidR="00007921">
        <w:rPr>
          <w:rFonts w:cs="Times New Roman"/>
          <w:sz w:val="22"/>
        </w:rPr>
        <w:t xml:space="preserve">  The Court agreed and held that fully encumbered assets are not “assets” for purposes of the UVTA and, therefore, the transfer is not avoidable.  </w:t>
      </w:r>
      <w:r w:rsidRPr="00CF51E3" w:rsidR="00007921">
        <w:rPr>
          <w:rFonts w:cs="Times New Roman"/>
          <w:i/>
          <w:sz w:val="22"/>
        </w:rPr>
        <w:t>In re Western Slopes Farm Partnership, Adv. No. 17-09047 (Iowa B</w:t>
      </w:r>
      <w:r w:rsidRPr="00CF51E3" w:rsidR="00BE3214">
        <w:rPr>
          <w:rFonts w:cs="Times New Roman"/>
          <w:i/>
          <w:sz w:val="22"/>
        </w:rPr>
        <w:t xml:space="preserve">ankr. </w:t>
      </w:r>
      <w:r w:rsidRPr="00CF51E3" w:rsidR="00007921">
        <w:rPr>
          <w:rFonts w:cs="Times New Roman"/>
          <w:i/>
          <w:sz w:val="22"/>
        </w:rPr>
        <w:t>2018).</w:t>
      </w:r>
      <w:r w:rsidRPr="00CF51E3">
        <w:rPr>
          <w:rFonts w:cs="Times New Roman"/>
          <w:i/>
          <w:sz w:val="22"/>
        </w:rPr>
        <w:t xml:space="preserve">  </w:t>
      </w:r>
    </w:p>
    <w:p w:rsidR="00BE3214" w:rsidRPr="00CF51E3" w:rsidP="00EA29C0">
      <w:pPr>
        <w:jc w:val="both"/>
        <w:rPr>
          <w:rFonts w:cs="Times New Roman"/>
          <w:i/>
          <w:sz w:val="22"/>
        </w:rPr>
      </w:pPr>
    </w:p>
    <w:p w:rsidR="00E27FB9" w:rsidRPr="00CF51E3" w:rsidP="00CF51E3">
      <w:pPr>
        <w:ind w:left="720"/>
        <w:jc w:val="both"/>
        <w:rPr>
          <w:rFonts w:cs="Times New Roman"/>
          <w:b/>
          <w:i/>
          <w:sz w:val="22"/>
        </w:rPr>
      </w:pPr>
      <w:r>
        <w:rPr>
          <w:rFonts w:cs="Times New Roman"/>
          <w:b/>
          <w:sz w:val="22"/>
        </w:rPr>
        <w:t>E.</w:t>
      </w:r>
      <w:r>
        <w:rPr>
          <w:rFonts w:cs="Times New Roman"/>
          <w:b/>
          <w:sz w:val="22"/>
        </w:rPr>
        <w:tab/>
      </w:r>
      <w:r w:rsidRPr="00CF51E3" w:rsidR="00B04939">
        <w:rPr>
          <w:rFonts w:cs="Times New Roman"/>
          <w:b/>
          <w:sz w:val="22"/>
        </w:rPr>
        <w:t xml:space="preserve">Decrease in </w:t>
      </w:r>
      <w:r w:rsidRPr="00CF51E3" w:rsidR="00D71650">
        <w:rPr>
          <w:rFonts w:cs="Times New Roman"/>
          <w:b/>
          <w:sz w:val="22"/>
        </w:rPr>
        <w:t>e</w:t>
      </w:r>
      <w:r w:rsidRPr="00CF51E3" w:rsidR="00B04939">
        <w:rPr>
          <w:rFonts w:cs="Times New Roman"/>
          <w:b/>
          <w:sz w:val="22"/>
        </w:rPr>
        <w:t xml:space="preserve">ggs </w:t>
      </w:r>
      <w:r w:rsidRPr="00CF51E3" w:rsidR="00D71650">
        <w:rPr>
          <w:rFonts w:cs="Times New Roman"/>
          <w:b/>
          <w:sz w:val="22"/>
        </w:rPr>
        <w:t>p</w:t>
      </w:r>
      <w:r w:rsidRPr="00CF51E3" w:rsidR="00B04939">
        <w:rPr>
          <w:rFonts w:cs="Times New Roman"/>
          <w:b/>
          <w:sz w:val="22"/>
        </w:rPr>
        <w:t xml:space="preserve">rices </w:t>
      </w:r>
      <w:r w:rsidR="004C534A">
        <w:rPr>
          <w:rFonts w:cs="Times New Roman"/>
          <w:b/>
          <w:sz w:val="22"/>
        </w:rPr>
        <w:t xml:space="preserve">is </w:t>
      </w:r>
      <w:r w:rsidRPr="00CF51E3" w:rsidR="00B04939">
        <w:rPr>
          <w:rFonts w:cs="Times New Roman"/>
          <w:b/>
          <w:sz w:val="22"/>
        </w:rPr>
        <w:t xml:space="preserve">not </w:t>
      </w:r>
      <w:r w:rsidRPr="00CF51E3" w:rsidR="00D71650">
        <w:rPr>
          <w:rFonts w:cs="Times New Roman"/>
          <w:b/>
          <w:sz w:val="22"/>
        </w:rPr>
        <w:t>a f</w:t>
      </w:r>
      <w:r w:rsidRPr="00CF51E3" w:rsidR="00B04939">
        <w:rPr>
          <w:rFonts w:cs="Times New Roman"/>
          <w:b/>
          <w:sz w:val="22"/>
        </w:rPr>
        <w:t xml:space="preserve">orce </w:t>
      </w:r>
      <w:r w:rsidRPr="00CF51E3" w:rsidR="00D71650">
        <w:rPr>
          <w:rFonts w:cs="Times New Roman"/>
          <w:b/>
          <w:sz w:val="22"/>
        </w:rPr>
        <w:t>m</w:t>
      </w:r>
      <w:r w:rsidRPr="00CF51E3" w:rsidR="00B04939">
        <w:rPr>
          <w:rFonts w:cs="Times New Roman"/>
          <w:b/>
          <w:sz w:val="22"/>
        </w:rPr>
        <w:t xml:space="preserve">ajeure </w:t>
      </w:r>
      <w:r w:rsidRPr="00CF51E3" w:rsidR="00D71650">
        <w:rPr>
          <w:rFonts w:cs="Times New Roman"/>
          <w:b/>
          <w:sz w:val="22"/>
        </w:rPr>
        <w:t>event nor does it make the contract commercially impractical</w:t>
      </w:r>
      <w:r w:rsidRPr="00CF51E3" w:rsidR="00B04939">
        <w:rPr>
          <w:rFonts w:cs="Times New Roman"/>
          <w:b/>
          <w:sz w:val="22"/>
        </w:rPr>
        <w:t>.</w:t>
      </w:r>
      <w:r w:rsidRPr="00CF51E3">
        <w:rPr>
          <w:rFonts w:cs="Times New Roman"/>
          <w:sz w:val="22"/>
        </w:rPr>
        <w:t xml:space="preserve">  Rembrandt Enterprises, Inc. (“Seller”) agreed to sell 3,240,000 cage-free eggs per week to Rexing Quality Eggs (“Buyer”) under a supply agreement (the “Contract”).  The</w:t>
      </w:r>
      <w:r w:rsidRPr="00CF51E3" w:rsidR="00950D6E">
        <w:rPr>
          <w:rFonts w:cs="Times New Roman"/>
          <w:sz w:val="22"/>
        </w:rPr>
        <w:t xml:space="preserve"> consumer price for eggs declined and the </w:t>
      </w:r>
      <w:r w:rsidRPr="00CF51E3">
        <w:rPr>
          <w:rFonts w:cs="Times New Roman"/>
          <w:sz w:val="22"/>
        </w:rPr>
        <w:t>Buyer refused to accept delivery of the eggs</w:t>
      </w:r>
      <w:r w:rsidRPr="00CF51E3" w:rsidR="00950D6E">
        <w:rPr>
          <w:rFonts w:cs="Times New Roman"/>
          <w:sz w:val="22"/>
        </w:rPr>
        <w:t>.  The Buyer argued that: (1) the Seller sourced eggs from unapproved locations and the actions of the Seller were in breach of the Seller’s obligations under the Contract; (2) the decrease in consumer demand for eggs (and the resulting decrease in egg pri</w:t>
      </w:r>
      <w:r w:rsidR="00C4169C">
        <w:rPr>
          <w:rFonts w:cs="Times New Roman"/>
          <w:sz w:val="22"/>
        </w:rPr>
        <w:t xml:space="preserve">ces) was </w:t>
      </w:r>
      <w:r w:rsidRPr="00CF51E3" w:rsidR="00950D6E">
        <w:rPr>
          <w:rFonts w:cs="Times New Roman"/>
          <w:sz w:val="22"/>
        </w:rPr>
        <w:t xml:space="preserve">a force majeure event under the Contract; and (3) the decrease in consumer demand excused performance on the grounds of commercial impracticability and frustration under UCC </w:t>
      </w:r>
      <w:r w:rsidR="004C534A">
        <w:rPr>
          <w:rFonts w:cs="Times New Roman"/>
          <w:sz w:val="22"/>
        </w:rPr>
        <w:t>§</w:t>
      </w:r>
      <w:r w:rsidRPr="00CF51E3" w:rsidR="00950D6E">
        <w:rPr>
          <w:rFonts w:cs="Times New Roman"/>
          <w:sz w:val="22"/>
        </w:rPr>
        <w:t>2-615(1)</w:t>
      </w:r>
      <w:r w:rsidRPr="00CF51E3" w:rsidR="00B04939">
        <w:rPr>
          <w:sz w:val="22"/>
        </w:rPr>
        <w:t xml:space="preserve"> (a</w:t>
      </w:r>
      <w:r w:rsidRPr="00CF51E3" w:rsidR="00B04939">
        <w:rPr>
          <w:rFonts w:cs="Times New Roman"/>
          <w:sz w:val="22"/>
        </w:rPr>
        <w:t xml:space="preserve">s adopted under Iowa Code </w:t>
      </w:r>
      <w:r w:rsidR="004C534A">
        <w:rPr>
          <w:rFonts w:cs="Times New Roman"/>
          <w:sz w:val="22"/>
        </w:rPr>
        <w:t>§</w:t>
      </w:r>
      <w:r w:rsidRPr="00CF51E3" w:rsidR="00B04939">
        <w:rPr>
          <w:rFonts w:cs="Times New Roman"/>
          <w:sz w:val="22"/>
        </w:rPr>
        <w:t>554.2615(1))</w:t>
      </w:r>
      <w:r w:rsidRPr="00CF51E3" w:rsidR="00950D6E">
        <w:rPr>
          <w:rFonts w:cs="Times New Roman"/>
          <w:sz w:val="22"/>
        </w:rPr>
        <w:t xml:space="preserve">.  The </w:t>
      </w:r>
      <w:r w:rsidRPr="00CF51E3">
        <w:rPr>
          <w:rFonts w:cs="Times New Roman"/>
          <w:sz w:val="22"/>
        </w:rPr>
        <w:t>Court</w:t>
      </w:r>
      <w:r w:rsidRPr="00CF51E3" w:rsidR="00950D6E">
        <w:rPr>
          <w:rFonts w:cs="Times New Roman"/>
          <w:sz w:val="22"/>
        </w:rPr>
        <w:t xml:space="preserve"> disagreed and held that </w:t>
      </w:r>
      <w:r w:rsidRPr="00CF51E3">
        <w:rPr>
          <w:rFonts w:cs="Times New Roman"/>
          <w:sz w:val="22"/>
        </w:rPr>
        <w:t xml:space="preserve">under Iowa law: (1) the alleged sourcing of eggs by the Seller did not excuse the Buyer’s obligations under the Contract and the Buyer was not entitled to damages if eggs were sourced from other locations; (2) </w:t>
      </w:r>
      <w:r w:rsidRPr="00CF51E3" w:rsidR="00950D6E">
        <w:rPr>
          <w:rFonts w:cs="Times New Roman"/>
          <w:sz w:val="22"/>
        </w:rPr>
        <w:t>the decrease in consumer demand for eggs (and the resulting decrease in egg prices) was not a force majeure event; and (3) the decrease in consumer demand did not excuse performance on the grounds of commercial impracticability or frustration</w:t>
      </w:r>
      <w:r w:rsidRPr="00CF51E3" w:rsidR="00B04939">
        <w:rPr>
          <w:rFonts w:cs="Times New Roman"/>
          <w:sz w:val="22"/>
        </w:rPr>
        <w:t xml:space="preserve"> because the decrease in consumer demand for eggs was foreseeable</w:t>
      </w:r>
      <w:r w:rsidRPr="00CF51E3" w:rsidR="00950D6E">
        <w:rPr>
          <w:rFonts w:cs="Times New Roman"/>
          <w:sz w:val="22"/>
        </w:rPr>
        <w:t xml:space="preserve">.  </w:t>
      </w:r>
      <w:r w:rsidRPr="00CF51E3">
        <w:rPr>
          <w:rFonts w:cs="Times New Roman"/>
          <w:i/>
          <w:sz w:val="22"/>
        </w:rPr>
        <w:t>In re Rexing Quality Eggs v. Rembrandt Enterprises, Inc., 360 F. Supp. 3d 817 (S.D. In. 2018)</w:t>
      </w:r>
      <w:r w:rsidRPr="00CF51E3" w:rsidR="00D71650">
        <w:rPr>
          <w:rFonts w:cs="Times New Roman"/>
          <w:i/>
          <w:sz w:val="22"/>
        </w:rPr>
        <w:t>.</w:t>
      </w:r>
    </w:p>
    <w:p w:rsidR="00007921" w:rsidRPr="00CF51E3" w:rsidP="00CF51E3">
      <w:pPr>
        <w:ind w:left="720"/>
        <w:jc w:val="both"/>
        <w:rPr>
          <w:rFonts w:cs="Times New Roman"/>
          <w:sz w:val="22"/>
        </w:rPr>
      </w:pPr>
    </w:p>
    <w:p w:rsidR="00694042" w:rsidRPr="00CF51E3" w:rsidP="00CF51E3">
      <w:pPr>
        <w:ind w:left="720"/>
        <w:jc w:val="both"/>
        <w:rPr>
          <w:rFonts w:cs="Times New Roman"/>
          <w:i/>
          <w:sz w:val="22"/>
        </w:rPr>
      </w:pPr>
      <w:r>
        <w:rPr>
          <w:rFonts w:cs="Times New Roman"/>
          <w:b/>
          <w:sz w:val="22"/>
        </w:rPr>
        <w:t>F.</w:t>
      </w:r>
      <w:r>
        <w:rPr>
          <w:rFonts w:cs="Times New Roman"/>
          <w:b/>
          <w:sz w:val="22"/>
        </w:rPr>
        <w:tab/>
      </w:r>
      <w:r w:rsidRPr="00CF51E3" w:rsidR="00493A13">
        <w:rPr>
          <w:rFonts w:cs="Times New Roman"/>
          <w:b/>
          <w:sz w:val="22"/>
        </w:rPr>
        <w:t>Existence of farming partnership is a question of fact.</w:t>
      </w:r>
      <w:r w:rsidRPr="00CF51E3" w:rsidR="00493A13">
        <w:rPr>
          <w:rFonts w:cs="Times New Roman"/>
          <w:sz w:val="22"/>
        </w:rPr>
        <w:t xml:space="preserve">  </w:t>
      </w:r>
      <w:r w:rsidRPr="00CF51E3" w:rsidR="00D71650">
        <w:rPr>
          <w:rFonts w:cs="Times New Roman"/>
          <w:sz w:val="22"/>
        </w:rPr>
        <w:t xml:space="preserve">Richard Solberg (the “Debtor”) was indebted to Bremer Bank (the “Lender”) and the debt was secured by the farm equipment and crops of the Debtor.  </w:t>
      </w:r>
      <w:r w:rsidRPr="00CF51E3" w:rsidR="00493A13">
        <w:rPr>
          <w:rFonts w:cs="Times New Roman"/>
          <w:sz w:val="22"/>
        </w:rPr>
        <w:t>Zaitz Trust LLP (“</w:t>
      </w:r>
      <w:r w:rsidRPr="00CF51E3" w:rsidR="00D71650">
        <w:rPr>
          <w:rFonts w:cs="Times New Roman"/>
          <w:sz w:val="22"/>
        </w:rPr>
        <w:t>Landlord</w:t>
      </w:r>
      <w:r w:rsidRPr="00CF51E3" w:rsidR="00493A13">
        <w:rPr>
          <w:rFonts w:cs="Times New Roman"/>
          <w:sz w:val="22"/>
        </w:rPr>
        <w:t>”) owned and leased 3,277 acres to “Solber</w:t>
      </w:r>
      <w:r w:rsidRPr="00CF51E3" w:rsidR="00D71650">
        <w:rPr>
          <w:rFonts w:cs="Times New Roman"/>
          <w:sz w:val="22"/>
        </w:rPr>
        <w:t>g</w:t>
      </w:r>
      <w:r w:rsidRPr="00CF51E3" w:rsidR="00493A13">
        <w:rPr>
          <w:rFonts w:cs="Times New Roman"/>
          <w:sz w:val="22"/>
        </w:rPr>
        <w:t xml:space="preserve"> Farms – Rick Solberg” (the “Lease”).  </w:t>
      </w:r>
      <w:r w:rsidRPr="00CF51E3" w:rsidR="008C6515">
        <w:rPr>
          <w:rFonts w:cs="Times New Roman"/>
          <w:sz w:val="22"/>
        </w:rPr>
        <w:t xml:space="preserve">Solberg Farms </w:t>
      </w:r>
      <w:r w:rsidRPr="00CF51E3" w:rsidR="00493A13">
        <w:rPr>
          <w:rFonts w:cs="Times New Roman"/>
          <w:sz w:val="22"/>
        </w:rPr>
        <w:t xml:space="preserve">granted the </w:t>
      </w:r>
      <w:r w:rsidRPr="00CF51E3" w:rsidR="00D71650">
        <w:rPr>
          <w:rFonts w:cs="Times New Roman"/>
          <w:sz w:val="22"/>
        </w:rPr>
        <w:t xml:space="preserve">Landlord </w:t>
      </w:r>
      <w:r w:rsidRPr="00CF51E3" w:rsidR="00493A13">
        <w:rPr>
          <w:rFonts w:cs="Times New Roman"/>
          <w:sz w:val="22"/>
        </w:rPr>
        <w:t xml:space="preserve">a security interest in the crops grown on the leased cropland.  </w:t>
      </w:r>
      <w:r w:rsidRPr="00CF51E3" w:rsidR="00D71650">
        <w:rPr>
          <w:rFonts w:cs="Times New Roman"/>
          <w:sz w:val="22"/>
        </w:rPr>
        <w:t xml:space="preserve">The Debtor filed a Chapter 11 bankruptcy.  </w:t>
      </w:r>
      <w:r w:rsidRPr="00CF51E3" w:rsidR="008C6515">
        <w:rPr>
          <w:rFonts w:cs="Times New Roman"/>
          <w:sz w:val="22"/>
        </w:rPr>
        <w:t xml:space="preserve">The Landlord argued that the farming partnership owned the crop.  </w:t>
      </w:r>
      <w:r w:rsidRPr="00CF51E3" w:rsidR="00D71650">
        <w:rPr>
          <w:rFonts w:cs="Times New Roman"/>
          <w:sz w:val="22"/>
        </w:rPr>
        <w:t xml:space="preserve">The Lender argued the Debtor owned the crop and, therefore, the Lender had a priority security interest in the crop.  The Bankruptcy Court agreed and granted summary judgment.  The Landlord appealed and the </w:t>
      </w:r>
      <w:r w:rsidRPr="00CF51E3" w:rsidR="008C6515">
        <w:rPr>
          <w:rFonts w:cs="Times New Roman"/>
          <w:sz w:val="22"/>
        </w:rPr>
        <w:t>Bankrup</w:t>
      </w:r>
      <w:r w:rsidR="00C4169C">
        <w:rPr>
          <w:rFonts w:cs="Times New Roman"/>
          <w:sz w:val="22"/>
        </w:rPr>
        <w:t xml:space="preserve">tcy Appellate Panel held that </w:t>
      </w:r>
      <w:r w:rsidRPr="00CF51E3" w:rsidR="008C6515">
        <w:rPr>
          <w:rFonts w:cs="Times New Roman"/>
          <w:sz w:val="22"/>
        </w:rPr>
        <w:t xml:space="preserve">whether a farming partnership existed is a material question of fact and remanded the case back to the Bankruptcy Court.  </w:t>
      </w:r>
      <w:r w:rsidRPr="00CF51E3" w:rsidR="00493A13">
        <w:rPr>
          <w:rFonts w:cs="Times New Roman"/>
          <w:i/>
          <w:sz w:val="22"/>
        </w:rPr>
        <w:t>Zaitz Trust, LLP v. Bremer Bank (In re Solberg), 2019 WL 3806242 (BAP. 8</w:t>
      </w:r>
      <w:r w:rsidRPr="00CF51E3" w:rsidR="00493A13">
        <w:rPr>
          <w:rFonts w:cs="Times New Roman"/>
          <w:i/>
          <w:sz w:val="22"/>
          <w:vertAlign w:val="superscript"/>
        </w:rPr>
        <w:t>th</w:t>
      </w:r>
      <w:r w:rsidRPr="00CF51E3" w:rsidR="00493A13">
        <w:rPr>
          <w:rFonts w:cs="Times New Roman"/>
          <w:i/>
          <w:sz w:val="22"/>
        </w:rPr>
        <w:t xml:space="preserve"> Cir. 2019)</w:t>
      </w:r>
      <w:r w:rsidRPr="00CF51E3" w:rsidR="00D71650">
        <w:rPr>
          <w:rFonts w:cs="Times New Roman"/>
          <w:i/>
          <w:sz w:val="22"/>
        </w:rPr>
        <w:t>.</w:t>
      </w:r>
    </w:p>
    <w:p w:rsidR="003E6E37" w:rsidRPr="00CF51E3" w:rsidP="008454ED">
      <w:pPr>
        <w:jc w:val="both"/>
        <w:rPr>
          <w:rFonts w:cs="Times New Roman"/>
          <w:b/>
          <w:sz w:val="22"/>
        </w:rPr>
      </w:pPr>
    </w:p>
    <w:p w:rsidR="00B85801" w:rsidRPr="00CF51E3" w:rsidP="00ED544E">
      <w:pPr>
        <w:jc w:val="both"/>
        <w:rPr>
          <w:rFonts w:cs="Times New Roman"/>
          <w:b/>
          <w:sz w:val="22"/>
        </w:rPr>
      </w:pPr>
      <w:r w:rsidRPr="00CF51E3">
        <w:rPr>
          <w:rFonts w:cs="Times New Roman"/>
          <w:b/>
          <w:sz w:val="22"/>
        </w:rPr>
        <w:t>V.</w:t>
      </w:r>
      <w:r w:rsidRPr="00CF51E3" w:rsidR="00017026">
        <w:rPr>
          <w:rFonts w:cs="Times New Roman"/>
          <w:b/>
          <w:sz w:val="22"/>
        </w:rPr>
        <w:t xml:space="preserve">  </w:t>
      </w:r>
      <w:r w:rsidRPr="00CF51E3" w:rsidR="00B91A69">
        <w:rPr>
          <w:rFonts w:cs="Times New Roman"/>
          <w:b/>
          <w:sz w:val="22"/>
        </w:rPr>
        <w:tab/>
      </w:r>
      <w:r w:rsidRPr="00CF51E3">
        <w:rPr>
          <w:rFonts w:cs="Times New Roman"/>
          <w:b/>
          <w:sz w:val="22"/>
        </w:rPr>
        <w:t>BANKRUPTCY.</w:t>
      </w:r>
    </w:p>
    <w:p w:rsidR="00B85801" w:rsidRPr="00CF51E3" w:rsidP="00ED544E">
      <w:pPr>
        <w:jc w:val="both"/>
        <w:rPr>
          <w:rFonts w:cs="Times New Roman"/>
          <w:b/>
          <w:sz w:val="22"/>
        </w:rPr>
      </w:pPr>
    </w:p>
    <w:p w:rsidR="00017026" w:rsidRPr="00CF51E3" w:rsidP="00ED544E">
      <w:pPr>
        <w:pStyle w:val="ListParagraph"/>
        <w:numPr>
          <w:ilvl w:val="0"/>
          <w:numId w:val="15"/>
        </w:numPr>
        <w:spacing w:line="240" w:lineRule="auto"/>
        <w:jc w:val="both"/>
        <w:rPr>
          <w:rFonts w:ascii="Times New Roman" w:hAnsi="Times New Roman" w:cs="Times New Roman"/>
          <w:b/>
        </w:rPr>
      </w:pPr>
      <w:r w:rsidRPr="00CF51E3">
        <w:rPr>
          <w:rFonts w:ascii="Times New Roman" w:hAnsi="Times New Roman" w:cs="Times New Roman"/>
          <w:b/>
        </w:rPr>
        <w:tab/>
      </w:r>
      <w:r w:rsidRPr="00CF51E3" w:rsidR="006822C0">
        <w:rPr>
          <w:rFonts w:ascii="Times New Roman" w:hAnsi="Times New Roman" w:cs="Times New Roman"/>
          <w:b/>
        </w:rPr>
        <w:t xml:space="preserve">General. (11 U.S.C. </w:t>
      </w:r>
      <w:r w:rsidRPr="00CF51E3" w:rsidR="002B7480">
        <w:rPr>
          <w:rFonts w:ascii="Times New Roman" w:hAnsi="Times New Roman" w:cs="Times New Roman"/>
          <w:b/>
        </w:rPr>
        <w:t xml:space="preserve">§ </w:t>
      </w:r>
      <w:r w:rsidRPr="00CF51E3" w:rsidR="006822C0">
        <w:rPr>
          <w:rFonts w:ascii="Times New Roman" w:hAnsi="Times New Roman" w:cs="Times New Roman"/>
          <w:b/>
        </w:rPr>
        <w:t xml:space="preserve">101 </w:t>
      </w:r>
      <w:r w:rsidRPr="00CF51E3" w:rsidR="006822C0">
        <w:rPr>
          <w:rFonts w:ascii="Times New Roman" w:hAnsi="Times New Roman" w:cs="Times New Roman"/>
          <w:b/>
          <w:i/>
        </w:rPr>
        <w:t>et seq</w:t>
      </w:r>
      <w:r w:rsidRPr="00CF51E3" w:rsidR="006822C0">
        <w:rPr>
          <w:rFonts w:ascii="Times New Roman" w:hAnsi="Times New Roman" w:cs="Times New Roman"/>
          <w:b/>
        </w:rPr>
        <w:t>.).</w:t>
      </w:r>
    </w:p>
    <w:p w:rsidR="003C181B" w:rsidRPr="00CF51E3" w:rsidP="003C181B">
      <w:pPr>
        <w:jc w:val="both"/>
        <w:rPr>
          <w:rFonts w:cs="Times New Roman"/>
          <w:sz w:val="22"/>
        </w:rPr>
      </w:pPr>
      <w:r w:rsidRPr="00CF51E3">
        <w:rPr>
          <w:rFonts w:cs="Times New Roman"/>
          <w:b/>
          <w:sz w:val="22"/>
        </w:rPr>
        <w:tab/>
      </w:r>
      <w:r w:rsidRPr="00CF51E3">
        <w:rPr>
          <w:rFonts w:cs="Times New Roman"/>
          <w:sz w:val="22"/>
        </w:rPr>
        <w:t>No updates.</w:t>
      </w:r>
    </w:p>
    <w:p w:rsidR="00B85801" w:rsidRPr="00CF51E3" w:rsidP="00ED544E">
      <w:pPr>
        <w:pStyle w:val="ListParagraph"/>
        <w:spacing w:line="240" w:lineRule="auto"/>
        <w:jc w:val="both"/>
        <w:rPr>
          <w:rFonts w:ascii="Times New Roman" w:hAnsi="Times New Roman" w:cs="Times New Roman"/>
          <w:b/>
        </w:rPr>
      </w:pPr>
    </w:p>
    <w:p w:rsidR="00B30B68" w:rsidRPr="00CF51E3" w:rsidP="00B30B68">
      <w:pPr>
        <w:pStyle w:val="ListParagraph"/>
        <w:numPr>
          <w:ilvl w:val="0"/>
          <w:numId w:val="15"/>
        </w:numPr>
        <w:spacing w:line="240" w:lineRule="auto"/>
        <w:jc w:val="both"/>
        <w:rPr>
          <w:rFonts w:ascii="Times New Roman" w:hAnsi="Times New Roman" w:cs="Times New Roman"/>
          <w:b/>
        </w:rPr>
      </w:pPr>
      <w:r w:rsidRPr="00CF51E3">
        <w:rPr>
          <w:rFonts w:ascii="Times New Roman" w:hAnsi="Times New Roman" w:cs="Times New Roman"/>
          <w:b/>
        </w:rPr>
        <w:tab/>
      </w:r>
      <w:r w:rsidRPr="00CF51E3" w:rsidR="00017026">
        <w:rPr>
          <w:rFonts w:ascii="Times New Roman" w:hAnsi="Times New Roman" w:cs="Times New Roman"/>
          <w:b/>
        </w:rPr>
        <w:t>Case Administration</w:t>
      </w:r>
      <w:r w:rsidRPr="00CF51E3" w:rsidR="006822C0">
        <w:rPr>
          <w:rFonts w:ascii="Times New Roman" w:hAnsi="Times New Roman" w:cs="Times New Roman"/>
          <w:b/>
        </w:rPr>
        <w:t xml:space="preserve">. (11 U.S.C. </w:t>
      </w:r>
      <w:r w:rsidRPr="00CF51E3" w:rsidR="002B7480">
        <w:rPr>
          <w:rFonts w:ascii="Times New Roman" w:hAnsi="Times New Roman" w:cs="Times New Roman"/>
          <w:b/>
        </w:rPr>
        <w:t xml:space="preserve">§ </w:t>
      </w:r>
      <w:r w:rsidRPr="00CF51E3" w:rsidR="006822C0">
        <w:rPr>
          <w:rFonts w:ascii="Times New Roman" w:hAnsi="Times New Roman" w:cs="Times New Roman"/>
          <w:b/>
        </w:rPr>
        <w:t xml:space="preserve">301 </w:t>
      </w:r>
      <w:r w:rsidRPr="00CF51E3" w:rsidR="006822C0">
        <w:rPr>
          <w:rFonts w:ascii="Times New Roman" w:hAnsi="Times New Roman" w:cs="Times New Roman"/>
          <w:b/>
          <w:i/>
        </w:rPr>
        <w:t>et seq</w:t>
      </w:r>
      <w:r w:rsidRPr="00CF51E3" w:rsidR="006822C0">
        <w:rPr>
          <w:rFonts w:ascii="Times New Roman" w:hAnsi="Times New Roman" w:cs="Times New Roman"/>
          <w:b/>
        </w:rPr>
        <w:t>.).</w:t>
      </w:r>
    </w:p>
    <w:p w:rsidR="005F2DA6" w:rsidRPr="00CF51E3" w:rsidP="008C6515">
      <w:pPr>
        <w:ind w:left="720"/>
        <w:jc w:val="both"/>
        <w:rPr>
          <w:rFonts w:cs="Times New Roman"/>
          <w:sz w:val="22"/>
        </w:rPr>
      </w:pPr>
      <w:r w:rsidRPr="00CF51E3">
        <w:rPr>
          <w:rFonts w:cs="Times New Roman"/>
          <w:sz w:val="22"/>
        </w:rPr>
        <w:t>No updates.</w:t>
      </w:r>
    </w:p>
    <w:p w:rsidR="008C6515" w:rsidRPr="00CF51E3" w:rsidP="005F2DA6">
      <w:pPr>
        <w:pStyle w:val="ListParagraph"/>
        <w:spacing w:line="240" w:lineRule="auto"/>
        <w:ind w:left="1080"/>
        <w:jc w:val="both"/>
        <w:rPr>
          <w:rFonts w:ascii="Times New Roman" w:hAnsi="Times New Roman" w:cs="Times New Roman"/>
          <w:b/>
        </w:rPr>
      </w:pPr>
    </w:p>
    <w:p w:rsidR="003C181B" w:rsidRPr="00CF51E3" w:rsidP="003C181B">
      <w:pPr>
        <w:pStyle w:val="ListParagraph"/>
        <w:numPr>
          <w:ilvl w:val="0"/>
          <w:numId w:val="15"/>
        </w:numPr>
        <w:spacing w:line="240" w:lineRule="auto"/>
        <w:jc w:val="both"/>
        <w:rPr>
          <w:rFonts w:ascii="Times New Roman" w:hAnsi="Times New Roman" w:cs="Times New Roman"/>
          <w:b/>
        </w:rPr>
      </w:pPr>
      <w:r w:rsidRPr="00CF51E3">
        <w:rPr>
          <w:rFonts w:ascii="Times New Roman" w:hAnsi="Times New Roman" w:cs="Times New Roman"/>
          <w:b/>
        </w:rPr>
        <w:tab/>
      </w:r>
      <w:r w:rsidRPr="00CF51E3" w:rsidR="00850133">
        <w:rPr>
          <w:rFonts w:ascii="Times New Roman" w:hAnsi="Times New Roman" w:cs="Times New Roman"/>
          <w:b/>
        </w:rPr>
        <w:t xml:space="preserve">Creditors, Debtors and the </w:t>
      </w:r>
      <w:r w:rsidRPr="00CF51E3" w:rsidR="00017026">
        <w:rPr>
          <w:rFonts w:ascii="Times New Roman" w:hAnsi="Times New Roman" w:cs="Times New Roman"/>
          <w:b/>
        </w:rPr>
        <w:t>Bankruptcy Estate.</w:t>
      </w:r>
      <w:r w:rsidRPr="00CF51E3" w:rsidR="006822C0">
        <w:rPr>
          <w:rFonts w:ascii="Times New Roman" w:hAnsi="Times New Roman" w:cs="Times New Roman"/>
          <w:b/>
        </w:rPr>
        <w:t xml:space="preserve"> (11 U.S.C. </w:t>
      </w:r>
      <w:r w:rsidRPr="00CF51E3" w:rsidR="003F4A1F">
        <w:rPr>
          <w:rFonts w:ascii="Times New Roman" w:hAnsi="Times New Roman" w:cs="Times New Roman"/>
          <w:b/>
        </w:rPr>
        <w:t xml:space="preserve">§ </w:t>
      </w:r>
      <w:r w:rsidRPr="00CF51E3" w:rsidR="006822C0">
        <w:rPr>
          <w:rFonts w:ascii="Times New Roman" w:hAnsi="Times New Roman" w:cs="Times New Roman"/>
          <w:b/>
        </w:rPr>
        <w:t xml:space="preserve">501 </w:t>
      </w:r>
      <w:r w:rsidRPr="00CF51E3" w:rsidR="006822C0">
        <w:rPr>
          <w:rFonts w:ascii="Times New Roman" w:hAnsi="Times New Roman" w:cs="Times New Roman"/>
          <w:b/>
          <w:i/>
        </w:rPr>
        <w:t>et seq</w:t>
      </w:r>
      <w:r w:rsidRPr="00CF51E3" w:rsidR="006822C0">
        <w:rPr>
          <w:rFonts w:ascii="Times New Roman" w:hAnsi="Times New Roman" w:cs="Times New Roman"/>
          <w:b/>
        </w:rPr>
        <w:t>.).</w:t>
      </w:r>
    </w:p>
    <w:p w:rsidR="00694042" w:rsidRPr="00CF51E3" w:rsidP="00694042">
      <w:pPr>
        <w:jc w:val="both"/>
        <w:rPr>
          <w:rFonts w:cs="Times New Roman"/>
          <w:b/>
          <w:sz w:val="22"/>
        </w:rPr>
      </w:pPr>
    </w:p>
    <w:p w:rsidR="00694042" w:rsidRPr="00CF51E3" w:rsidP="00694042">
      <w:pPr>
        <w:spacing w:after="240"/>
        <w:ind w:left="1080"/>
        <w:jc w:val="both"/>
        <w:rPr>
          <w:rFonts w:eastAsia="Calibri" w:cs="Times New Roman"/>
          <w:b/>
          <w:sz w:val="22"/>
        </w:rPr>
      </w:pPr>
      <w:r w:rsidRPr="00CF51E3">
        <w:rPr>
          <w:rFonts w:eastAsia="Calibri" w:cs="Times New Roman"/>
          <w:b/>
          <w:sz w:val="22"/>
        </w:rPr>
        <w:t>1.</w:t>
      </w:r>
      <w:r w:rsidRPr="00CF51E3">
        <w:rPr>
          <w:rFonts w:eastAsia="Calibri" w:cs="Times New Roman"/>
          <w:b/>
          <w:sz w:val="22"/>
        </w:rPr>
        <w:tab/>
        <w:t xml:space="preserve">Discharge Injunction. (11 U.S.C. § 524).  </w:t>
      </w:r>
    </w:p>
    <w:p w:rsidR="00694042" w:rsidRPr="00CF51E3" w:rsidP="00694042">
      <w:pPr>
        <w:spacing w:after="240"/>
        <w:ind w:left="1080"/>
        <w:jc w:val="both"/>
        <w:rPr>
          <w:rFonts w:eastAsia="Calibri" w:cs="Times New Roman"/>
          <w:sz w:val="22"/>
        </w:rPr>
      </w:pPr>
      <w:r w:rsidRPr="00CF51E3">
        <w:rPr>
          <w:rFonts w:eastAsia="Calibri" w:cs="Times New Roman"/>
          <w:b/>
          <w:sz w:val="22"/>
        </w:rPr>
        <w:t>Violation of Discharge Injunction; Damages/Sanctions.</w:t>
      </w:r>
      <w:r w:rsidRPr="00CF51E3">
        <w:rPr>
          <w:rFonts w:eastAsia="Calibri" w:cs="Times New Roman"/>
          <w:sz w:val="22"/>
        </w:rPr>
        <w:t xml:space="preserve">  Brad and Brenda Stabler (the “Debtors”) were indebted to First State Bank of Roscoe (the “Lender”) and the debt was secured by crop land and farm equipment.  The Debtors filed a Chapter 7 bankruptcy and the discharge order was entered.  Upon entry of the discharge order, the Lender was entitled to foreclose its mortgage and replevin the farm equipment.  The amount owed to the Lender exceed</w:t>
      </w:r>
      <w:r w:rsidR="00C4169C">
        <w:rPr>
          <w:rFonts w:eastAsia="Calibri" w:cs="Times New Roman"/>
          <w:sz w:val="22"/>
        </w:rPr>
        <w:t>ed</w:t>
      </w:r>
      <w:r w:rsidRPr="00CF51E3">
        <w:rPr>
          <w:rFonts w:eastAsia="Calibri" w:cs="Times New Roman"/>
          <w:sz w:val="22"/>
        </w:rPr>
        <w:t xml:space="preserve"> the value of its collateral.  An agreement was reached in which the Debtors agreed to a new $650,000 promissory note </w:t>
      </w:r>
      <w:r w:rsidR="00C4169C">
        <w:rPr>
          <w:rFonts w:eastAsia="Calibri" w:cs="Times New Roman"/>
          <w:sz w:val="22"/>
        </w:rPr>
        <w:t>– an amount that exceeded</w:t>
      </w:r>
      <w:r w:rsidRPr="00CF51E3">
        <w:rPr>
          <w:rFonts w:eastAsia="Calibri" w:cs="Times New Roman"/>
          <w:sz w:val="22"/>
        </w:rPr>
        <w:t xml:space="preserve"> of the value of the collateral – leaving the Debtors with a potential deficiency if payment was not made.  The Debtors failed to make the new loan payments and the Lender commenced a state court foreclosure and replevin action – and asserted the right to collect any deficiency.  The Debtors argued that the actions of the Lender violated the bankruptcy discharge injunction.  The Lender argued that it acted in good faith and that the new promissory note was in consideration for the Lender not initially foreclosing its loan (e.g. a post-discharge forbearance agreement).  The state court disagreed, and the South Dakota Supreme Court affirmed, that the structure of the post-discharge transaction warranted the rescission of the $650,000 note and $142,908.27 in sanctions, but the Lender may enforce the loan against the Debtors.  </w:t>
      </w:r>
      <w:r w:rsidRPr="00CF51E3">
        <w:rPr>
          <w:rFonts w:eastAsia="Calibri" w:cs="Times New Roman"/>
          <w:i/>
          <w:sz w:val="22"/>
        </w:rPr>
        <w:t>Stabler v. First State Bank of Roscoe</w:t>
      </w:r>
      <w:r w:rsidRPr="00CF51E3">
        <w:rPr>
          <w:rFonts w:eastAsia="Calibri" w:cs="Times New Roman"/>
          <w:sz w:val="22"/>
        </w:rPr>
        <w:t>, 865 N.W.2d 466, 469 (S.D. 2015).  Not finished, the Debtors moved the bankruptcy court for its attorneys’ fees and sanction</w:t>
      </w:r>
      <w:r w:rsidR="00C4169C">
        <w:rPr>
          <w:rFonts w:eastAsia="Calibri" w:cs="Times New Roman"/>
          <w:sz w:val="22"/>
        </w:rPr>
        <w:t>s.  T</w:t>
      </w:r>
      <w:r w:rsidRPr="00CF51E3">
        <w:rPr>
          <w:rFonts w:eastAsia="Calibri" w:cs="Times New Roman"/>
          <w:sz w:val="22"/>
        </w:rPr>
        <w:t>he bankruptcy court imposed a $25,000 sanction on both parties and joint and several liability of $159,605.77 in legal fees.  On appeal, the 8</w:t>
      </w:r>
      <w:r w:rsidRPr="00CF51E3">
        <w:rPr>
          <w:rFonts w:eastAsia="Calibri" w:cs="Times New Roman"/>
          <w:sz w:val="22"/>
          <w:vertAlign w:val="superscript"/>
        </w:rPr>
        <w:t>th</w:t>
      </w:r>
      <w:r w:rsidRPr="00CF51E3">
        <w:rPr>
          <w:rFonts w:eastAsia="Calibri" w:cs="Times New Roman"/>
          <w:sz w:val="22"/>
        </w:rPr>
        <w:t xml:space="preserve"> Circuit affirmed and held that the structure of the post-discharge transaction, the loan officer’s participation in the bankruptcy, the post-discharge transaction and the demand for the deficiency demonstrated a lack of good faith and warranted a finding holding the Lender and its president in contempt for violating the discharge injunction and the bankruptcy court did not abuse its discretion in imposing sanctions and attorneys’ fees.  </w:t>
      </w:r>
      <w:r w:rsidRPr="00CF51E3">
        <w:rPr>
          <w:rFonts w:eastAsia="Calibri" w:cs="Times New Roman"/>
          <w:i/>
          <w:sz w:val="22"/>
        </w:rPr>
        <w:t>First State Bank of Roscoe v Stabler, 914 F.3d 1129 (8</w:t>
      </w:r>
      <w:r w:rsidRPr="00CF51E3">
        <w:rPr>
          <w:rFonts w:eastAsia="Calibri" w:cs="Times New Roman"/>
          <w:i/>
          <w:sz w:val="22"/>
          <w:vertAlign w:val="superscript"/>
        </w:rPr>
        <w:t>th</w:t>
      </w:r>
      <w:r w:rsidRPr="00CF51E3">
        <w:rPr>
          <w:rFonts w:eastAsia="Calibri" w:cs="Times New Roman"/>
          <w:i/>
          <w:sz w:val="22"/>
        </w:rPr>
        <w:t xml:space="preserve"> Cir. 2019).</w:t>
      </w:r>
    </w:p>
    <w:p w:rsidR="00694042" w:rsidRPr="00CF51E3" w:rsidP="003C181B">
      <w:pPr>
        <w:pStyle w:val="ListParagraph"/>
        <w:spacing w:line="240" w:lineRule="auto"/>
        <w:ind w:left="1080"/>
        <w:jc w:val="both"/>
        <w:rPr>
          <w:rFonts w:ascii="Times New Roman" w:hAnsi="Times New Roman" w:cs="Times New Roman"/>
          <w:b/>
        </w:rPr>
      </w:pPr>
    </w:p>
    <w:p w:rsidR="00EC593E" w:rsidRPr="00CF51E3" w:rsidP="00122594">
      <w:pPr>
        <w:spacing w:after="200" w:line="276" w:lineRule="auto"/>
        <w:rPr>
          <w:rFonts w:cs="Times New Roman"/>
          <w:b/>
        </w:rPr>
      </w:pPr>
      <w:r>
        <w:rPr>
          <w:rFonts w:cs="Times New Roman"/>
          <w:b/>
        </w:rPr>
        <w:br w:type="page"/>
      </w:r>
      <w:r w:rsidRPr="00CF51E3" w:rsidR="00694042">
        <w:rPr>
          <w:rFonts w:cs="Times New Roman"/>
          <w:b/>
        </w:rPr>
        <w:t>2</w:t>
      </w:r>
      <w:r w:rsidRPr="00CF51E3" w:rsidR="003C181B">
        <w:rPr>
          <w:rFonts w:cs="Times New Roman"/>
          <w:b/>
        </w:rPr>
        <w:t>.</w:t>
      </w:r>
      <w:r w:rsidRPr="00CF51E3" w:rsidR="003C181B">
        <w:rPr>
          <w:rFonts w:cs="Times New Roman"/>
          <w:b/>
        </w:rPr>
        <w:tab/>
      </w:r>
      <w:r w:rsidRPr="00CF51E3" w:rsidR="00850133">
        <w:rPr>
          <w:rFonts w:cs="Times New Roman"/>
          <w:b/>
        </w:rPr>
        <w:t>Non-dischargeability actions.</w:t>
      </w:r>
      <w:r w:rsidRPr="00CF51E3" w:rsidR="00A94313">
        <w:rPr>
          <w:rFonts w:cs="Times New Roman"/>
          <w:b/>
        </w:rPr>
        <w:t xml:space="preserve">  (11 U.S.C</w:t>
      </w:r>
      <w:r w:rsidR="004C534A">
        <w:rPr>
          <w:rFonts w:cs="Times New Roman"/>
          <w:b/>
        </w:rPr>
        <w:t>.</w:t>
      </w:r>
      <w:r w:rsidRPr="00CF51E3" w:rsidR="00A94313">
        <w:rPr>
          <w:rFonts w:cs="Times New Roman"/>
          <w:b/>
        </w:rPr>
        <w:t xml:space="preserve"> § 523)</w:t>
      </w:r>
    </w:p>
    <w:p w:rsidR="005F2DA6" w:rsidRPr="00CF51E3" w:rsidP="00CF51E3">
      <w:pPr>
        <w:ind w:left="1080"/>
        <w:jc w:val="both"/>
        <w:rPr>
          <w:rFonts w:eastAsia="Calibri" w:cs="Times New Roman"/>
          <w:b/>
          <w:i/>
          <w:sz w:val="22"/>
        </w:rPr>
      </w:pPr>
      <w:r>
        <w:rPr>
          <w:rFonts w:eastAsia="Calibri" w:cs="Times New Roman"/>
          <w:b/>
          <w:sz w:val="22"/>
        </w:rPr>
        <w:t>a.</w:t>
      </w:r>
      <w:r>
        <w:rPr>
          <w:rFonts w:eastAsia="Calibri" w:cs="Times New Roman"/>
          <w:b/>
          <w:sz w:val="22"/>
        </w:rPr>
        <w:tab/>
      </w:r>
      <w:r w:rsidRPr="00CF51E3" w:rsidR="009C4B6F">
        <w:rPr>
          <w:rFonts w:eastAsia="Calibri" w:cs="Times New Roman"/>
          <w:b/>
          <w:sz w:val="22"/>
        </w:rPr>
        <w:t xml:space="preserve">PACA </w:t>
      </w:r>
      <w:r w:rsidRPr="00CF51E3" w:rsidR="008C6515">
        <w:rPr>
          <w:rFonts w:eastAsia="Calibri" w:cs="Times New Roman"/>
          <w:b/>
          <w:sz w:val="22"/>
        </w:rPr>
        <w:t>t</w:t>
      </w:r>
      <w:r w:rsidRPr="00CF51E3" w:rsidR="009C4B6F">
        <w:rPr>
          <w:rFonts w:eastAsia="Calibri" w:cs="Times New Roman"/>
          <w:b/>
          <w:sz w:val="22"/>
        </w:rPr>
        <w:t xml:space="preserve">rust </w:t>
      </w:r>
      <w:r w:rsidRPr="00CF51E3" w:rsidR="008C6515">
        <w:rPr>
          <w:rFonts w:eastAsia="Calibri" w:cs="Times New Roman"/>
          <w:b/>
          <w:sz w:val="22"/>
        </w:rPr>
        <w:t>claim as to p</w:t>
      </w:r>
      <w:r w:rsidRPr="00CF51E3" w:rsidR="009C4B6F">
        <w:rPr>
          <w:rFonts w:eastAsia="Calibri" w:cs="Times New Roman"/>
          <w:b/>
          <w:sz w:val="22"/>
        </w:rPr>
        <w:t xml:space="preserve">rincipals of PACA Buyer are </w:t>
      </w:r>
      <w:r w:rsidRPr="00CF51E3" w:rsidR="008C6515">
        <w:rPr>
          <w:rFonts w:eastAsia="Calibri" w:cs="Times New Roman"/>
          <w:b/>
          <w:sz w:val="22"/>
        </w:rPr>
        <w:t>d</w:t>
      </w:r>
      <w:r w:rsidRPr="00CF51E3" w:rsidR="009C4B6F">
        <w:rPr>
          <w:rFonts w:eastAsia="Calibri" w:cs="Times New Roman"/>
          <w:b/>
          <w:sz w:val="22"/>
        </w:rPr>
        <w:t>ischargeable.</w:t>
      </w:r>
      <w:r w:rsidRPr="00CF51E3" w:rsidR="009C4B6F">
        <w:rPr>
          <w:rFonts w:eastAsia="Calibri" w:cs="Times New Roman"/>
          <w:sz w:val="22"/>
        </w:rPr>
        <w:t xml:space="preserve">  </w:t>
      </w:r>
      <w:r w:rsidRPr="00CF51E3">
        <w:rPr>
          <w:rFonts w:eastAsia="Calibri" w:cs="Times New Roman"/>
          <w:sz w:val="22"/>
        </w:rPr>
        <w:t>Robert Anthony Arthur and Kalaivani Arthur (</w:t>
      </w:r>
      <w:r w:rsidRPr="00CF51E3" w:rsidR="009C4B6F">
        <w:rPr>
          <w:rFonts w:eastAsia="Calibri" w:cs="Times New Roman"/>
          <w:sz w:val="22"/>
        </w:rPr>
        <w:t>“Debtors”</w:t>
      </w:r>
      <w:r w:rsidRPr="00CF51E3">
        <w:rPr>
          <w:rFonts w:eastAsia="Calibri" w:cs="Times New Roman"/>
          <w:sz w:val="22"/>
        </w:rPr>
        <w:t>) owned and operated Sunrise International, LLC</w:t>
      </w:r>
      <w:r w:rsidRPr="00CF51E3" w:rsidR="009C4B6F">
        <w:rPr>
          <w:rFonts w:eastAsia="Calibri" w:cs="Times New Roman"/>
          <w:sz w:val="22"/>
        </w:rPr>
        <w:t xml:space="preserve"> (“Sunrise”)</w:t>
      </w:r>
      <w:r w:rsidRPr="00CF51E3">
        <w:rPr>
          <w:rFonts w:eastAsia="Calibri" w:cs="Times New Roman"/>
          <w:sz w:val="22"/>
        </w:rPr>
        <w:t xml:space="preserve">. </w:t>
      </w:r>
      <w:r w:rsidRPr="00CF51E3" w:rsidR="009C4B6F">
        <w:rPr>
          <w:rFonts w:eastAsia="Calibri" w:cs="Times New Roman"/>
          <w:sz w:val="22"/>
        </w:rPr>
        <w:t xml:space="preserve"> </w:t>
      </w:r>
      <w:r w:rsidRPr="00CF51E3">
        <w:rPr>
          <w:rFonts w:eastAsia="Calibri" w:cs="Times New Roman"/>
          <w:sz w:val="22"/>
        </w:rPr>
        <w:t>Sunrise purchased and sold wholesale produce under the trade name Sunrise Fresh Produce.</w:t>
      </w:r>
      <w:r w:rsidRPr="00CF51E3" w:rsidR="009C4B6F">
        <w:rPr>
          <w:rFonts w:eastAsia="Calibri" w:cs="Times New Roman"/>
          <w:sz w:val="22"/>
        </w:rPr>
        <w:t xml:space="preserve">  </w:t>
      </w:r>
      <w:r w:rsidRPr="00CF51E3" w:rsidR="008C6515">
        <w:rPr>
          <w:rFonts w:eastAsia="Calibri" w:cs="Times New Roman"/>
          <w:sz w:val="22"/>
        </w:rPr>
        <w:t xml:space="preserve">Coosemans Miami, Inc. </w:t>
      </w:r>
      <w:r w:rsidRPr="00CF51E3" w:rsidR="009C4B6F">
        <w:rPr>
          <w:rFonts w:eastAsia="Calibri" w:cs="Times New Roman"/>
          <w:sz w:val="22"/>
        </w:rPr>
        <w:t xml:space="preserve">(“Supplier”) sold produce to Sunrise on credit.  Sunrise and the Debtors filed Chapter 7 bankruptcy petitions. </w:t>
      </w:r>
      <w:r w:rsidRPr="00CF51E3" w:rsidR="008C6515">
        <w:rPr>
          <w:rFonts w:eastAsia="Calibri" w:cs="Times New Roman"/>
          <w:sz w:val="22"/>
        </w:rPr>
        <w:t xml:space="preserve">The Supplier </w:t>
      </w:r>
      <w:r w:rsidRPr="00CF51E3" w:rsidR="009C4B6F">
        <w:rPr>
          <w:rFonts w:eastAsia="Calibri" w:cs="Times New Roman"/>
          <w:sz w:val="22"/>
        </w:rPr>
        <w:t xml:space="preserve">filed an non-dischargeability complaint under U.S.C.A. 11 USC </w:t>
      </w:r>
      <w:r w:rsidRPr="00CF51E3" w:rsidR="008C6515">
        <w:rPr>
          <w:rFonts w:eastAsia="Calibri" w:cs="Times New Roman"/>
          <w:sz w:val="22"/>
        </w:rPr>
        <w:t>§</w:t>
      </w:r>
      <w:r w:rsidRPr="00CF51E3" w:rsidR="009C4B6F">
        <w:rPr>
          <w:rFonts w:eastAsia="Calibri" w:cs="Times New Roman"/>
          <w:sz w:val="22"/>
        </w:rPr>
        <w:t xml:space="preserve">523(a)(4) for breach of fiduciary duties </w:t>
      </w:r>
      <w:r w:rsidRPr="00CF51E3">
        <w:rPr>
          <w:rFonts w:eastAsia="Calibri" w:cs="Times New Roman"/>
          <w:sz w:val="22"/>
        </w:rPr>
        <w:t xml:space="preserve">alleging violations under </w:t>
      </w:r>
      <w:r w:rsidRPr="00CF51E3" w:rsidR="008C6515">
        <w:rPr>
          <w:rFonts w:eastAsia="Calibri" w:cs="Times New Roman"/>
          <w:sz w:val="22"/>
        </w:rPr>
        <w:t xml:space="preserve">the Perishable Agricultural Commodities Act, 7 U.S.C. §499 et seq. (“PACA”).  The </w:t>
      </w:r>
      <w:r w:rsidRPr="00CF51E3" w:rsidR="009C4B6F">
        <w:rPr>
          <w:rFonts w:eastAsia="Calibri" w:cs="Times New Roman"/>
          <w:sz w:val="22"/>
        </w:rPr>
        <w:t xml:space="preserve">Supplier </w:t>
      </w:r>
      <w:r w:rsidRPr="00CF51E3">
        <w:rPr>
          <w:rFonts w:eastAsia="Calibri" w:cs="Times New Roman"/>
          <w:sz w:val="22"/>
        </w:rPr>
        <w:t>argue</w:t>
      </w:r>
      <w:r w:rsidR="00C4169C">
        <w:rPr>
          <w:rFonts w:eastAsia="Calibri" w:cs="Times New Roman"/>
          <w:sz w:val="22"/>
        </w:rPr>
        <w:t>d</w:t>
      </w:r>
      <w:r w:rsidRPr="00CF51E3">
        <w:rPr>
          <w:rFonts w:eastAsia="Calibri" w:cs="Times New Roman"/>
          <w:sz w:val="22"/>
        </w:rPr>
        <w:t xml:space="preserve"> that, as trustees of a PACA trust, the </w:t>
      </w:r>
      <w:r w:rsidRPr="00CF51E3" w:rsidR="009C4B6F">
        <w:rPr>
          <w:rFonts w:eastAsia="Calibri" w:cs="Times New Roman"/>
          <w:sz w:val="22"/>
        </w:rPr>
        <w:t xml:space="preserve">Debtors </w:t>
      </w:r>
      <w:r w:rsidRPr="00CF51E3">
        <w:rPr>
          <w:rFonts w:eastAsia="Calibri" w:cs="Times New Roman"/>
          <w:sz w:val="22"/>
        </w:rPr>
        <w:t xml:space="preserve">defalcated while acting in a fiduciary capacity by causing Sunrise to default on payments due. </w:t>
      </w:r>
      <w:r w:rsidRPr="00CF51E3" w:rsidR="009C4B6F">
        <w:rPr>
          <w:rFonts w:eastAsia="Calibri" w:cs="Times New Roman"/>
          <w:sz w:val="22"/>
        </w:rPr>
        <w:t xml:space="preserve"> The Debtors argued that </w:t>
      </w:r>
      <w:r w:rsidRPr="00CF51E3">
        <w:rPr>
          <w:rFonts w:eastAsia="Calibri" w:cs="Times New Roman"/>
          <w:sz w:val="22"/>
        </w:rPr>
        <w:t xml:space="preserve">a PACA trust </w:t>
      </w:r>
      <w:r w:rsidRPr="00CF51E3" w:rsidR="009C4B6F">
        <w:rPr>
          <w:rFonts w:eastAsia="Calibri" w:cs="Times New Roman"/>
          <w:sz w:val="22"/>
        </w:rPr>
        <w:t xml:space="preserve">claim is not </w:t>
      </w:r>
      <w:r w:rsidRPr="00CF51E3">
        <w:rPr>
          <w:rFonts w:eastAsia="Calibri" w:cs="Times New Roman"/>
          <w:sz w:val="22"/>
        </w:rPr>
        <w:t xml:space="preserve">actionable </w:t>
      </w:r>
      <w:r w:rsidRPr="00CF51E3" w:rsidR="009C4B6F">
        <w:rPr>
          <w:rFonts w:eastAsia="Calibri" w:cs="Times New Roman"/>
          <w:sz w:val="22"/>
        </w:rPr>
        <w:t>un</w:t>
      </w:r>
      <w:r w:rsidRPr="00CF51E3">
        <w:rPr>
          <w:rFonts w:eastAsia="Calibri" w:cs="Times New Roman"/>
          <w:sz w:val="22"/>
        </w:rPr>
        <w:t xml:space="preserve">der section </w:t>
      </w:r>
      <w:r w:rsidRPr="00CF51E3" w:rsidR="008C6515">
        <w:rPr>
          <w:rFonts w:eastAsia="Calibri" w:cs="Times New Roman"/>
          <w:sz w:val="22"/>
        </w:rPr>
        <w:t>§</w:t>
      </w:r>
      <w:r w:rsidRPr="00CF51E3">
        <w:rPr>
          <w:rFonts w:eastAsia="Calibri" w:cs="Times New Roman"/>
          <w:sz w:val="22"/>
        </w:rPr>
        <w:t xml:space="preserve">523(a)(4). </w:t>
      </w:r>
      <w:r w:rsidRPr="00CF51E3" w:rsidR="009C4B6F">
        <w:rPr>
          <w:rFonts w:eastAsia="Calibri" w:cs="Times New Roman"/>
          <w:sz w:val="22"/>
        </w:rPr>
        <w:t xml:space="preserve"> The Court agreed and held that a </w:t>
      </w:r>
      <w:r w:rsidRPr="00CF51E3">
        <w:rPr>
          <w:rFonts w:eastAsia="Calibri" w:cs="Times New Roman"/>
          <w:sz w:val="22"/>
        </w:rPr>
        <w:t xml:space="preserve">PACA trust does not satisfy the requirements for two reasons: (1) </w:t>
      </w:r>
      <w:r w:rsidRPr="00CF51E3" w:rsidR="008C6515">
        <w:rPr>
          <w:rFonts w:eastAsia="Calibri" w:cs="Times New Roman"/>
          <w:sz w:val="22"/>
        </w:rPr>
        <w:t xml:space="preserve">the PACA trust </w:t>
      </w:r>
      <w:r w:rsidRPr="00CF51E3">
        <w:rPr>
          <w:rFonts w:eastAsia="Calibri" w:cs="Times New Roman"/>
          <w:sz w:val="22"/>
        </w:rPr>
        <w:t xml:space="preserve">does not require segregation of assets unless and until a court orders it; and (2) the </w:t>
      </w:r>
      <w:r w:rsidRPr="00CF51E3" w:rsidR="008C6515">
        <w:rPr>
          <w:rFonts w:eastAsia="Calibri" w:cs="Times New Roman"/>
          <w:sz w:val="22"/>
        </w:rPr>
        <w:t xml:space="preserve">PACA </w:t>
      </w:r>
      <w:r w:rsidRPr="00CF51E3">
        <w:rPr>
          <w:rFonts w:eastAsia="Calibri" w:cs="Times New Roman"/>
          <w:sz w:val="22"/>
        </w:rPr>
        <w:t>trust assets may be used for non-trust purposes. To that end, a PACA trust is not a “technical trust,” which is required to place a debtor in a fiduciary capacity to a creditor.</w:t>
      </w:r>
      <w:r w:rsidRPr="00CF51E3">
        <w:rPr>
          <w:rFonts w:eastAsia="Calibri" w:cs="Times New Roman"/>
          <w:b/>
          <w:i/>
          <w:sz w:val="22"/>
        </w:rPr>
        <w:t xml:space="preserve"> </w:t>
      </w:r>
      <w:r w:rsidRPr="00CF51E3">
        <w:rPr>
          <w:rFonts w:eastAsia="Calibri" w:cs="Times New Roman"/>
          <w:i/>
          <w:sz w:val="22"/>
        </w:rPr>
        <w:t>In re Arthur, 589 B.R. 761 (</w:t>
      </w:r>
      <w:r w:rsidRPr="00CF51E3" w:rsidR="00450E8D">
        <w:rPr>
          <w:rFonts w:eastAsia="Calibri" w:cs="Times New Roman"/>
          <w:i/>
          <w:sz w:val="22"/>
        </w:rPr>
        <w:t>Bankr. S.D. Fla.</w:t>
      </w:r>
      <w:r w:rsidRPr="00CF51E3" w:rsidR="009C4B6F">
        <w:rPr>
          <w:rFonts w:eastAsia="Calibri" w:cs="Times New Roman"/>
          <w:i/>
          <w:sz w:val="22"/>
        </w:rPr>
        <w:t xml:space="preserve"> </w:t>
      </w:r>
      <w:r w:rsidRPr="00CF51E3">
        <w:rPr>
          <w:rFonts w:eastAsia="Calibri" w:cs="Times New Roman"/>
          <w:i/>
          <w:sz w:val="22"/>
        </w:rPr>
        <w:t>2018)</w:t>
      </w:r>
      <w:r w:rsidRPr="00CF51E3" w:rsidR="009C4B6F">
        <w:rPr>
          <w:rFonts w:eastAsia="Calibri" w:cs="Times New Roman"/>
          <w:i/>
          <w:sz w:val="22"/>
        </w:rPr>
        <w:t>.</w:t>
      </w:r>
    </w:p>
    <w:p w:rsidR="009C4B6F" w:rsidRPr="00CF51E3" w:rsidP="00CF51E3">
      <w:pPr>
        <w:ind w:left="1440"/>
        <w:jc w:val="both"/>
        <w:rPr>
          <w:rFonts w:eastAsia="Calibri" w:cs="Times New Roman"/>
          <w:b/>
          <w:i/>
          <w:sz w:val="22"/>
        </w:rPr>
      </w:pPr>
    </w:p>
    <w:p w:rsidR="009C4B6F" w:rsidRPr="00CF51E3" w:rsidP="00CF51E3">
      <w:pPr>
        <w:ind w:left="1440"/>
        <w:jc w:val="both"/>
        <w:rPr>
          <w:rFonts w:eastAsia="Calibri" w:cs="Times New Roman"/>
          <w:i/>
          <w:sz w:val="22"/>
        </w:rPr>
      </w:pPr>
      <w:r w:rsidRPr="00CF51E3">
        <w:rPr>
          <w:rFonts w:eastAsia="Calibri" w:cs="Times New Roman"/>
          <w:i/>
          <w:sz w:val="22"/>
        </w:rPr>
        <w:t>Comment.  This is inconsistent with earlier case</w:t>
      </w:r>
      <w:r w:rsidRPr="00CF51E3" w:rsidR="008C6515">
        <w:rPr>
          <w:rFonts w:eastAsia="Calibri" w:cs="Times New Roman"/>
          <w:i/>
          <w:sz w:val="22"/>
        </w:rPr>
        <w:t xml:space="preserve"> summarized in 2016.  H. Brooks &amp; Company, LLC v. Yerges (In re Yerges), 512 B.R. 916 (Bankr. W.D. Wis. 2014) held that a PACA trust claim was non-dischargeable </w:t>
      </w:r>
      <w:r w:rsidRPr="00CF51E3" w:rsidR="00B71236">
        <w:rPr>
          <w:rFonts w:eastAsia="Calibri" w:cs="Times New Roman"/>
          <w:i/>
          <w:sz w:val="22"/>
        </w:rPr>
        <w:t xml:space="preserve">under §523(a)(4) </w:t>
      </w:r>
      <w:r w:rsidRPr="00CF51E3" w:rsidR="008C6515">
        <w:rPr>
          <w:rFonts w:eastAsia="Calibri" w:cs="Times New Roman"/>
          <w:i/>
          <w:sz w:val="22"/>
        </w:rPr>
        <w:t>as to the principals of the produce seller on the basis that: (1) a fiduciary relationship existed between the parties when the debt occurred and (2) the debt was created by fraud or defalcation</w:t>
      </w:r>
      <w:r w:rsidRPr="00CF51E3">
        <w:rPr>
          <w:rFonts w:eastAsia="Calibri" w:cs="Times New Roman"/>
          <w:i/>
          <w:sz w:val="22"/>
        </w:rPr>
        <w:t>.</w:t>
      </w:r>
    </w:p>
    <w:p w:rsidR="00546EB8" w:rsidRPr="00CF51E3" w:rsidP="00CF51E3">
      <w:pPr>
        <w:ind w:left="1800"/>
        <w:jc w:val="both"/>
        <w:rPr>
          <w:sz w:val="22"/>
        </w:rPr>
      </w:pPr>
    </w:p>
    <w:p w:rsidR="006822C0" w:rsidRPr="00CF51E3" w:rsidP="00CF51E3">
      <w:pPr>
        <w:ind w:left="1080"/>
        <w:jc w:val="both"/>
        <w:rPr>
          <w:rFonts w:cs="Times New Roman"/>
          <w:sz w:val="22"/>
        </w:rPr>
      </w:pPr>
      <w:r>
        <w:rPr>
          <w:rFonts w:cs="Times New Roman"/>
          <w:b/>
          <w:sz w:val="22"/>
        </w:rPr>
        <w:t>b.</w:t>
      </w:r>
      <w:r>
        <w:rPr>
          <w:rFonts w:cs="Times New Roman"/>
          <w:b/>
          <w:sz w:val="22"/>
        </w:rPr>
        <w:tab/>
      </w:r>
      <w:r w:rsidRPr="00CF51E3" w:rsidR="00FB4AE4">
        <w:rPr>
          <w:rFonts w:cs="Times New Roman"/>
          <w:b/>
          <w:sz w:val="22"/>
        </w:rPr>
        <w:t xml:space="preserve">Sale of </w:t>
      </w:r>
      <w:r w:rsidRPr="00CF51E3" w:rsidR="00B71236">
        <w:rPr>
          <w:rFonts w:cs="Times New Roman"/>
          <w:b/>
          <w:sz w:val="22"/>
        </w:rPr>
        <w:t>farm e</w:t>
      </w:r>
      <w:r w:rsidRPr="00CF51E3" w:rsidR="00FB4AE4">
        <w:rPr>
          <w:rFonts w:cs="Times New Roman"/>
          <w:b/>
          <w:sz w:val="22"/>
        </w:rPr>
        <w:t xml:space="preserve">quipment without consent of </w:t>
      </w:r>
      <w:r w:rsidRPr="00CF51E3" w:rsidR="00B71236">
        <w:rPr>
          <w:rFonts w:cs="Times New Roman"/>
          <w:b/>
          <w:sz w:val="22"/>
        </w:rPr>
        <w:t>secured creditor may be n</w:t>
      </w:r>
      <w:r w:rsidRPr="00CF51E3" w:rsidR="00FB4AE4">
        <w:rPr>
          <w:rFonts w:cs="Times New Roman"/>
          <w:b/>
          <w:sz w:val="22"/>
        </w:rPr>
        <w:t>on-</w:t>
      </w:r>
      <w:r w:rsidRPr="00CF51E3" w:rsidR="00B71236">
        <w:rPr>
          <w:rFonts w:cs="Times New Roman"/>
          <w:b/>
          <w:sz w:val="22"/>
        </w:rPr>
        <w:t>d</w:t>
      </w:r>
      <w:r w:rsidRPr="00CF51E3" w:rsidR="00FB4AE4">
        <w:rPr>
          <w:rFonts w:cs="Times New Roman"/>
          <w:b/>
          <w:sz w:val="22"/>
        </w:rPr>
        <w:t xml:space="preserve">ischargeable under 11 U.S.C. </w:t>
      </w:r>
      <w:r w:rsidRPr="00CF51E3" w:rsidR="00B71236">
        <w:rPr>
          <w:rFonts w:cs="Times New Roman"/>
          <w:b/>
          <w:sz w:val="22"/>
        </w:rPr>
        <w:t>§524(a)(6)</w:t>
      </w:r>
      <w:r w:rsidRPr="00CF51E3" w:rsidR="00FB4AE4">
        <w:rPr>
          <w:rFonts w:cs="Times New Roman"/>
          <w:b/>
          <w:sz w:val="22"/>
        </w:rPr>
        <w:t>.</w:t>
      </w:r>
      <w:r w:rsidRPr="00CF51E3" w:rsidR="00FB4AE4">
        <w:rPr>
          <w:rFonts w:cs="Times New Roman"/>
          <w:sz w:val="22"/>
        </w:rPr>
        <w:t xml:space="preserve">  </w:t>
      </w:r>
      <w:r w:rsidRPr="00CF51E3" w:rsidR="00B71236">
        <w:rPr>
          <w:rFonts w:cs="Times New Roman"/>
          <w:sz w:val="22"/>
        </w:rPr>
        <w:t xml:space="preserve">Patricia Reid </w:t>
      </w:r>
      <w:r w:rsidRPr="00CF51E3" w:rsidR="009C4B6F">
        <w:rPr>
          <w:rFonts w:cs="Times New Roman"/>
          <w:sz w:val="22"/>
        </w:rPr>
        <w:t>(“</w:t>
      </w:r>
      <w:r w:rsidRPr="00CF51E3" w:rsidR="005F2DA6">
        <w:rPr>
          <w:rFonts w:cs="Times New Roman"/>
          <w:sz w:val="22"/>
        </w:rPr>
        <w:t>Debtor</w:t>
      </w:r>
      <w:r w:rsidRPr="00CF51E3" w:rsidR="009C4B6F">
        <w:rPr>
          <w:rFonts w:cs="Times New Roman"/>
          <w:sz w:val="22"/>
        </w:rPr>
        <w:t xml:space="preserve">”) was indebted to FSA and the debt was secured by all of the Debtor’s farm equipment.  </w:t>
      </w:r>
      <w:r w:rsidR="004C534A">
        <w:rPr>
          <w:rFonts w:cs="Times New Roman"/>
          <w:sz w:val="22"/>
        </w:rPr>
        <w:t>C</w:t>
      </w:r>
      <w:r w:rsidRPr="00CF51E3" w:rsidR="00B71236">
        <w:rPr>
          <w:rFonts w:cs="Times New Roman"/>
          <w:sz w:val="22"/>
        </w:rPr>
        <w:t>ertain f</w:t>
      </w:r>
      <w:r w:rsidRPr="00CF51E3" w:rsidR="00FB4AE4">
        <w:rPr>
          <w:rFonts w:cs="Times New Roman"/>
          <w:sz w:val="22"/>
        </w:rPr>
        <w:t>arm equipment</w:t>
      </w:r>
      <w:r w:rsidR="004C534A">
        <w:rPr>
          <w:rFonts w:cs="Times New Roman"/>
          <w:sz w:val="22"/>
        </w:rPr>
        <w:t xml:space="preserve"> was sold</w:t>
      </w:r>
      <w:r w:rsidRPr="00CF51E3" w:rsidR="00FB4AE4">
        <w:rPr>
          <w:rFonts w:cs="Times New Roman"/>
          <w:sz w:val="22"/>
        </w:rPr>
        <w:t xml:space="preserve"> without the consent of FSA – including farm equipment sold by the Debtor’s boyfriend.  The Debtor filed a Chapter </w:t>
      </w:r>
      <w:r w:rsidRPr="00CF51E3" w:rsidR="00B71236">
        <w:rPr>
          <w:rFonts w:cs="Times New Roman"/>
          <w:sz w:val="22"/>
        </w:rPr>
        <w:t>7</w:t>
      </w:r>
      <w:r w:rsidRPr="00CF51E3" w:rsidR="00FB4AE4">
        <w:rPr>
          <w:rFonts w:cs="Times New Roman"/>
          <w:sz w:val="22"/>
        </w:rPr>
        <w:t xml:space="preserve"> bankruptcy.  FSA commenced a legal action for a determination that the debt owed to FSA was non-dischargeble under 11 U.S.C. </w:t>
      </w:r>
      <w:r w:rsidRPr="00CF51E3" w:rsidR="00B71236">
        <w:rPr>
          <w:rFonts w:cs="Times New Roman"/>
          <w:sz w:val="22"/>
        </w:rPr>
        <w:t>§524(a)(6)</w:t>
      </w:r>
      <w:r w:rsidRPr="00CF51E3" w:rsidR="00FB4AE4">
        <w:rPr>
          <w:rFonts w:cs="Times New Roman"/>
          <w:sz w:val="22"/>
        </w:rPr>
        <w:t xml:space="preserve"> because of the sale of farm equipment </w:t>
      </w:r>
      <w:r w:rsidRPr="00CF51E3" w:rsidR="00B71236">
        <w:rPr>
          <w:rFonts w:cs="Times New Roman"/>
          <w:sz w:val="22"/>
        </w:rPr>
        <w:t xml:space="preserve">was </w:t>
      </w:r>
      <w:r w:rsidRPr="00CF51E3" w:rsidR="00FB4AE4">
        <w:rPr>
          <w:rFonts w:cs="Times New Roman"/>
          <w:sz w:val="22"/>
        </w:rPr>
        <w:t>without the consent of FSA</w:t>
      </w:r>
      <w:r w:rsidRPr="00CF51E3" w:rsidR="00B71236">
        <w:rPr>
          <w:rFonts w:cs="Times New Roman"/>
          <w:sz w:val="22"/>
        </w:rPr>
        <w:t xml:space="preserve"> and caused willful and malicious injury to FSA</w:t>
      </w:r>
      <w:r w:rsidRPr="00CF51E3" w:rsidR="00FB4AE4">
        <w:rPr>
          <w:rFonts w:cs="Times New Roman"/>
          <w:sz w:val="22"/>
        </w:rPr>
        <w:t xml:space="preserve">.  The Debtor argued that </w:t>
      </w:r>
      <w:r w:rsidRPr="00CF51E3" w:rsidR="005F2DA6">
        <w:rPr>
          <w:rFonts w:cs="Times New Roman"/>
          <w:sz w:val="22"/>
        </w:rPr>
        <w:t>she lacked the requisite intent to harm the FSA</w:t>
      </w:r>
      <w:r w:rsidRPr="00CF51E3" w:rsidR="00FB4AE4">
        <w:rPr>
          <w:rFonts w:cs="Times New Roman"/>
          <w:sz w:val="22"/>
        </w:rPr>
        <w:t xml:space="preserve"> under </w:t>
      </w:r>
      <w:r w:rsidRPr="00CF51E3" w:rsidR="00B71236">
        <w:rPr>
          <w:rFonts w:cs="Times New Roman"/>
          <w:sz w:val="22"/>
        </w:rPr>
        <w:t>11 U.S.C. §524(a)(6)</w:t>
      </w:r>
      <w:r w:rsidRPr="00CF51E3" w:rsidR="00FB4AE4">
        <w:rPr>
          <w:rFonts w:cs="Times New Roman"/>
          <w:sz w:val="22"/>
        </w:rPr>
        <w:t xml:space="preserve">.  The Court </w:t>
      </w:r>
      <w:r w:rsidRPr="00CF51E3" w:rsidR="00B71236">
        <w:rPr>
          <w:rFonts w:cs="Times New Roman"/>
          <w:sz w:val="22"/>
        </w:rPr>
        <w:t xml:space="preserve">agreed that the Debtor lacked the requisite intent as to the equipment sold by the Debtor’s boyfriend; however, the Debtor intentionally sold </w:t>
      </w:r>
      <w:r w:rsidRPr="00CF51E3" w:rsidR="00FB4AE4">
        <w:rPr>
          <w:rFonts w:cs="Times New Roman"/>
          <w:sz w:val="22"/>
        </w:rPr>
        <w:t xml:space="preserve">$7,000 of equipment </w:t>
      </w:r>
      <w:r w:rsidRPr="00CF51E3" w:rsidR="00B71236">
        <w:rPr>
          <w:rFonts w:cs="Times New Roman"/>
          <w:sz w:val="22"/>
        </w:rPr>
        <w:t xml:space="preserve">and the debt related to that equipment </w:t>
      </w:r>
      <w:r w:rsidRPr="00CF51E3" w:rsidR="00FB4AE4">
        <w:rPr>
          <w:rFonts w:cs="Times New Roman"/>
          <w:sz w:val="22"/>
        </w:rPr>
        <w:t>was non-dischargeable</w:t>
      </w:r>
      <w:r w:rsidRPr="00CF51E3" w:rsidR="005F2DA6">
        <w:rPr>
          <w:rFonts w:cs="Times New Roman"/>
          <w:sz w:val="22"/>
        </w:rPr>
        <w:t xml:space="preserve">. </w:t>
      </w:r>
      <w:r w:rsidRPr="00CF51E3" w:rsidR="00B71236">
        <w:rPr>
          <w:rFonts w:cs="Times New Roman"/>
          <w:sz w:val="22"/>
        </w:rPr>
        <w:t xml:space="preserve"> </w:t>
      </w:r>
      <w:r w:rsidRPr="00CF51E3" w:rsidR="005F2DA6">
        <w:rPr>
          <w:rFonts w:eastAsia="Calibri" w:cs="Times New Roman"/>
          <w:i/>
          <w:sz w:val="22"/>
        </w:rPr>
        <w:t>In re Reid, 598 B.R. 674 (</w:t>
      </w:r>
      <w:r w:rsidRPr="00CF51E3" w:rsidR="00450E8D">
        <w:rPr>
          <w:rFonts w:eastAsia="Calibri" w:cs="Times New Roman"/>
          <w:i/>
          <w:sz w:val="22"/>
        </w:rPr>
        <w:t>Bankr. S.D. Ala.</w:t>
      </w:r>
      <w:r w:rsidRPr="00CF51E3" w:rsidR="009C4B6F">
        <w:rPr>
          <w:rFonts w:eastAsia="Calibri" w:cs="Times New Roman"/>
          <w:i/>
          <w:sz w:val="22"/>
        </w:rPr>
        <w:t xml:space="preserve"> </w:t>
      </w:r>
      <w:r w:rsidRPr="00CF51E3" w:rsidR="005F2DA6">
        <w:rPr>
          <w:rFonts w:eastAsia="Calibri" w:cs="Times New Roman"/>
          <w:i/>
          <w:sz w:val="22"/>
        </w:rPr>
        <w:t>2019).</w:t>
      </w:r>
    </w:p>
    <w:p w:rsidR="00CD55F9" w:rsidRPr="00CF51E3" w:rsidP="00CF51E3">
      <w:pPr>
        <w:ind w:left="360"/>
        <w:rPr>
          <w:rFonts w:cs="Times New Roman"/>
          <w:sz w:val="22"/>
        </w:rPr>
      </w:pPr>
    </w:p>
    <w:p w:rsidR="00CD55F9" w:rsidRPr="00CF51E3" w:rsidP="00CF51E3">
      <w:pPr>
        <w:spacing w:after="240"/>
        <w:ind w:left="1080"/>
        <w:jc w:val="both"/>
        <w:rPr>
          <w:rFonts w:eastAsia="Calibri" w:cs="Times New Roman"/>
          <w:b/>
          <w:i/>
          <w:sz w:val="22"/>
        </w:rPr>
      </w:pPr>
      <w:r>
        <w:rPr>
          <w:rFonts w:eastAsia="Calibri" w:cs="Times New Roman"/>
          <w:b/>
          <w:sz w:val="22"/>
        </w:rPr>
        <w:t>c.</w:t>
      </w:r>
      <w:r>
        <w:rPr>
          <w:rFonts w:eastAsia="Calibri" w:cs="Times New Roman"/>
          <w:b/>
          <w:sz w:val="22"/>
        </w:rPr>
        <w:tab/>
      </w:r>
      <w:r w:rsidRPr="00CF51E3" w:rsidR="00B71236">
        <w:rPr>
          <w:rFonts w:eastAsia="Calibri" w:cs="Times New Roman"/>
          <w:b/>
          <w:sz w:val="22"/>
        </w:rPr>
        <w:t>Missing c</w:t>
      </w:r>
      <w:r w:rsidRPr="00CF51E3" w:rsidR="00FB4AE4">
        <w:rPr>
          <w:rFonts w:eastAsia="Calibri" w:cs="Times New Roman"/>
          <w:b/>
          <w:sz w:val="22"/>
        </w:rPr>
        <w:t xml:space="preserve">ollateral did not </w:t>
      </w:r>
      <w:r w:rsidRPr="00CF51E3" w:rsidR="00B71236">
        <w:rPr>
          <w:rFonts w:eastAsia="Calibri" w:cs="Times New Roman"/>
          <w:b/>
          <w:sz w:val="22"/>
        </w:rPr>
        <w:t>constitute w</w:t>
      </w:r>
      <w:r w:rsidRPr="00CF51E3" w:rsidR="00FB4AE4">
        <w:rPr>
          <w:rFonts w:eastAsia="Calibri" w:cs="Times New Roman"/>
          <w:b/>
          <w:sz w:val="22"/>
        </w:rPr>
        <w:t xml:space="preserve">illful and </w:t>
      </w:r>
      <w:r w:rsidRPr="00CF51E3" w:rsidR="00B71236">
        <w:rPr>
          <w:rFonts w:eastAsia="Calibri" w:cs="Times New Roman"/>
          <w:b/>
          <w:sz w:val="22"/>
        </w:rPr>
        <w:t>m</w:t>
      </w:r>
      <w:r w:rsidRPr="00CF51E3" w:rsidR="00FB4AE4">
        <w:rPr>
          <w:rFonts w:eastAsia="Calibri" w:cs="Times New Roman"/>
          <w:b/>
          <w:sz w:val="22"/>
        </w:rPr>
        <w:t xml:space="preserve">alicious </w:t>
      </w:r>
      <w:r w:rsidRPr="00CF51E3" w:rsidR="00B71236">
        <w:rPr>
          <w:rFonts w:eastAsia="Calibri" w:cs="Times New Roman"/>
          <w:b/>
          <w:sz w:val="22"/>
        </w:rPr>
        <w:t>i</w:t>
      </w:r>
      <w:r w:rsidRPr="00CF51E3" w:rsidR="00FB4AE4">
        <w:rPr>
          <w:rFonts w:eastAsia="Calibri" w:cs="Times New Roman"/>
          <w:b/>
          <w:sz w:val="22"/>
        </w:rPr>
        <w:t>njury</w:t>
      </w:r>
      <w:r w:rsidRPr="00CF51E3" w:rsidR="00D26590">
        <w:rPr>
          <w:rFonts w:eastAsia="Calibri" w:cs="Times New Roman"/>
          <w:b/>
          <w:sz w:val="22"/>
        </w:rPr>
        <w:t xml:space="preserve"> </w:t>
      </w:r>
      <w:r w:rsidRPr="00CF51E3" w:rsidR="00B71236">
        <w:rPr>
          <w:rFonts w:eastAsia="Calibri" w:cs="Times New Roman"/>
          <w:b/>
          <w:sz w:val="22"/>
        </w:rPr>
        <w:t>under 11 U.S.C. §524(a)(6)</w:t>
      </w:r>
      <w:r w:rsidRPr="00CF51E3" w:rsidR="00FB4AE4">
        <w:rPr>
          <w:rFonts w:eastAsia="Calibri" w:cs="Times New Roman"/>
          <w:b/>
          <w:sz w:val="22"/>
        </w:rPr>
        <w:t>.</w:t>
      </w:r>
      <w:r w:rsidRPr="00CF51E3" w:rsidR="00D26590">
        <w:rPr>
          <w:rFonts w:eastAsia="Calibri" w:cs="Times New Roman"/>
          <w:sz w:val="22"/>
        </w:rPr>
        <w:t xml:space="preserve">  Connor </w:t>
      </w:r>
      <w:r w:rsidRPr="00CF51E3" w:rsidR="00B71236">
        <w:rPr>
          <w:rFonts w:eastAsia="Calibri" w:cs="Times New Roman"/>
          <w:sz w:val="22"/>
        </w:rPr>
        <w:t xml:space="preserve">Freeman </w:t>
      </w:r>
      <w:r w:rsidRPr="00CF51E3" w:rsidR="00D26590">
        <w:rPr>
          <w:rFonts w:eastAsia="Calibri" w:cs="Times New Roman"/>
          <w:sz w:val="22"/>
        </w:rPr>
        <w:t xml:space="preserve">and Trace </w:t>
      </w:r>
      <w:r w:rsidRPr="00CF51E3" w:rsidR="00B71236">
        <w:rPr>
          <w:rFonts w:eastAsia="Calibri" w:cs="Times New Roman"/>
          <w:sz w:val="22"/>
        </w:rPr>
        <w:t xml:space="preserve">Freeman </w:t>
      </w:r>
      <w:r w:rsidRPr="00CF51E3" w:rsidR="00D26590">
        <w:rPr>
          <w:rFonts w:eastAsia="Calibri" w:cs="Times New Roman"/>
          <w:sz w:val="22"/>
        </w:rPr>
        <w:t xml:space="preserve">(the “Debtors”) were indebted to </w:t>
      </w:r>
      <w:r w:rsidRPr="00CF51E3" w:rsidR="00B71236">
        <w:rPr>
          <w:rFonts w:eastAsia="Calibri" w:cs="Times New Roman"/>
          <w:sz w:val="22"/>
        </w:rPr>
        <w:t xml:space="preserve">Citizens Bank </w:t>
      </w:r>
      <w:r w:rsidRPr="00CF51E3" w:rsidR="00D26590">
        <w:rPr>
          <w:rFonts w:eastAsia="Calibri" w:cs="Times New Roman"/>
          <w:sz w:val="22"/>
        </w:rPr>
        <w:t xml:space="preserve">(the “Lender”) and the debt was secured by certain farm equipment.  Craig Freemen (the “Co-Debtor”), their father, also executed the promissory notes.  The Debtors filed a Chapter </w:t>
      </w:r>
      <w:r w:rsidRPr="00CF51E3" w:rsidR="00B71236">
        <w:rPr>
          <w:rFonts w:eastAsia="Calibri" w:cs="Times New Roman"/>
          <w:sz w:val="22"/>
        </w:rPr>
        <w:t>7</w:t>
      </w:r>
      <w:r w:rsidRPr="00CF51E3" w:rsidR="00D26590">
        <w:rPr>
          <w:rFonts w:eastAsia="Calibri" w:cs="Times New Roman"/>
          <w:sz w:val="22"/>
        </w:rPr>
        <w:t xml:space="preserve"> bankruptcy and the Co-Debtor failed to make the payments.  The Debtors were not in possession of the farm equipment and were unable to explain why the farm equipment was missing.  The Lender filed an adversary action for a determination that the debt owed to the Lender was non-dischargeable under 11 U.S.C. </w:t>
      </w:r>
      <w:r w:rsidRPr="00CF51E3" w:rsidR="00B71236">
        <w:rPr>
          <w:rFonts w:eastAsia="Calibri" w:cs="Times New Roman"/>
          <w:sz w:val="22"/>
        </w:rPr>
        <w:t xml:space="preserve">§524(a)(6) </w:t>
      </w:r>
      <w:r w:rsidR="004C534A">
        <w:rPr>
          <w:rFonts w:eastAsia="Calibri" w:cs="Times New Roman"/>
          <w:sz w:val="22"/>
        </w:rPr>
        <w:t xml:space="preserve">alleging </w:t>
      </w:r>
      <w:r w:rsidRPr="00CF51E3" w:rsidR="00D26590">
        <w:rPr>
          <w:rFonts w:eastAsia="Calibri" w:cs="Times New Roman"/>
          <w:sz w:val="22"/>
        </w:rPr>
        <w:t xml:space="preserve">the Debtors’ actions were willful and malicious.  The Debtors argued that the loan was made with the understanding </w:t>
      </w:r>
      <w:r w:rsidRPr="00CF51E3" w:rsidR="00B71236">
        <w:rPr>
          <w:rFonts w:eastAsia="Calibri" w:cs="Times New Roman"/>
          <w:sz w:val="22"/>
        </w:rPr>
        <w:t xml:space="preserve">of the parties </w:t>
      </w:r>
      <w:r w:rsidRPr="00CF51E3" w:rsidR="00D26590">
        <w:rPr>
          <w:rFonts w:eastAsia="Calibri" w:cs="Times New Roman"/>
          <w:sz w:val="22"/>
        </w:rPr>
        <w:t xml:space="preserve">that the Co-Debtor was going to make the payments.  The court agreed and held that the Lender </w:t>
      </w:r>
      <w:r w:rsidRPr="00CF51E3">
        <w:rPr>
          <w:rFonts w:eastAsia="Calibri" w:cs="Times New Roman"/>
          <w:sz w:val="22"/>
        </w:rPr>
        <w:t>could not justifiably rely on any al</w:t>
      </w:r>
      <w:r w:rsidRPr="00CF51E3" w:rsidR="00D26590">
        <w:rPr>
          <w:rFonts w:eastAsia="Calibri" w:cs="Times New Roman"/>
          <w:sz w:val="22"/>
        </w:rPr>
        <w:t>leged false representations by D</w:t>
      </w:r>
      <w:r w:rsidRPr="00CF51E3">
        <w:rPr>
          <w:rFonts w:eastAsia="Calibri" w:cs="Times New Roman"/>
          <w:sz w:val="22"/>
        </w:rPr>
        <w:t xml:space="preserve">ebtors. The disappearance of collateral did not provide a basis to except debtor’s debts </w:t>
      </w:r>
      <w:r w:rsidRPr="00CF51E3" w:rsidR="00570333">
        <w:rPr>
          <w:rFonts w:eastAsia="Calibri" w:cs="Times New Roman"/>
          <w:sz w:val="22"/>
        </w:rPr>
        <w:t xml:space="preserve">because the </w:t>
      </w:r>
      <w:r w:rsidRPr="00CF51E3" w:rsidR="00570333">
        <w:rPr>
          <w:rFonts w:eastAsia="Calibri" w:cs="Times New Roman"/>
          <w:sz w:val="22"/>
        </w:rPr>
        <w:t xml:space="preserve">Lender </w:t>
      </w:r>
      <w:r w:rsidR="004C534A">
        <w:rPr>
          <w:rFonts w:eastAsia="Calibri" w:cs="Times New Roman"/>
          <w:sz w:val="22"/>
        </w:rPr>
        <w:t xml:space="preserve">was </w:t>
      </w:r>
      <w:r w:rsidRPr="00CF51E3" w:rsidR="00570333">
        <w:rPr>
          <w:rFonts w:eastAsia="Calibri" w:cs="Times New Roman"/>
          <w:sz w:val="22"/>
        </w:rPr>
        <w:t>w</w:t>
      </w:r>
      <w:r w:rsidRPr="00CF51E3">
        <w:rPr>
          <w:rFonts w:eastAsia="Calibri" w:cs="Times New Roman"/>
          <w:sz w:val="22"/>
        </w:rPr>
        <w:t>illful and malicious injur</w:t>
      </w:r>
      <w:r w:rsidR="004C534A">
        <w:rPr>
          <w:rFonts w:eastAsia="Calibri" w:cs="Times New Roman"/>
          <w:sz w:val="22"/>
        </w:rPr>
        <w:t>ed</w:t>
      </w:r>
      <w:r w:rsidRPr="00CF51E3">
        <w:rPr>
          <w:rFonts w:eastAsia="Calibri" w:cs="Times New Roman"/>
          <w:sz w:val="22"/>
        </w:rPr>
        <w:t xml:space="preserve">. </w:t>
      </w:r>
      <w:r w:rsidRPr="00CF51E3">
        <w:rPr>
          <w:rFonts w:eastAsia="Calibri" w:cs="Times New Roman"/>
          <w:i/>
          <w:sz w:val="22"/>
        </w:rPr>
        <w:t>In re Freeman, 598 B.R. 839 (</w:t>
      </w:r>
      <w:r w:rsidRPr="00CF51E3" w:rsidR="00450E8D">
        <w:rPr>
          <w:rFonts w:eastAsia="Calibri" w:cs="Times New Roman"/>
          <w:i/>
          <w:sz w:val="22"/>
        </w:rPr>
        <w:t>Bankr. S.D. Miss.</w:t>
      </w:r>
      <w:r w:rsidRPr="00CF51E3" w:rsidR="00FB4AE4">
        <w:rPr>
          <w:rFonts w:eastAsia="Calibri" w:cs="Times New Roman"/>
          <w:i/>
          <w:sz w:val="22"/>
        </w:rPr>
        <w:t xml:space="preserve"> </w:t>
      </w:r>
      <w:r w:rsidRPr="00CF51E3">
        <w:rPr>
          <w:rFonts w:eastAsia="Calibri" w:cs="Times New Roman"/>
          <w:i/>
          <w:sz w:val="22"/>
        </w:rPr>
        <w:t>2019)</w:t>
      </w:r>
      <w:r w:rsidRPr="00CF51E3" w:rsidR="00FB4AE4">
        <w:rPr>
          <w:rFonts w:eastAsia="Calibri" w:cs="Times New Roman"/>
          <w:i/>
          <w:sz w:val="22"/>
        </w:rPr>
        <w:t>.</w:t>
      </w:r>
    </w:p>
    <w:p w:rsidR="00CD55F9" w:rsidRPr="00EA29C0" w:rsidP="00EA29C0">
      <w:pPr>
        <w:ind w:left="1080"/>
        <w:jc w:val="both"/>
        <w:rPr>
          <w:rFonts w:eastAsia="Calibri" w:cs="Times New Roman"/>
          <w:b/>
          <w:i/>
          <w:sz w:val="22"/>
        </w:rPr>
      </w:pPr>
      <w:r>
        <w:rPr>
          <w:rFonts w:eastAsia="Times New Roman" w:cs="Times New Roman"/>
          <w:b/>
          <w:sz w:val="22"/>
        </w:rPr>
        <w:t>d.</w:t>
      </w:r>
      <w:r>
        <w:rPr>
          <w:rFonts w:eastAsia="Times New Roman" w:cs="Times New Roman"/>
          <w:b/>
          <w:sz w:val="22"/>
        </w:rPr>
        <w:tab/>
      </w:r>
      <w:r w:rsidRPr="00CF51E3" w:rsidR="00F94C69">
        <w:rPr>
          <w:rFonts w:eastAsia="Times New Roman" w:cs="Times New Roman"/>
          <w:b/>
          <w:sz w:val="22"/>
        </w:rPr>
        <w:t>Renewal of loan was m</w:t>
      </w:r>
      <w:r w:rsidRPr="00CF51E3" w:rsidR="007100E5">
        <w:rPr>
          <w:rFonts w:eastAsia="Times New Roman" w:cs="Times New Roman"/>
          <w:b/>
          <w:sz w:val="22"/>
        </w:rPr>
        <w:t>ade</w:t>
      </w:r>
      <w:r w:rsidRPr="00CF51E3" w:rsidR="00F94C69">
        <w:rPr>
          <w:rFonts w:eastAsia="Times New Roman" w:cs="Times New Roman"/>
          <w:b/>
          <w:sz w:val="22"/>
        </w:rPr>
        <w:t xml:space="preserve"> with intent to d</w:t>
      </w:r>
      <w:r w:rsidRPr="00CF51E3" w:rsidR="007100E5">
        <w:rPr>
          <w:rFonts w:eastAsia="Times New Roman" w:cs="Times New Roman"/>
          <w:b/>
          <w:sz w:val="22"/>
        </w:rPr>
        <w:t>eceive.</w:t>
      </w:r>
      <w:r w:rsidRPr="00CF51E3" w:rsidR="007100E5">
        <w:rPr>
          <w:rFonts w:eastAsia="Times New Roman" w:cs="Times New Roman"/>
          <w:sz w:val="22"/>
        </w:rPr>
        <w:t xml:space="preserve">  </w:t>
      </w:r>
      <w:r w:rsidRPr="00CF51E3" w:rsidR="00F94C69">
        <w:rPr>
          <w:rFonts w:eastAsia="Times New Roman" w:cs="Times New Roman"/>
          <w:sz w:val="22"/>
        </w:rPr>
        <w:t xml:space="preserve">Bryan Grigsby </w:t>
      </w:r>
      <w:r w:rsidRPr="00CF51E3" w:rsidR="007100E5">
        <w:rPr>
          <w:rFonts w:eastAsia="Times New Roman" w:cs="Times New Roman"/>
          <w:sz w:val="22"/>
        </w:rPr>
        <w:t xml:space="preserve">(the “Debtor”) was indebted to First Commercial Bank of CCB (the “Lender”) and the debt </w:t>
      </w:r>
      <w:r w:rsidRPr="00CF51E3" w:rsidR="00F76BE1">
        <w:rPr>
          <w:rFonts w:eastAsia="Times New Roman" w:cs="Times New Roman"/>
          <w:sz w:val="22"/>
        </w:rPr>
        <w:t xml:space="preserve">at issue </w:t>
      </w:r>
      <w:r w:rsidRPr="00CF51E3" w:rsidR="007100E5">
        <w:rPr>
          <w:rFonts w:eastAsia="Times New Roman" w:cs="Times New Roman"/>
          <w:sz w:val="22"/>
        </w:rPr>
        <w:t xml:space="preserve">was secured by </w:t>
      </w:r>
      <w:r w:rsidRPr="00CF51E3" w:rsidR="00F76BE1">
        <w:rPr>
          <w:rFonts w:eastAsia="Times New Roman" w:cs="Times New Roman"/>
          <w:sz w:val="22"/>
        </w:rPr>
        <w:t>the farm equipment and crops of the Debtor</w:t>
      </w:r>
      <w:r w:rsidRPr="00CF51E3" w:rsidR="007100E5">
        <w:rPr>
          <w:rFonts w:eastAsia="Times New Roman" w:cs="Times New Roman"/>
          <w:sz w:val="22"/>
        </w:rPr>
        <w:t xml:space="preserve">.  The loan was </w:t>
      </w:r>
      <w:r w:rsidRPr="00CF51E3" w:rsidR="00F76BE1">
        <w:rPr>
          <w:rFonts w:eastAsia="Times New Roman" w:cs="Times New Roman"/>
          <w:sz w:val="22"/>
        </w:rPr>
        <w:t xml:space="preserve">originally made in 2011 and </w:t>
      </w:r>
      <w:r w:rsidRPr="00CF51E3" w:rsidR="007100E5">
        <w:rPr>
          <w:rFonts w:eastAsia="Times New Roman" w:cs="Times New Roman"/>
          <w:sz w:val="22"/>
        </w:rPr>
        <w:t xml:space="preserve">renewed </w:t>
      </w:r>
      <w:r w:rsidRPr="00CF51E3" w:rsidR="00F76BE1">
        <w:rPr>
          <w:rFonts w:eastAsia="Times New Roman" w:cs="Times New Roman"/>
          <w:sz w:val="22"/>
        </w:rPr>
        <w:t>annually</w:t>
      </w:r>
      <w:r w:rsidRPr="00CF51E3" w:rsidR="007100E5">
        <w:rPr>
          <w:rFonts w:eastAsia="Times New Roman" w:cs="Times New Roman"/>
          <w:sz w:val="22"/>
        </w:rPr>
        <w:t xml:space="preserve">.  The Debtor filed a Chapter </w:t>
      </w:r>
      <w:r w:rsidRPr="00CF51E3" w:rsidR="00F76BE1">
        <w:rPr>
          <w:rFonts w:eastAsia="Times New Roman" w:cs="Times New Roman"/>
          <w:sz w:val="22"/>
        </w:rPr>
        <w:t>7</w:t>
      </w:r>
      <w:r w:rsidRPr="00CF51E3" w:rsidR="007100E5">
        <w:rPr>
          <w:rFonts w:eastAsia="Times New Roman" w:cs="Times New Roman"/>
          <w:sz w:val="22"/>
        </w:rPr>
        <w:t xml:space="preserve"> bankruptcy.  The Lender filed an adversary action for a determination that the debt owed to the Lender was non-dischargeable under </w:t>
      </w:r>
      <w:r w:rsidRPr="00CF51E3" w:rsidR="0065732D">
        <w:rPr>
          <w:rFonts w:eastAsia="Times New Roman" w:cs="Times New Roman"/>
          <w:sz w:val="22"/>
        </w:rPr>
        <w:t xml:space="preserve">11 U.S.C. §524(a)(2)(B) </w:t>
      </w:r>
      <w:r w:rsidR="004C534A">
        <w:rPr>
          <w:rFonts w:eastAsia="Times New Roman" w:cs="Times New Roman"/>
          <w:sz w:val="22"/>
        </w:rPr>
        <w:t xml:space="preserve">alleging </w:t>
      </w:r>
      <w:r w:rsidRPr="00CF51E3" w:rsidR="007100E5">
        <w:rPr>
          <w:rFonts w:eastAsia="Times New Roman" w:cs="Times New Roman"/>
          <w:sz w:val="22"/>
        </w:rPr>
        <w:t>the Debtor incurred the renewal debt with the intent to deceive the Lender.</w:t>
      </w:r>
      <w:r w:rsidRPr="00CF51E3" w:rsidR="0065732D">
        <w:rPr>
          <w:rFonts w:eastAsia="Times New Roman" w:cs="Times New Roman"/>
          <w:sz w:val="22"/>
        </w:rPr>
        <w:t xml:space="preserve">  The Debtor’s 2015 financial statements misrepresented the assets, liabilities and liens of the Debtor.</w:t>
      </w:r>
      <w:r w:rsidRPr="00CF51E3" w:rsidR="007100E5">
        <w:rPr>
          <w:rFonts w:eastAsia="Times New Roman" w:cs="Times New Roman"/>
          <w:sz w:val="22"/>
        </w:rPr>
        <w:t xml:space="preserve">  The Debtor argued that</w:t>
      </w:r>
      <w:r w:rsidRPr="00CF51E3" w:rsidR="0065732D">
        <w:rPr>
          <w:rFonts w:eastAsia="Times New Roman" w:cs="Times New Roman"/>
          <w:sz w:val="22"/>
        </w:rPr>
        <w:t xml:space="preserve"> the Lender should have discovered the missing liabilities and liens in its credit review; relying on </w:t>
      </w:r>
      <w:r w:rsidRPr="00CF51E3" w:rsidR="0065732D">
        <w:rPr>
          <w:rFonts w:eastAsia="Times New Roman" w:cs="Times New Roman"/>
          <w:i/>
          <w:sz w:val="22"/>
        </w:rPr>
        <w:t>First National Bank of Stuttgart v. Owens (In re Owens),</w:t>
      </w:r>
      <w:r w:rsidRPr="00CF51E3" w:rsidR="0065732D">
        <w:rPr>
          <w:rFonts w:eastAsia="Times New Roman" w:cs="Times New Roman"/>
          <w:sz w:val="22"/>
        </w:rPr>
        <w:t xml:space="preserve"> 322 B.R. 411 (Bankr. E.D. Ark. 2005)</w:t>
      </w:r>
      <w:r w:rsidRPr="00CF51E3" w:rsidR="007100E5">
        <w:rPr>
          <w:rFonts w:eastAsia="Times New Roman" w:cs="Times New Roman"/>
          <w:sz w:val="22"/>
        </w:rPr>
        <w:t xml:space="preserve">.  The court disagreed and held that the Lender </w:t>
      </w:r>
      <w:r w:rsidRPr="00CF51E3" w:rsidR="007100E5">
        <w:rPr>
          <w:rFonts w:eastAsia="Calibri" w:cs="Times New Roman"/>
          <w:sz w:val="22"/>
        </w:rPr>
        <w:t>established enough evidence to show the Debtor materially fal</w:t>
      </w:r>
      <w:r w:rsidRPr="00CF51E3" w:rsidR="0065732D">
        <w:rPr>
          <w:rFonts w:eastAsia="Calibri" w:cs="Times New Roman"/>
          <w:sz w:val="22"/>
        </w:rPr>
        <w:t xml:space="preserve">sified his financial statements, that the Lender did not have actual knowledge of the prior liens, and a secured creditor has no obligation to separately verify the financials of a debtor.  </w:t>
      </w:r>
      <w:r w:rsidRPr="00CF51E3" w:rsidR="007100E5">
        <w:rPr>
          <w:rFonts w:eastAsia="Calibri" w:cs="Times New Roman"/>
          <w:i/>
          <w:sz w:val="22"/>
        </w:rPr>
        <w:t>In re Grigsby, 598 B.R. 606 (</w:t>
      </w:r>
      <w:r w:rsidRPr="00CF51E3" w:rsidR="00450E8D">
        <w:rPr>
          <w:rFonts w:eastAsia="Calibri" w:cs="Times New Roman"/>
          <w:i/>
          <w:sz w:val="22"/>
        </w:rPr>
        <w:t>E.D Ark.</w:t>
      </w:r>
      <w:r w:rsidRPr="00CF51E3" w:rsidR="007100E5">
        <w:rPr>
          <w:rFonts w:eastAsia="Calibri" w:cs="Times New Roman"/>
          <w:i/>
          <w:sz w:val="22"/>
        </w:rPr>
        <w:t xml:space="preserve"> 2019).</w:t>
      </w:r>
    </w:p>
    <w:p w:rsidR="005F2DA6" w:rsidRPr="00CF51E3" w:rsidP="00850133">
      <w:pPr>
        <w:ind w:left="1440"/>
        <w:jc w:val="both"/>
        <w:rPr>
          <w:rFonts w:cs="Times New Roman"/>
          <w:b/>
          <w:sz w:val="22"/>
        </w:rPr>
      </w:pPr>
    </w:p>
    <w:p w:rsidR="006822C0" w:rsidP="00CF51E3">
      <w:pPr>
        <w:ind w:firstLine="720"/>
        <w:jc w:val="both"/>
        <w:rPr>
          <w:rFonts w:cs="Times New Roman"/>
          <w:b/>
          <w:sz w:val="22"/>
        </w:rPr>
      </w:pPr>
      <w:r w:rsidRPr="00CF51E3">
        <w:rPr>
          <w:rFonts w:cs="Times New Roman"/>
          <w:b/>
          <w:sz w:val="22"/>
        </w:rPr>
        <w:t>3.</w:t>
      </w:r>
      <w:r w:rsidRPr="00CF51E3">
        <w:rPr>
          <w:rFonts w:cs="Times New Roman"/>
          <w:b/>
          <w:sz w:val="22"/>
        </w:rPr>
        <w:tab/>
      </w:r>
      <w:r w:rsidRPr="00CF51E3">
        <w:rPr>
          <w:rFonts w:cs="Times New Roman"/>
          <w:b/>
          <w:sz w:val="22"/>
        </w:rPr>
        <w:t>Preferential Transfers.</w:t>
      </w:r>
      <w:r w:rsidRPr="00CF51E3" w:rsidR="00A94313">
        <w:rPr>
          <w:rFonts w:cs="Times New Roman"/>
          <w:b/>
          <w:sz w:val="22"/>
        </w:rPr>
        <w:t xml:space="preserve"> (11 U.S.C. § 547)</w:t>
      </w:r>
    </w:p>
    <w:p w:rsidR="00C4169C" w:rsidP="00CF51E3">
      <w:pPr>
        <w:ind w:firstLine="720"/>
        <w:jc w:val="both"/>
        <w:rPr>
          <w:rFonts w:cs="Times New Roman"/>
          <w:b/>
          <w:sz w:val="22"/>
        </w:rPr>
      </w:pPr>
    </w:p>
    <w:p w:rsidR="00C4169C" w:rsidRPr="00C4169C" w:rsidP="00CF51E3">
      <w:pPr>
        <w:ind w:firstLine="720"/>
        <w:jc w:val="both"/>
        <w:rPr>
          <w:rFonts w:cs="Times New Roman"/>
          <w:sz w:val="22"/>
        </w:rPr>
      </w:pPr>
      <w:r>
        <w:rPr>
          <w:rFonts w:cs="Times New Roman"/>
          <w:b/>
          <w:sz w:val="22"/>
        </w:rPr>
        <w:tab/>
      </w:r>
      <w:r>
        <w:rPr>
          <w:rFonts w:cs="Times New Roman"/>
          <w:sz w:val="22"/>
        </w:rPr>
        <w:t>No updates.</w:t>
      </w:r>
    </w:p>
    <w:p w:rsidR="00CF51E3" w:rsidRPr="00CF51E3" w:rsidP="00CF51E3">
      <w:pPr>
        <w:jc w:val="both"/>
        <w:rPr>
          <w:rFonts w:eastAsia="Times New Roman" w:cs="Times New Roman"/>
          <w:sz w:val="22"/>
        </w:rPr>
      </w:pPr>
    </w:p>
    <w:p w:rsidR="00546EB8" w:rsidRPr="00CF51E3" w:rsidP="00CF51E3">
      <w:pPr>
        <w:ind w:firstLine="720"/>
        <w:jc w:val="both"/>
        <w:rPr>
          <w:rFonts w:cs="Times New Roman"/>
          <w:b/>
          <w:sz w:val="22"/>
        </w:rPr>
      </w:pPr>
      <w:r w:rsidRPr="00CF51E3">
        <w:rPr>
          <w:rFonts w:eastAsia="Times New Roman" w:cs="Times New Roman"/>
          <w:b/>
          <w:sz w:val="22"/>
        </w:rPr>
        <w:t>4.</w:t>
      </w:r>
      <w:r w:rsidRPr="00CF51E3">
        <w:rPr>
          <w:rFonts w:eastAsia="Times New Roman" w:cs="Times New Roman"/>
          <w:sz w:val="22"/>
        </w:rPr>
        <w:tab/>
      </w:r>
      <w:r w:rsidRPr="00CF51E3">
        <w:rPr>
          <w:rFonts w:cs="Times New Roman"/>
          <w:b/>
          <w:sz w:val="22"/>
        </w:rPr>
        <w:t>Fraudulent Transfers.</w:t>
      </w:r>
      <w:r w:rsidRPr="00CF51E3" w:rsidR="00A94313">
        <w:rPr>
          <w:rFonts w:cs="Times New Roman"/>
          <w:b/>
          <w:sz w:val="22"/>
        </w:rPr>
        <w:t xml:space="preserve"> (11 U.S.C. § 548)</w:t>
      </w:r>
    </w:p>
    <w:p w:rsidR="00546EB8" w:rsidRPr="00CF51E3" w:rsidP="006822C0">
      <w:pPr>
        <w:pStyle w:val="ListParagraph"/>
        <w:spacing w:line="240" w:lineRule="auto"/>
        <w:ind w:left="1440"/>
        <w:jc w:val="both"/>
        <w:rPr>
          <w:rFonts w:ascii="Times New Roman" w:eastAsia="Times New Roman" w:hAnsi="Times New Roman" w:cs="Times New Roman"/>
        </w:rPr>
      </w:pPr>
    </w:p>
    <w:p w:rsidR="00546EB8" w:rsidRPr="00CF51E3" w:rsidP="006822C0">
      <w:pPr>
        <w:pStyle w:val="ListParagraph"/>
        <w:spacing w:line="240" w:lineRule="auto"/>
        <w:ind w:left="1440"/>
        <w:jc w:val="both"/>
        <w:rPr>
          <w:rFonts w:ascii="Times New Roman" w:eastAsia="Times New Roman" w:hAnsi="Times New Roman" w:cs="Times New Roman"/>
        </w:rPr>
      </w:pPr>
      <w:r w:rsidRPr="00CF51E3">
        <w:rPr>
          <w:rFonts w:ascii="Times New Roman" w:eastAsia="Times New Roman" w:hAnsi="Times New Roman" w:cs="Times New Roman"/>
        </w:rPr>
        <w:t>No updates.</w:t>
      </w:r>
    </w:p>
    <w:p w:rsidR="0001405A" w:rsidRPr="00CF51E3" w:rsidP="00CF51E3">
      <w:pPr>
        <w:ind w:firstLine="720"/>
        <w:jc w:val="both"/>
        <w:rPr>
          <w:rFonts w:cs="Times New Roman"/>
          <w:b/>
          <w:sz w:val="22"/>
        </w:rPr>
      </w:pPr>
      <w:r w:rsidRPr="00CF51E3">
        <w:rPr>
          <w:rFonts w:eastAsia="Times New Roman" w:cs="Times New Roman"/>
          <w:b/>
          <w:sz w:val="22"/>
        </w:rPr>
        <w:t>5.</w:t>
      </w:r>
      <w:r w:rsidRPr="00CF51E3">
        <w:rPr>
          <w:rFonts w:eastAsia="Times New Roman" w:cs="Times New Roman"/>
          <w:sz w:val="22"/>
        </w:rPr>
        <w:tab/>
      </w:r>
      <w:r w:rsidRPr="00CF51E3">
        <w:rPr>
          <w:rFonts w:cs="Times New Roman"/>
          <w:b/>
          <w:sz w:val="22"/>
        </w:rPr>
        <w:t xml:space="preserve">Right of Setoff.  (11 U.S.C § 553)  </w:t>
      </w:r>
    </w:p>
    <w:p w:rsidR="0001405A" w:rsidRPr="00CF51E3" w:rsidP="0001405A">
      <w:pPr>
        <w:pStyle w:val="ListParagraph"/>
        <w:spacing w:line="240" w:lineRule="auto"/>
        <w:ind w:left="1080"/>
        <w:jc w:val="both"/>
        <w:rPr>
          <w:rFonts w:ascii="Times New Roman" w:hAnsi="Times New Roman" w:cs="Times New Roman"/>
          <w:b/>
        </w:rPr>
      </w:pPr>
    </w:p>
    <w:p w:rsidR="0001405A" w:rsidRPr="00CF51E3" w:rsidP="00CF51E3">
      <w:pPr>
        <w:pStyle w:val="ListParagraph"/>
        <w:spacing w:line="240" w:lineRule="auto"/>
        <w:ind w:left="1440"/>
        <w:jc w:val="both"/>
        <w:rPr>
          <w:rFonts w:ascii="Times New Roman" w:hAnsi="Times New Roman" w:cs="Times New Roman"/>
          <w:b/>
        </w:rPr>
      </w:pPr>
      <w:r w:rsidRPr="00CF51E3">
        <w:rPr>
          <w:rFonts w:ascii="Times New Roman" w:hAnsi="Times New Roman" w:cs="Times New Roman"/>
          <w:b/>
        </w:rPr>
        <w:t xml:space="preserve">Right of setoff under Bankruptcy Code does not extend to PACA claims.  </w:t>
      </w:r>
      <w:r w:rsidRPr="00CF51E3">
        <w:rPr>
          <w:rFonts w:ascii="Times New Roman" w:hAnsi="Times New Roman" w:cs="Times New Roman"/>
        </w:rPr>
        <w:t>Lenny Perry’s Produce</w:t>
      </w:r>
      <w:r w:rsidR="00C4169C">
        <w:rPr>
          <w:rFonts w:ascii="Times New Roman" w:hAnsi="Times New Roman" w:cs="Times New Roman"/>
        </w:rPr>
        <w:t>,</w:t>
      </w:r>
      <w:r w:rsidRPr="00CF51E3">
        <w:rPr>
          <w:rFonts w:ascii="Times New Roman" w:hAnsi="Times New Roman" w:cs="Times New Roman"/>
        </w:rPr>
        <w:t xml:space="preserve"> Inc. (the “Debtor”) routinely purchased and sold produce to Genecco Produce</w:t>
      </w:r>
      <w:r w:rsidR="00C4169C">
        <w:rPr>
          <w:rFonts w:ascii="Times New Roman" w:hAnsi="Times New Roman" w:cs="Times New Roman"/>
        </w:rPr>
        <w:t>,</w:t>
      </w:r>
      <w:r w:rsidRPr="00CF51E3">
        <w:rPr>
          <w:rFonts w:ascii="Times New Roman" w:hAnsi="Times New Roman" w:cs="Times New Roman"/>
        </w:rPr>
        <w:t xml:space="preserve"> Inc. (the “Buyer”).  Due to the relationship, the Debtor and Buyer routinely setoff their respective debts as against each other.  The Debtor filed a Chapter 7 bankruptcy – and at the time of the bankruptcy filing – the Buyer owed the Debtor $204,774.88 and the Debtor owed the Buyer $263,061.92.  The creditors of the Debtor commenced a legal action against the Buyer and asserted the Debtor was entitled to a $204,774.88 trust claim under the Perishable Agricultural Commodities Act, 7 U.S.C. §499 et seq. (“PACA”).  The Buyer disagreed and held that the Buyer was entitled to set</w:t>
      </w:r>
      <w:r w:rsidR="00C4169C">
        <w:rPr>
          <w:rFonts w:ascii="Times New Roman" w:hAnsi="Times New Roman" w:cs="Times New Roman"/>
        </w:rPr>
        <w:t>-</w:t>
      </w:r>
      <w:r w:rsidRPr="00CF51E3">
        <w:rPr>
          <w:rFonts w:ascii="Times New Roman" w:hAnsi="Times New Roman" w:cs="Times New Roman"/>
        </w:rPr>
        <w:t>off – resulting in a net $58,287.04 claim against the Debtor.  The Buyer relied on the general principal under 11 U.S.C. §553 of the Bankruptcy Code that allows for the setoff of mutual debts.  The District Court held, and the Second Circuit affirmed, that the Buyer was not entitled to set</w:t>
      </w:r>
      <w:r w:rsidR="00C4169C">
        <w:rPr>
          <w:rFonts w:ascii="Times New Roman" w:hAnsi="Times New Roman" w:cs="Times New Roman"/>
        </w:rPr>
        <w:t>-</w:t>
      </w:r>
      <w:r w:rsidRPr="00CF51E3">
        <w:rPr>
          <w:rFonts w:ascii="Times New Roman" w:hAnsi="Times New Roman" w:cs="Times New Roman"/>
        </w:rPr>
        <w:t xml:space="preserve">off the debt because the produce held by the Debtor was held in trust for the benefit of the creditors of the Debtor and was not property of the bankruptcy estate.  </w:t>
      </w:r>
      <w:r w:rsidRPr="00CF51E3">
        <w:rPr>
          <w:rFonts w:ascii="Times New Roman" w:hAnsi="Times New Roman" w:cs="Times New Roman"/>
          <w:i/>
        </w:rPr>
        <w:t>PACA Trust Creditors of Lenny Perry’s Produce, Inc. v. Genecco Produce Inc., 913 F.3d 268 (2nd Cir. 2019).</w:t>
      </w:r>
    </w:p>
    <w:p w:rsidR="0001405A" w:rsidRPr="00CF51E3" w:rsidP="006822C0">
      <w:pPr>
        <w:pStyle w:val="ListParagraph"/>
        <w:spacing w:line="240" w:lineRule="auto"/>
        <w:ind w:left="1440"/>
        <w:jc w:val="both"/>
        <w:rPr>
          <w:rFonts w:ascii="Times New Roman" w:eastAsia="Times New Roman" w:hAnsi="Times New Roman" w:cs="Times New Roman"/>
        </w:rPr>
      </w:pPr>
    </w:p>
    <w:p w:rsidR="0001405A" w:rsidRPr="00CF51E3" w:rsidP="006822C0">
      <w:pPr>
        <w:pStyle w:val="ListParagraph"/>
        <w:spacing w:line="240" w:lineRule="auto"/>
        <w:ind w:left="1440"/>
        <w:jc w:val="both"/>
        <w:rPr>
          <w:rFonts w:ascii="Times New Roman" w:eastAsia="Times New Roman" w:hAnsi="Times New Roman" w:cs="Times New Roman"/>
        </w:rPr>
      </w:pPr>
    </w:p>
    <w:p w:rsidR="0076108A" w:rsidRPr="00CF51E3" w:rsidP="009A7A82">
      <w:pPr>
        <w:pStyle w:val="ListParagraph"/>
        <w:numPr>
          <w:ilvl w:val="0"/>
          <w:numId w:val="15"/>
        </w:numPr>
        <w:spacing w:line="240" w:lineRule="auto"/>
        <w:jc w:val="both"/>
        <w:rPr>
          <w:rFonts w:ascii="Times New Roman" w:hAnsi="Times New Roman" w:cs="Times New Roman"/>
          <w:b/>
        </w:rPr>
      </w:pPr>
      <w:r w:rsidRPr="00CF51E3">
        <w:rPr>
          <w:rFonts w:ascii="Times New Roman" w:hAnsi="Times New Roman" w:cs="Times New Roman"/>
          <w:b/>
        </w:rPr>
        <w:tab/>
      </w:r>
      <w:r w:rsidRPr="00CF51E3" w:rsidR="00017026">
        <w:rPr>
          <w:rFonts w:ascii="Times New Roman" w:hAnsi="Times New Roman" w:cs="Times New Roman"/>
          <w:b/>
        </w:rPr>
        <w:t>Chapter 7.</w:t>
      </w:r>
      <w:r w:rsidRPr="00CF51E3" w:rsidR="006822C0">
        <w:rPr>
          <w:rFonts w:ascii="Times New Roman" w:hAnsi="Times New Roman" w:cs="Times New Roman"/>
          <w:b/>
        </w:rPr>
        <w:t xml:space="preserve"> (11 U.S.C. </w:t>
      </w:r>
      <w:r w:rsidRPr="00CF51E3" w:rsidR="009A7A82">
        <w:rPr>
          <w:rFonts w:ascii="Times New Roman" w:hAnsi="Times New Roman" w:cs="Times New Roman"/>
          <w:b/>
        </w:rPr>
        <w:t xml:space="preserve">§ </w:t>
      </w:r>
      <w:r w:rsidRPr="00CF51E3" w:rsidR="006822C0">
        <w:rPr>
          <w:rFonts w:ascii="Times New Roman" w:hAnsi="Times New Roman" w:cs="Times New Roman"/>
          <w:b/>
        </w:rPr>
        <w:t xml:space="preserve">701 </w:t>
      </w:r>
      <w:r w:rsidRPr="00CF51E3" w:rsidR="006822C0">
        <w:rPr>
          <w:rFonts w:ascii="Times New Roman" w:hAnsi="Times New Roman" w:cs="Times New Roman"/>
          <w:b/>
          <w:i/>
        </w:rPr>
        <w:t>et seq</w:t>
      </w:r>
      <w:r w:rsidRPr="00CF51E3" w:rsidR="006822C0">
        <w:rPr>
          <w:rFonts w:ascii="Times New Roman" w:hAnsi="Times New Roman" w:cs="Times New Roman"/>
          <w:b/>
        </w:rPr>
        <w:t>.)</w:t>
      </w:r>
      <w:r w:rsidRPr="00CF51E3" w:rsidR="00546EB8">
        <w:rPr>
          <w:rFonts w:ascii="Times New Roman" w:hAnsi="Times New Roman" w:cs="Times New Roman"/>
          <w:b/>
        </w:rPr>
        <w:t>.</w:t>
      </w:r>
    </w:p>
    <w:p w:rsidR="00B85801" w:rsidRPr="00CF51E3" w:rsidP="00F94C69">
      <w:pPr>
        <w:ind w:left="720"/>
        <w:jc w:val="both"/>
        <w:rPr>
          <w:rFonts w:cs="Times New Roman"/>
          <w:sz w:val="22"/>
        </w:rPr>
      </w:pPr>
      <w:r w:rsidRPr="00CF51E3">
        <w:rPr>
          <w:rFonts w:cs="Times New Roman"/>
          <w:b/>
          <w:sz w:val="22"/>
        </w:rPr>
        <w:t xml:space="preserve">Failure to explain missing records and collateral is basis to deny discharge.  </w:t>
      </w:r>
      <w:r w:rsidRPr="00CF51E3">
        <w:rPr>
          <w:rFonts w:cs="Times New Roman"/>
          <w:sz w:val="22"/>
        </w:rPr>
        <w:t xml:space="preserve">Derek and Chelsey Tingle (the “Debtors”) were indebted to Farm Credit Mid-America, PCA (the “Lender”) </w:t>
      </w:r>
      <w:r w:rsidRPr="00CF51E3">
        <w:rPr>
          <w:rFonts w:cs="Times New Roman"/>
          <w:sz w:val="22"/>
        </w:rPr>
        <w:t xml:space="preserve">and the debt was secured by the equipment, livestock and crops of the Debtors.  The Debtors initially filed a Chapter 13 and then converted to Chapter 7.  The Lender filed an adversary action to deny discharge under 11 U.S.C. § 727(a)(3) and (a)(5).  The Lender asserted that the Debtors failed to explain a decrease in pre-bankruptcy farm equipment, the losses related to the cattle operation, and the losses related to the tobacco operation and have failed to provide financial records.  The court agreed and denied discharge.  </w:t>
      </w:r>
      <w:r w:rsidRPr="00CF51E3">
        <w:rPr>
          <w:rFonts w:cs="Times New Roman"/>
          <w:i/>
          <w:sz w:val="22"/>
        </w:rPr>
        <w:t>In re Tingle, 594 B.R. 396 (Bankr. E.D. Ky. 2018).</w:t>
      </w:r>
    </w:p>
    <w:p w:rsidR="005B1D97" w:rsidRPr="00CF51E3" w:rsidP="00ED544E">
      <w:pPr>
        <w:pStyle w:val="ListParagraph"/>
        <w:spacing w:line="240" w:lineRule="auto"/>
        <w:jc w:val="both"/>
        <w:rPr>
          <w:rFonts w:ascii="Times New Roman" w:hAnsi="Times New Roman" w:cs="Times New Roman"/>
          <w:b/>
        </w:rPr>
      </w:pPr>
    </w:p>
    <w:p w:rsidR="00017026" w:rsidRPr="00CF51E3" w:rsidP="009A7A82">
      <w:pPr>
        <w:pStyle w:val="ListParagraph"/>
        <w:numPr>
          <w:ilvl w:val="0"/>
          <w:numId w:val="15"/>
        </w:numPr>
        <w:spacing w:line="240" w:lineRule="auto"/>
        <w:jc w:val="both"/>
        <w:rPr>
          <w:rFonts w:ascii="Times New Roman" w:hAnsi="Times New Roman" w:cs="Times New Roman"/>
          <w:b/>
        </w:rPr>
      </w:pPr>
      <w:r w:rsidRPr="00CF51E3">
        <w:rPr>
          <w:rFonts w:ascii="Times New Roman" w:hAnsi="Times New Roman" w:cs="Times New Roman"/>
          <w:b/>
        </w:rPr>
        <w:tab/>
      </w:r>
      <w:r w:rsidRPr="00CF51E3">
        <w:rPr>
          <w:rFonts w:ascii="Times New Roman" w:hAnsi="Times New Roman" w:cs="Times New Roman"/>
          <w:b/>
        </w:rPr>
        <w:t>Chapter 11.</w:t>
      </w:r>
      <w:r w:rsidRPr="00CF51E3" w:rsidR="006822C0">
        <w:rPr>
          <w:rFonts w:ascii="Times New Roman" w:hAnsi="Times New Roman" w:cs="Times New Roman"/>
          <w:b/>
        </w:rPr>
        <w:t xml:space="preserve"> (11 U.S.C. </w:t>
      </w:r>
      <w:r w:rsidRPr="00CF51E3" w:rsidR="009A7A82">
        <w:rPr>
          <w:rFonts w:ascii="Times New Roman" w:hAnsi="Times New Roman" w:cs="Times New Roman"/>
          <w:b/>
        </w:rPr>
        <w:t xml:space="preserve">§ </w:t>
      </w:r>
      <w:r w:rsidRPr="00CF51E3" w:rsidR="006822C0">
        <w:rPr>
          <w:rFonts w:ascii="Times New Roman" w:hAnsi="Times New Roman" w:cs="Times New Roman"/>
          <w:b/>
        </w:rPr>
        <w:t xml:space="preserve">1101 </w:t>
      </w:r>
      <w:r w:rsidRPr="00CF51E3" w:rsidR="006822C0">
        <w:rPr>
          <w:rFonts w:ascii="Times New Roman" w:hAnsi="Times New Roman" w:cs="Times New Roman"/>
          <w:b/>
          <w:i/>
        </w:rPr>
        <w:t>et seq</w:t>
      </w:r>
      <w:r w:rsidRPr="00CF51E3" w:rsidR="006822C0">
        <w:rPr>
          <w:rFonts w:ascii="Times New Roman" w:hAnsi="Times New Roman" w:cs="Times New Roman"/>
          <w:b/>
        </w:rPr>
        <w:t>.)</w:t>
      </w:r>
    </w:p>
    <w:p w:rsidR="00E75123" w:rsidP="00ED544E">
      <w:pPr>
        <w:pStyle w:val="ListParagraph"/>
        <w:spacing w:line="240" w:lineRule="auto"/>
        <w:jc w:val="both"/>
        <w:rPr>
          <w:rFonts w:ascii="Times New Roman" w:hAnsi="Times New Roman" w:cs="Times New Roman"/>
          <w:b/>
        </w:rPr>
      </w:pPr>
    </w:p>
    <w:p w:rsidR="00CF51E3" w:rsidRPr="00CF51E3" w:rsidP="00ED544E">
      <w:pPr>
        <w:pStyle w:val="ListParagraph"/>
        <w:spacing w:line="240" w:lineRule="auto"/>
        <w:jc w:val="both"/>
        <w:rPr>
          <w:rFonts w:ascii="Times New Roman" w:hAnsi="Times New Roman" w:cs="Times New Roman"/>
        </w:rPr>
      </w:pPr>
      <w:r w:rsidRPr="00CF51E3">
        <w:rPr>
          <w:rFonts w:ascii="Times New Roman" w:hAnsi="Times New Roman" w:cs="Times New Roman"/>
        </w:rPr>
        <w:t>No updates.</w:t>
      </w:r>
    </w:p>
    <w:p w:rsidR="00CD55F9" w:rsidRPr="00CF51E3" w:rsidP="00A45ED8">
      <w:pPr>
        <w:pStyle w:val="ListParagraph"/>
        <w:spacing w:line="240" w:lineRule="auto"/>
        <w:ind w:left="1440"/>
        <w:jc w:val="both"/>
        <w:rPr>
          <w:rFonts w:ascii="Times New Roman" w:hAnsi="Times New Roman" w:cs="Times New Roman"/>
        </w:rPr>
      </w:pPr>
    </w:p>
    <w:p w:rsidR="00A45ED8" w:rsidRPr="00CF51E3" w:rsidP="002C17C9">
      <w:pPr>
        <w:pStyle w:val="ListParagraph"/>
        <w:spacing w:line="240" w:lineRule="auto"/>
        <w:jc w:val="both"/>
        <w:rPr>
          <w:rFonts w:ascii="Times New Roman" w:hAnsi="Times New Roman" w:cs="Times New Roman"/>
        </w:rPr>
      </w:pPr>
      <w:r w:rsidRPr="00CF51E3">
        <w:rPr>
          <w:rFonts w:ascii="Times New Roman" w:hAnsi="Times New Roman" w:cs="Times New Roman"/>
          <w:b/>
        </w:rPr>
        <w:t>F.</w:t>
      </w:r>
      <w:r w:rsidRPr="00CF51E3">
        <w:rPr>
          <w:rFonts w:ascii="Times New Roman" w:hAnsi="Times New Roman" w:cs="Times New Roman"/>
          <w:b/>
        </w:rPr>
        <w:tab/>
      </w:r>
      <w:r w:rsidRPr="00CF51E3" w:rsidR="00017026">
        <w:rPr>
          <w:rFonts w:ascii="Times New Roman" w:hAnsi="Times New Roman" w:cs="Times New Roman"/>
          <w:b/>
        </w:rPr>
        <w:t>Chapter 12.</w:t>
      </w:r>
      <w:r w:rsidRPr="00CF51E3" w:rsidR="006822C0">
        <w:rPr>
          <w:rFonts w:ascii="Times New Roman" w:hAnsi="Times New Roman" w:cs="Times New Roman"/>
          <w:b/>
        </w:rPr>
        <w:t xml:space="preserve"> (11 U.S.C. </w:t>
      </w:r>
      <w:r w:rsidRPr="00CF51E3" w:rsidR="009A7A82">
        <w:rPr>
          <w:rFonts w:ascii="Times New Roman" w:hAnsi="Times New Roman" w:cs="Times New Roman"/>
          <w:b/>
        </w:rPr>
        <w:t xml:space="preserve">§ </w:t>
      </w:r>
      <w:r w:rsidRPr="00CF51E3" w:rsidR="006822C0">
        <w:rPr>
          <w:rFonts w:ascii="Times New Roman" w:hAnsi="Times New Roman" w:cs="Times New Roman"/>
          <w:b/>
        </w:rPr>
        <w:t xml:space="preserve">1201 </w:t>
      </w:r>
      <w:r w:rsidRPr="00CF51E3" w:rsidR="006822C0">
        <w:rPr>
          <w:rFonts w:ascii="Times New Roman" w:hAnsi="Times New Roman" w:cs="Times New Roman"/>
          <w:b/>
          <w:i/>
        </w:rPr>
        <w:t>et seq</w:t>
      </w:r>
      <w:r w:rsidRPr="00CF51E3" w:rsidR="006822C0">
        <w:rPr>
          <w:rFonts w:ascii="Times New Roman" w:hAnsi="Times New Roman" w:cs="Times New Roman"/>
          <w:b/>
        </w:rPr>
        <w:t>.)</w:t>
      </w:r>
    </w:p>
    <w:p w:rsidR="005F2DA6" w:rsidRPr="00CF51E3" w:rsidP="008A69EE">
      <w:pPr>
        <w:ind w:left="720"/>
        <w:jc w:val="both"/>
        <w:rPr>
          <w:rFonts w:eastAsia="Times New Roman" w:cs="Times New Roman"/>
          <w:sz w:val="22"/>
        </w:rPr>
      </w:pPr>
      <w:r>
        <w:rPr>
          <w:rFonts w:eastAsia="Times New Roman" w:cs="Times New Roman"/>
          <w:b/>
          <w:sz w:val="22"/>
        </w:rPr>
        <w:t>1.</w:t>
      </w:r>
      <w:r>
        <w:rPr>
          <w:rFonts w:eastAsia="Times New Roman" w:cs="Times New Roman"/>
          <w:b/>
          <w:sz w:val="22"/>
        </w:rPr>
        <w:tab/>
      </w:r>
      <w:r w:rsidRPr="00CF51E3" w:rsidR="008A69EE">
        <w:rPr>
          <w:rFonts w:eastAsia="Times New Roman" w:cs="Times New Roman"/>
          <w:b/>
          <w:sz w:val="22"/>
        </w:rPr>
        <w:t>Chapter 12 plan not in best interest of creditors.</w:t>
      </w:r>
      <w:r w:rsidRPr="00CF51E3" w:rsidR="00DB6605">
        <w:rPr>
          <w:rFonts w:eastAsia="Times New Roman" w:cs="Times New Roman"/>
          <w:sz w:val="22"/>
        </w:rPr>
        <w:t xml:space="preserve">  Graves Farms (the “Debtor”) was indebted to RCB Bank  (the “Lender”) and the debt was secured by farmland and farm equipment.  The Debtor filed a Chapter 12 bankruptcy.  The Chapter 12 </w:t>
      </w:r>
      <w:r w:rsidRPr="00CF51E3" w:rsidR="00390FE5">
        <w:rPr>
          <w:rFonts w:eastAsia="Times New Roman" w:cs="Times New Roman"/>
          <w:sz w:val="22"/>
        </w:rPr>
        <w:t xml:space="preserve">plan </w:t>
      </w:r>
      <w:r w:rsidRPr="00CF51E3" w:rsidR="00DB6605">
        <w:rPr>
          <w:rFonts w:eastAsia="Times New Roman" w:cs="Times New Roman"/>
          <w:sz w:val="22"/>
        </w:rPr>
        <w:t xml:space="preserve">proposed to sell and lease certain assets.  The Lender objected on the basis that </w:t>
      </w:r>
      <w:r w:rsidRPr="00CF51E3">
        <w:rPr>
          <w:rFonts w:eastAsia="Calibri" w:cs="Times New Roman"/>
          <w:sz w:val="22"/>
        </w:rPr>
        <w:t>the plan does</w:t>
      </w:r>
      <w:r w:rsidRPr="00CF51E3" w:rsidR="00DB6605">
        <w:rPr>
          <w:rFonts w:eastAsia="Calibri" w:cs="Times New Roman"/>
          <w:sz w:val="22"/>
        </w:rPr>
        <w:t xml:space="preserve"> not f</w:t>
      </w:r>
      <w:r w:rsidRPr="00CF51E3">
        <w:rPr>
          <w:rFonts w:eastAsia="Calibri" w:cs="Times New Roman"/>
          <w:sz w:val="22"/>
        </w:rPr>
        <w:t>ulfill the bes</w:t>
      </w:r>
      <w:r w:rsidRPr="00CF51E3" w:rsidR="00DB6605">
        <w:rPr>
          <w:rFonts w:eastAsia="Calibri" w:cs="Times New Roman"/>
          <w:sz w:val="22"/>
        </w:rPr>
        <w:t>t interest of creditors test</w:t>
      </w:r>
      <w:r w:rsidRPr="00CF51E3" w:rsidR="00390FE5">
        <w:rPr>
          <w:rFonts w:eastAsia="Calibri" w:cs="Times New Roman"/>
          <w:sz w:val="22"/>
        </w:rPr>
        <w:t xml:space="preserve"> under 11 U.S.C. §1225(a)(4) because the plan failed to pay the Lender the full value of its farm equipment collateral</w:t>
      </w:r>
      <w:r w:rsidRPr="00CF51E3" w:rsidR="007100E5">
        <w:rPr>
          <w:rFonts w:eastAsia="Calibri" w:cs="Times New Roman"/>
          <w:sz w:val="22"/>
        </w:rPr>
        <w:t>.</w:t>
      </w:r>
      <w:r w:rsidRPr="00CF51E3" w:rsidR="008A69EE">
        <w:rPr>
          <w:rFonts w:eastAsia="Calibri" w:cs="Times New Roman"/>
          <w:sz w:val="22"/>
        </w:rPr>
        <w:t xml:space="preserve">  The Court agreed.  </w:t>
      </w:r>
      <w:r w:rsidRPr="00CF51E3">
        <w:rPr>
          <w:rFonts w:cs="Times New Roman"/>
          <w:i/>
          <w:sz w:val="22"/>
        </w:rPr>
        <w:t>In re Graves Farms, Case No. 18-10893 (</w:t>
      </w:r>
      <w:r w:rsidRPr="00CF51E3" w:rsidR="00990F55">
        <w:rPr>
          <w:rFonts w:cs="Times New Roman"/>
          <w:i/>
          <w:sz w:val="22"/>
        </w:rPr>
        <w:t>Bankr. Kan.</w:t>
      </w:r>
      <w:r w:rsidRPr="00CF51E3" w:rsidR="007100E5">
        <w:rPr>
          <w:rFonts w:cs="Times New Roman"/>
          <w:i/>
          <w:sz w:val="22"/>
        </w:rPr>
        <w:t xml:space="preserve"> </w:t>
      </w:r>
      <w:r w:rsidRPr="00CF51E3">
        <w:rPr>
          <w:rFonts w:cs="Times New Roman"/>
          <w:i/>
          <w:sz w:val="22"/>
        </w:rPr>
        <w:t>2019)</w:t>
      </w:r>
      <w:r w:rsidRPr="00CF51E3" w:rsidR="007100E5">
        <w:rPr>
          <w:rFonts w:cs="Times New Roman"/>
          <w:i/>
          <w:sz w:val="22"/>
        </w:rPr>
        <w:t>.</w:t>
      </w:r>
    </w:p>
    <w:p w:rsidR="005F2DA6" w:rsidRPr="00CF51E3" w:rsidP="008A69EE">
      <w:pPr>
        <w:ind w:left="720"/>
        <w:jc w:val="both"/>
        <w:rPr>
          <w:rFonts w:eastAsia="Times New Roman" w:cs="Times New Roman"/>
          <w:sz w:val="22"/>
        </w:rPr>
      </w:pPr>
    </w:p>
    <w:p w:rsidR="008A69EE" w:rsidRPr="00CF51E3" w:rsidP="008A69EE">
      <w:pPr>
        <w:ind w:left="720"/>
        <w:jc w:val="both"/>
        <w:rPr>
          <w:rFonts w:eastAsia="Times New Roman" w:cs="Times New Roman"/>
          <w:sz w:val="22"/>
        </w:rPr>
      </w:pPr>
      <w:r>
        <w:rPr>
          <w:rFonts w:eastAsia="Times New Roman" w:cs="Times New Roman"/>
          <w:b/>
          <w:sz w:val="22"/>
        </w:rPr>
        <w:t>2.</w:t>
      </w:r>
      <w:r>
        <w:rPr>
          <w:rFonts w:eastAsia="Times New Roman" w:cs="Times New Roman"/>
          <w:b/>
          <w:sz w:val="22"/>
        </w:rPr>
        <w:tab/>
      </w:r>
      <w:r w:rsidRPr="00CF51E3">
        <w:rPr>
          <w:rFonts w:eastAsia="Times New Roman" w:cs="Times New Roman"/>
          <w:b/>
          <w:sz w:val="22"/>
        </w:rPr>
        <w:t xml:space="preserve">Chapter 12 plan denied because of lack of testimony as to the reasonable interest rate.  </w:t>
      </w:r>
      <w:r w:rsidRPr="00CF51E3">
        <w:rPr>
          <w:rFonts w:eastAsia="Times New Roman" w:cs="Times New Roman"/>
          <w:sz w:val="22"/>
        </w:rPr>
        <w:t xml:space="preserve">Graves Farms (the “Debtor”) was </w:t>
      </w:r>
      <w:r w:rsidR="004C534A">
        <w:rPr>
          <w:rFonts w:eastAsia="Times New Roman" w:cs="Times New Roman"/>
          <w:sz w:val="22"/>
        </w:rPr>
        <w:t>i</w:t>
      </w:r>
      <w:r w:rsidRPr="00CF51E3">
        <w:rPr>
          <w:rFonts w:eastAsia="Times New Roman" w:cs="Times New Roman"/>
          <w:sz w:val="22"/>
        </w:rPr>
        <w:t>ndebted to RCB Bank (the “Lender”) and the de</w:t>
      </w:r>
      <w:r w:rsidR="004C534A">
        <w:rPr>
          <w:rFonts w:eastAsia="Times New Roman" w:cs="Times New Roman"/>
          <w:sz w:val="22"/>
        </w:rPr>
        <w:t xml:space="preserve">bt was secured by farmland and </w:t>
      </w:r>
      <w:r w:rsidRPr="00CF51E3">
        <w:rPr>
          <w:rFonts w:eastAsia="Times New Roman" w:cs="Times New Roman"/>
          <w:sz w:val="22"/>
        </w:rPr>
        <w:t xml:space="preserve">farm equipment.  The Debtor filed a Chapter 12 bankruptcy.  The Chapter 12 plan proposed to sell and lease certain assets.  The Lender objected on the basis that </w:t>
      </w:r>
      <w:r w:rsidRPr="00CF51E3">
        <w:rPr>
          <w:rFonts w:eastAsia="Calibri" w:cs="Times New Roman"/>
          <w:sz w:val="22"/>
        </w:rPr>
        <w:t>the plan did not comply with the treatment of secured claims under 11 U.S.C. §1225(a)(5)(B) because the Debtor failed to provide testimony that the proposed 5.75% interest rate was reasonable.  In light of a prime rate of 5.5%, for which the court took judicial notice, the court agreed.</w:t>
      </w:r>
      <w:r w:rsidRPr="00CF51E3">
        <w:rPr>
          <w:rFonts w:cs="Times New Roman"/>
          <w:b/>
          <w:i/>
          <w:sz w:val="22"/>
        </w:rPr>
        <w:t xml:space="preserve"> </w:t>
      </w:r>
      <w:r w:rsidRPr="00CF51E3">
        <w:rPr>
          <w:rFonts w:cs="Times New Roman"/>
          <w:i/>
          <w:sz w:val="22"/>
        </w:rPr>
        <w:t>In re Graves Farms, Case No. 18-10893 (Bankr. Kan. 2019).</w:t>
      </w:r>
    </w:p>
    <w:p w:rsidR="007100E5" w:rsidRPr="00CF51E3" w:rsidP="008A69EE">
      <w:pPr>
        <w:ind w:left="720"/>
        <w:jc w:val="both"/>
        <w:rPr>
          <w:rFonts w:eastAsia="Times New Roman" w:cs="Times New Roman"/>
          <w:sz w:val="22"/>
        </w:rPr>
      </w:pPr>
    </w:p>
    <w:p w:rsidR="008A69EE" w:rsidRPr="00CF51E3" w:rsidP="008A69EE">
      <w:pPr>
        <w:ind w:left="720"/>
        <w:jc w:val="both"/>
        <w:rPr>
          <w:rFonts w:eastAsia="Times New Roman" w:cs="Times New Roman"/>
          <w:sz w:val="22"/>
        </w:rPr>
      </w:pPr>
      <w:r>
        <w:rPr>
          <w:rFonts w:eastAsia="Times New Roman" w:cs="Times New Roman"/>
          <w:b/>
          <w:sz w:val="22"/>
        </w:rPr>
        <w:t>3.</w:t>
      </w:r>
      <w:r>
        <w:rPr>
          <w:rFonts w:eastAsia="Times New Roman" w:cs="Times New Roman"/>
          <w:b/>
          <w:sz w:val="22"/>
        </w:rPr>
        <w:tab/>
      </w:r>
      <w:r w:rsidRPr="00CF51E3">
        <w:rPr>
          <w:rFonts w:eastAsia="Times New Roman" w:cs="Times New Roman"/>
          <w:b/>
          <w:sz w:val="22"/>
        </w:rPr>
        <w:t xml:space="preserve">Chapter 12 plan was not historically feasible.  </w:t>
      </w:r>
      <w:r w:rsidRPr="00CF51E3">
        <w:rPr>
          <w:rFonts w:eastAsia="Times New Roman" w:cs="Times New Roman"/>
          <w:sz w:val="22"/>
        </w:rPr>
        <w:t xml:space="preserve">Graves Farms (the “Debtor”) was indebted to RCB Bank  (the “Lender”) and the debt was secured by farmland and farm equipment.  The Debtor filed a Chapter 12 bankruptcy.  The Chapter 12 plan proposed to sell and lease certain assets.  The Lender objected on the basis that </w:t>
      </w:r>
      <w:r w:rsidRPr="00CF51E3">
        <w:rPr>
          <w:rFonts w:eastAsia="Calibri" w:cs="Times New Roman"/>
          <w:sz w:val="22"/>
        </w:rPr>
        <w:t>the plan was not historically feasible under 11 U.S.C. §1225(a)(6) due to the undocumented tenant relationship believed farm leases and the lack of crop production data.  The Court agreed.</w:t>
      </w:r>
      <w:r w:rsidRPr="00CF51E3">
        <w:rPr>
          <w:rFonts w:cs="Times New Roman"/>
          <w:b/>
          <w:i/>
          <w:sz w:val="22"/>
        </w:rPr>
        <w:t xml:space="preserve"> </w:t>
      </w:r>
      <w:r w:rsidRPr="00CF51E3">
        <w:rPr>
          <w:rFonts w:cs="Times New Roman"/>
          <w:i/>
          <w:sz w:val="22"/>
        </w:rPr>
        <w:t>In re Graves Farms, Case No. 18-10893 (Bankr. Kan. 2019).</w:t>
      </w:r>
    </w:p>
    <w:p w:rsidR="008A69EE" w:rsidRPr="00CF51E3" w:rsidP="00175AB4">
      <w:pPr>
        <w:jc w:val="both"/>
        <w:rPr>
          <w:rFonts w:eastAsia="Times New Roman" w:cs="Times New Roman"/>
          <w:sz w:val="22"/>
        </w:rPr>
      </w:pPr>
    </w:p>
    <w:p w:rsidR="005F2DA6" w:rsidRPr="00CF51E3" w:rsidP="00CF51E3">
      <w:pPr>
        <w:spacing w:after="240"/>
        <w:ind w:left="720"/>
        <w:jc w:val="both"/>
        <w:rPr>
          <w:rFonts w:eastAsia="Calibri" w:cs="Times New Roman"/>
          <w:sz w:val="22"/>
        </w:rPr>
      </w:pPr>
      <w:r>
        <w:rPr>
          <w:rFonts w:eastAsia="Calibri" w:cs="Times New Roman"/>
          <w:b/>
          <w:sz w:val="22"/>
        </w:rPr>
        <w:t>4.</w:t>
      </w:r>
      <w:r>
        <w:rPr>
          <w:rFonts w:eastAsia="Calibri" w:cs="Times New Roman"/>
          <w:b/>
          <w:sz w:val="22"/>
        </w:rPr>
        <w:tab/>
      </w:r>
      <w:r w:rsidRPr="00CF51E3" w:rsidR="008A69EE">
        <w:rPr>
          <w:rFonts w:eastAsia="Calibri" w:cs="Times New Roman"/>
          <w:b/>
          <w:sz w:val="22"/>
        </w:rPr>
        <w:t>Chapter 12 plan was not f</w:t>
      </w:r>
      <w:r w:rsidRPr="00CF51E3" w:rsidR="0008528A">
        <w:rPr>
          <w:rFonts w:eastAsia="Calibri" w:cs="Times New Roman"/>
          <w:b/>
          <w:sz w:val="22"/>
        </w:rPr>
        <w:t xml:space="preserve">easible. </w:t>
      </w:r>
      <w:r w:rsidRPr="00CF51E3" w:rsidR="0008528A">
        <w:rPr>
          <w:rFonts w:eastAsia="Calibri" w:cs="Times New Roman"/>
          <w:sz w:val="22"/>
        </w:rPr>
        <w:t xml:space="preserve"> </w:t>
      </w:r>
      <w:r w:rsidRPr="00CF51E3" w:rsidR="007100E5">
        <w:rPr>
          <w:rFonts w:eastAsia="Calibri" w:cs="Times New Roman"/>
          <w:sz w:val="22"/>
        </w:rPr>
        <w:t xml:space="preserve">Jubilee Farms </w:t>
      </w:r>
      <w:r w:rsidRPr="00CF51E3" w:rsidR="008A69EE">
        <w:rPr>
          <w:rFonts w:eastAsia="Calibri" w:cs="Times New Roman"/>
          <w:sz w:val="22"/>
        </w:rPr>
        <w:t xml:space="preserve">and Quickert Farms, LLC </w:t>
      </w:r>
      <w:r w:rsidRPr="00CF51E3" w:rsidR="007100E5">
        <w:rPr>
          <w:rFonts w:eastAsia="Calibri" w:cs="Times New Roman"/>
          <w:sz w:val="22"/>
        </w:rPr>
        <w:t>(the “</w:t>
      </w:r>
      <w:r w:rsidRPr="00CF51E3" w:rsidR="008A69EE">
        <w:rPr>
          <w:rFonts w:eastAsia="Calibri" w:cs="Times New Roman"/>
          <w:sz w:val="22"/>
        </w:rPr>
        <w:t>Debtors</w:t>
      </w:r>
      <w:r w:rsidRPr="00CF51E3" w:rsidR="007100E5">
        <w:rPr>
          <w:rFonts w:eastAsia="Calibri" w:cs="Times New Roman"/>
          <w:sz w:val="22"/>
        </w:rPr>
        <w:t xml:space="preserve">”) </w:t>
      </w:r>
      <w:r w:rsidRPr="00CF51E3" w:rsidR="008A69EE">
        <w:rPr>
          <w:rFonts w:eastAsia="Calibri" w:cs="Times New Roman"/>
          <w:sz w:val="22"/>
        </w:rPr>
        <w:t>w</w:t>
      </w:r>
      <w:r w:rsidRPr="00CF51E3" w:rsidR="007100E5">
        <w:rPr>
          <w:rFonts w:eastAsia="Calibri" w:cs="Times New Roman"/>
          <w:sz w:val="22"/>
        </w:rPr>
        <w:t xml:space="preserve">ere indebted to </w:t>
      </w:r>
      <w:r w:rsidRPr="00CF51E3" w:rsidR="008A69EE">
        <w:rPr>
          <w:rFonts w:eastAsia="Calibri" w:cs="Times New Roman"/>
          <w:sz w:val="22"/>
        </w:rPr>
        <w:t>Farm Credit Mid-America, FLCA and Farm Credit Services of America, PCA</w:t>
      </w:r>
      <w:r w:rsidRPr="00CF51E3" w:rsidR="007100E5">
        <w:rPr>
          <w:rFonts w:eastAsia="Calibri" w:cs="Times New Roman"/>
          <w:sz w:val="22"/>
        </w:rPr>
        <w:t xml:space="preserve"> (the “Lender</w:t>
      </w:r>
      <w:r w:rsidRPr="00CF51E3" w:rsidR="008A69EE">
        <w:rPr>
          <w:rFonts w:eastAsia="Calibri" w:cs="Times New Roman"/>
          <w:sz w:val="22"/>
        </w:rPr>
        <w:t>s</w:t>
      </w:r>
      <w:r w:rsidRPr="00CF51E3" w:rsidR="007100E5">
        <w:rPr>
          <w:rFonts w:eastAsia="Calibri" w:cs="Times New Roman"/>
          <w:sz w:val="22"/>
        </w:rPr>
        <w:t>”) and the debt was secured by the D</w:t>
      </w:r>
      <w:r w:rsidRPr="00CF51E3" w:rsidR="008A69EE">
        <w:rPr>
          <w:rFonts w:eastAsia="Calibri" w:cs="Times New Roman"/>
          <w:sz w:val="22"/>
        </w:rPr>
        <w:t>ebtor</w:t>
      </w:r>
      <w:r w:rsidRPr="00CF51E3" w:rsidR="00CD55F9">
        <w:rPr>
          <w:rFonts w:eastAsia="Calibri" w:cs="Times New Roman"/>
          <w:sz w:val="22"/>
        </w:rPr>
        <w:t>s</w:t>
      </w:r>
      <w:r w:rsidRPr="00CF51E3" w:rsidR="008A69EE">
        <w:rPr>
          <w:rFonts w:eastAsia="Calibri" w:cs="Times New Roman"/>
          <w:sz w:val="22"/>
        </w:rPr>
        <w:t>’</w:t>
      </w:r>
      <w:r w:rsidRPr="00CF51E3" w:rsidR="00CD55F9">
        <w:rPr>
          <w:rFonts w:eastAsia="Calibri" w:cs="Times New Roman"/>
          <w:sz w:val="22"/>
        </w:rPr>
        <w:t xml:space="preserve"> crops, chemicals, supplies and equipment.</w:t>
      </w:r>
      <w:r w:rsidRPr="00CF51E3" w:rsidR="007100E5">
        <w:rPr>
          <w:rFonts w:eastAsia="Calibri" w:cs="Times New Roman"/>
          <w:sz w:val="22"/>
        </w:rPr>
        <w:t xml:space="preserve">  The Debtors filed a Chapter 12 bankruptcy.  </w:t>
      </w:r>
      <w:r w:rsidRPr="00CF51E3" w:rsidR="00D0332A">
        <w:rPr>
          <w:rFonts w:eastAsia="Calibri" w:cs="Times New Roman"/>
          <w:sz w:val="22"/>
        </w:rPr>
        <w:t xml:space="preserve">The Lenders objected on the basis that the one-year income and expense projections are limited and unrealistic compared to historical income and expenses that, therefore, the plan was not feasible under 11 U.S.C. §1225(a)(6).  The Court agreed and held that </w:t>
      </w:r>
      <w:r w:rsidR="004C534A">
        <w:rPr>
          <w:rFonts w:eastAsia="Calibri" w:cs="Times New Roman"/>
          <w:sz w:val="22"/>
        </w:rPr>
        <w:t xml:space="preserve">the </w:t>
      </w:r>
      <w:r w:rsidRPr="00CF51E3" w:rsidR="00D0332A">
        <w:rPr>
          <w:rFonts w:eastAsia="Calibri" w:cs="Times New Roman"/>
          <w:sz w:val="22"/>
        </w:rPr>
        <w:t>soybean yield and price projections were unrealistic an</w:t>
      </w:r>
      <w:r w:rsidR="004C534A">
        <w:rPr>
          <w:rFonts w:eastAsia="Calibri" w:cs="Times New Roman"/>
          <w:sz w:val="22"/>
        </w:rPr>
        <w:t>d the one-year of projections did</w:t>
      </w:r>
      <w:r w:rsidRPr="00CF51E3" w:rsidR="00D0332A">
        <w:rPr>
          <w:rFonts w:eastAsia="Calibri" w:cs="Times New Roman"/>
          <w:sz w:val="22"/>
        </w:rPr>
        <w:t xml:space="preserve"> not contemplate the anticipated sale of farmland proposed in the plan.  </w:t>
      </w:r>
      <w:r w:rsidRPr="00CF51E3" w:rsidR="00CD55F9">
        <w:rPr>
          <w:rFonts w:eastAsia="Calibri" w:cs="Times New Roman"/>
          <w:i/>
          <w:sz w:val="22"/>
        </w:rPr>
        <w:t>In re Jubilee Farms, 595 B.R. 546 (</w:t>
      </w:r>
      <w:r w:rsidRPr="00CF51E3" w:rsidR="00990F55">
        <w:rPr>
          <w:rFonts w:eastAsia="Calibri" w:cs="Times New Roman"/>
          <w:i/>
          <w:sz w:val="22"/>
        </w:rPr>
        <w:t>Bankr. E.D. Ky.</w:t>
      </w:r>
      <w:r w:rsidRPr="00CF51E3" w:rsidR="0008528A">
        <w:rPr>
          <w:rFonts w:eastAsia="Calibri" w:cs="Times New Roman"/>
          <w:i/>
          <w:sz w:val="22"/>
        </w:rPr>
        <w:t xml:space="preserve"> </w:t>
      </w:r>
      <w:r w:rsidRPr="00CF51E3" w:rsidR="00CD55F9">
        <w:rPr>
          <w:rFonts w:eastAsia="Calibri" w:cs="Times New Roman"/>
          <w:i/>
          <w:sz w:val="22"/>
        </w:rPr>
        <w:t>2018)</w:t>
      </w:r>
      <w:r w:rsidRPr="00CF51E3" w:rsidR="0008528A">
        <w:rPr>
          <w:rFonts w:eastAsia="Calibri" w:cs="Times New Roman"/>
          <w:i/>
          <w:sz w:val="22"/>
        </w:rPr>
        <w:t>.</w:t>
      </w:r>
    </w:p>
    <w:p w:rsidR="00C65226" w:rsidRPr="00CF51E3" w:rsidP="00A45ED8">
      <w:pPr>
        <w:pStyle w:val="ListParagraph"/>
        <w:spacing w:line="240" w:lineRule="auto"/>
        <w:jc w:val="both"/>
        <w:rPr>
          <w:rFonts w:ascii="Times New Roman" w:eastAsia="Times New Roman" w:hAnsi="Times New Roman" w:cs="Times New Roman"/>
        </w:rPr>
      </w:pPr>
      <w:r w:rsidRPr="00CF51E3">
        <w:rPr>
          <w:rFonts w:ascii="Times New Roman" w:eastAsia="Times New Roman" w:hAnsi="Times New Roman" w:cs="Times New Roman"/>
          <w:b/>
        </w:rPr>
        <w:t>G.</w:t>
      </w:r>
      <w:r w:rsidRPr="00CF51E3" w:rsidR="00B91A69">
        <w:rPr>
          <w:rFonts w:ascii="Times New Roman" w:hAnsi="Times New Roman" w:cs="Times New Roman"/>
          <w:b/>
        </w:rPr>
        <w:tab/>
      </w:r>
      <w:r w:rsidRPr="00CF51E3" w:rsidR="00017026">
        <w:rPr>
          <w:rFonts w:ascii="Times New Roman" w:hAnsi="Times New Roman" w:cs="Times New Roman"/>
          <w:b/>
        </w:rPr>
        <w:t>Chapter 13</w:t>
      </w:r>
      <w:r w:rsidRPr="00CF51E3" w:rsidR="00B91EE9">
        <w:rPr>
          <w:rFonts w:ascii="Times New Roman" w:hAnsi="Times New Roman" w:cs="Times New Roman"/>
          <w:b/>
        </w:rPr>
        <w:t>.</w:t>
      </w:r>
      <w:r w:rsidRPr="00CF51E3" w:rsidR="006822C0">
        <w:rPr>
          <w:rFonts w:ascii="Times New Roman" w:hAnsi="Times New Roman" w:cs="Times New Roman"/>
          <w:b/>
        </w:rPr>
        <w:t xml:space="preserve"> (11 U.S.C. </w:t>
      </w:r>
      <w:r w:rsidRPr="00CF51E3" w:rsidR="009A7A82">
        <w:rPr>
          <w:rFonts w:ascii="Times New Roman" w:hAnsi="Times New Roman" w:cs="Times New Roman"/>
          <w:b/>
        </w:rPr>
        <w:t xml:space="preserve">§ </w:t>
      </w:r>
      <w:r w:rsidRPr="00CF51E3" w:rsidR="006822C0">
        <w:rPr>
          <w:rFonts w:ascii="Times New Roman" w:hAnsi="Times New Roman" w:cs="Times New Roman"/>
          <w:b/>
        </w:rPr>
        <w:t xml:space="preserve">1301 </w:t>
      </w:r>
      <w:r w:rsidRPr="00CF51E3" w:rsidR="006822C0">
        <w:rPr>
          <w:rFonts w:ascii="Times New Roman" w:hAnsi="Times New Roman" w:cs="Times New Roman"/>
          <w:b/>
          <w:i/>
        </w:rPr>
        <w:t>et seq</w:t>
      </w:r>
      <w:r w:rsidRPr="00CF51E3" w:rsidR="006822C0">
        <w:rPr>
          <w:rFonts w:ascii="Times New Roman" w:hAnsi="Times New Roman" w:cs="Times New Roman"/>
          <w:b/>
        </w:rPr>
        <w:t>.)</w:t>
      </w:r>
    </w:p>
    <w:p w:rsidR="005B1D97" w:rsidRPr="00CF51E3" w:rsidP="005B1D97">
      <w:pPr>
        <w:ind w:left="720"/>
        <w:jc w:val="both"/>
        <w:rPr>
          <w:rFonts w:cs="Times New Roman"/>
          <w:sz w:val="22"/>
        </w:rPr>
      </w:pPr>
      <w:r w:rsidRPr="00CF51E3">
        <w:rPr>
          <w:rFonts w:cs="Times New Roman"/>
          <w:sz w:val="22"/>
        </w:rPr>
        <w:t>No updates.</w:t>
      </w:r>
      <w:r w:rsidRPr="00CF51E3" w:rsidR="00C65226">
        <w:rPr>
          <w:rFonts w:cs="Times New Roman"/>
          <w:sz w:val="22"/>
        </w:rPr>
        <w:tab/>
      </w:r>
    </w:p>
    <w:p w:rsidR="00694042" w:rsidRPr="00CF51E3" w:rsidP="00D50EA5">
      <w:pPr>
        <w:jc w:val="both"/>
        <w:rPr>
          <w:rFonts w:cs="Times New Roman"/>
          <w:b/>
          <w:sz w:val="22"/>
        </w:rPr>
      </w:pPr>
    </w:p>
    <w:p w:rsidR="00390FE5" w:rsidRPr="00CF51E3" w:rsidP="00CF51E3">
      <w:pPr>
        <w:ind w:left="720"/>
        <w:jc w:val="both"/>
        <w:rPr>
          <w:rFonts w:eastAsia="Calibri" w:cs="Times New Roman"/>
          <w:b/>
          <w:sz w:val="22"/>
        </w:rPr>
      </w:pPr>
      <w:r w:rsidRPr="00CF51E3">
        <w:rPr>
          <w:rFonts w:eastAsia="Calibri" w:cs="Times New Roman"/>
          <w:b/>
          <w:sz w:val="22"/>
        </w:rPr>
        <w:t>H.</w:t>
      </w:r>
      <w:r w:rsidRPr="00CF51E3">
        <w:rPr>
          <w:rFonts w:eastAsia="Calibri" w:cs="Times New Roman"/>
          <w:b/>
          <w:sz w:val="22"/>
        </w:rPr>
        <w:tab/>
        <w:t xml:space="preserve">Judicial Procedure (28 U.S.C. § 151 </w:t>
      </w:r>
      <w:r w:rsidRPr="00CF51E3">
        <w:rPr>
          <w:rFonts w:eastAsia="Calibri" w:cs="Times New Roman"/>
          <w:b/>
          <w:i/>
          <w:sz w:val="22"/>
        </w:rPr>
        <w:t>et seq</w:t>
      </w:r>
      <w:r w:rsidRPr="00CF51E3">
        <w:rPr>
          <w:rFonts w:eastAsia="Calibri" w:cs="Times New Roman"/>
          <w:b/>
          <w:sz w:val="22"/>
        </w:rPr>
        <w:t xml:space="preserve">.)  </w:t>
      </w:r>
    </w:p>
    <w:p w:rsidR="00390FE5" w:rsidRPr="00CF51E3" w:rsidP="00CF51E3">
      <w:pPr>
        <w:ind w:left="720"/>
        <w:jc w:val="both"/>
        <w:rPr>
          <w:rFonts w:eastAsia="Calibri" w:cs="Times New Roman"/>
          <w:b/>
          <w:sz w:val="22"/>
        </w:rPr>
      </w:pPr>
    </w:p>
    <w:p w:rsidR="00390FE5" w:rsidRPr="00CF51E3" w:rsidP="00CF51E3">
      <w:pPr>
        <w:ind w:left="720"/>
        <w:jc w:val="both"/>
        <w:rPr>
          <w:rFonts w:cs="Times New Roman"/>
          <w:sz w:val="22"/>
        </w:rPr>
      </w:pPr>
      <w:r w:rsidRPr="00CF51E3">
        <w:rPr>
          <w:rFonts w:eastAsia="Calibri" w:cs="Times New Roman"/>
          <w:b/>
          <w:sz w:val="22"/>
        </w:rPr>
        <w:t>Post-petition payments from loan advances constitute disbursements for purposes of calculating the UST Fees.</w:t>
      </w:r>
      <w:r w:rsidRPr="00CF51E3">
        <w:rPr>
          <w:rFonts w:eastAsia="Calibri" w:cs="Times New Roman"/>
          <w:sz w:val="22"/>
        </w:rPr>
        <w:t xml:space="preserve">  Cranberry Growers Cooperative (the “Debtor”) was indebted to CoBank (the “Lender”) and the debt was secured by certain assets including the cranberries owned by the Debtor.  The Debtor filed a Chapter 11 bankruptcy.  The Debtor and the Lender agreed to post-petition debtor-in-possession (DIP) financing which allowed the Debtor to continue to operate while in the Chapter 11 (the “DIP Loan”).  The DIP Loan </w:t>
      </w:r>
      <w:r w:rsidRPr="00CF51E3">
        <w:rPr>
          <w:rFonts w:cs="Times New Roman"/>
          <w:sz w:val="22"/>
        </w:rPr>
        <w:t xml:space="preserve">required the proceeds from the sale of cranberries to be applied against the pre-petition line of credit and allowed the Debtor to request advances for post-petition operating expense.  The United States Trustee (UST) argued that the post-petition advances were “disbursements” and, therefore, should be considered for purposes of calculating the Debtor’s quarterly fee.  The Court agreed, in part, that the advances were “disbursements” under 28 U.S.C. §1930(a)(b), but that it would be inequitable to apply the UST fees to the advances to pay the UST fees (e.g. apply the UST fees on top of the paid UST fees). </w:t>
      </w:r>
      <w:r w:rsidRPr="00CF51E3">
        <w:rPr>
          <w:rFonts w:eastAsia="Calibri" w:cs="Times New Roman"/>
          <w:i/>
          <w:sz w:val="22"/>
        </w:rPr>
        <w:t>In re Cranberry Growers Cooperative, 592 B.R. 325 (Bankr. E.D. Wis. 2018).</w:t>
      </w:r>
    </w:p>
    <w:p w:rsidR="00694042" w:rsidRPr="00CF51E3" w:rsidP="00D50EA5">
      <w:pPr>
        <w:jc w:val="both"/>
        <w:rPr>
          <w:rFonts w:cs="Times New Roman"/>
          <w:b/>
          <w:sz w:val="22"/>
        </w:rPr>
      </w:pPr>
    </w:p>
    <w:p w:rsidR="00D50EA5" w:rsidRPr="00CF51E3" w:rsidP="00D50EA5">
      <w:pPr>
        <w:jc w:val="both"/>
        <w:rPr>
          <w:rFonts w:cs="Times New Roman"/>
          <w:b/>
          <w:sz w:val="22"/>
        </w:rPr>
      </w:pPr>
      <w:r w:rsidRPr="00CF51E3">
        <w:rPr>
          <w:rFonts w:cs="Times New Roman"/>
          <w:b/>
          <w:sz w:val="22"/>
        </w:rPr>
        <w:t xml:space="preserve">V.  </w:t>
      </w:r>
      <w:r w:rsidRPr="00CF51E3">
        <w:rPr>
          <w:rFonts w:cs="Times New Roman"/>
          <w:b/>
          <w:sz w:val="22"/>
        </w:rPr>
        <w:tab/>
        <w:t>OTHER FEDERAL LAW.</w:t>
      </w:r>
    </w:p>
    <w:p w:rsidR="00D50EA5" w:rsidRPr="00CF51E3" w:rsidP="00D50EA5">
      <w:pPr>
        <w:jc w:val="both"/>
        <w:rPr>
          <w:rFonts w:cs="Times New Roman"/>
          <w:b/>
          <w:sz w:val="22"/>
        </w:rPr>
      </w:pPr>
    </w:p>
    <w:p w:rsidR="00D50EA5" w:rsidRPr="00CF51E3" w:rsidP="00D50EA5">
      <w:pPr>
        <w:jc w:val="both"/>
        <w:rPr>
          <w:rFonts w:cs="Times New Roman"/>
          <w:b/>
          <w:sz w:val="22"/>
        </w:rPr>
      </w:pPr>
      <w:r w:rsidRPr="00CF51E3">
        <w:rPr>
          <w:rFonts w:cs="Times New Roman"/>
          <w:b/>
          <w:sz w:val="22"/>
        </w:rPr>
        <w:tab/>
        <w:t>A.</w:t>
      </w:r>
      <w:r w:rsidRPr="00CF51E3">
        <w:rPr>
          <w:rFonts w:cs="Times New Roman"/>
          <w:b/>
          <w:sz w:val="22"/>
        </w:rPr>
        <w:tab/>
        <w:t xml:space="preserve">Packers and Stockyard Act. </w:t>
      </w:r>
      <w:r w:rsidRPr="00CF51E3" w:rsidR="00EA0488">
        <w:rPr>
          <w:rFonts w:cs="Times New Roman"/>
          <w:b/>
          <w:sz w:val="22"/>
        </w:rPr>
        <w:t>(</w:t>
      </w:r>
      <w:r w:rsidRPr="00CF51E3" w:rsidR="00EA0488">
        <w:rPr>
          <w:b/>
          <w:sz w:val="22"/>
        </w:rPr>
        <w:t xml:space="preserve">7 U.S.C. § 192 </w:t>
      </w:r>
      <w:r w:rsidRPr="00CF51E3" w:rsidR="00EA0488">
        <w:rPr>
          <w:b/>
          <w:i/>
          <w:sz w:val="22"/>
        </w:rPr>
        <w:t>et seq</w:t>
      </w:r>
      <w:r w:rsidRPr="00CF51E3" w:rsidR="00EA0488">
        <w:rPr>
          <w:b/>
          <w:sz w:val="22"/>
        </w:rPr>
        <w:t>.)</w:t>
      </w:r>
    </w:p>
    <w:p w:rsidR="00D50EA5" w:rsidRPr="00CF51E3" w:rsidP="005B1D97">
      <w:pPr>
        <w:ind w:left="720"/>
        <w:jc w:val="both"/>
        <w:rPr>
          <w:rFonts w:cs="Times New Roman"/>
          <w:sz w:val="22"/>
        </w:rPr>
      </w:pPr>
    </w:p>
    <w:p w:rsidR="00D50EA5" w:rsidRPr="00CF51E3" w:rsidP="005B1D97">
      <w:pPr>
        <w:ind w:left="720"/>
        <w:jc w:val="both"/>
        <w:rPr>
          <w:rFonts w:cs="Times New Roman"/>
          <w:sz w:val="22"/>
        </w:rPr>
      </w:pPr>
      <w:r w:rsidRPr="00CF51E3">
        <w:rPr>
          <w:rFonts w:cs="Times New Roman"/>
          <w:sz w:val="22"/>
        </w:rPr>
        <w:t>No updates.</w:t>
      </w:r>
    </w:p>
    <w:p w:rsidR="00D50EA5" w:rsidRPr="00CF51E3" w:rsidP="005B1D97">
      <w:pPr>
        <w:ind w:left="720"/>
        <w:jc w:val="both"/>
        <w:rPr>
          <w:rFonts w:cs="Times New Roman"/>
          <w:sz w:val="22"/>
        </w:rPr>
      </w:pPr>
    </w:p>
    <w:p w:rsidR="003C181B" w:rsidRPr="00CF51E3" w:rsidP="005B1D97">
      <w:pPr>
        <w:ind w:left="720"/>
        <w:jc w:val="both"/>
        <w:rPr>
          <w:rFonts w:cs="Times New Roman"/>
          <w:sz w:val="22"/>
        </w:rPr>
      </w:pPr>
    </w:p>
    <w:p w:rsidR="00C4169C">
      <w:r>
        <w:pict>
          <v:shapetype id="_x0000_t202" coordsize="21600,21600" o:spt="202" path="m,l,21600r21600,l21600,xe">
            <v:stroke joinstyle="miter"/>
            <v:path gradientshapeok="t" o:connecttype="rect"/>
          </v:shapetype>
          <v:shape id="zzmpTrailer_4347_21" o:spid="_x0000_s1025" type="#_x0000_t202" style="height:20pt;margin-left:0;margin-top:0;mso-height-percent:0;mso-height-relative:page;mso-position-horizontal-relative:margin;mso-width-percent:0;mso-width-relative:page;mso-wrap-distance-bottom:0;mso-wrap-distance-left:9pt;mso-wrap-distance-right:9pt;mso-wrap-distance-top:0;mso-wrap-style:square;position:absolute;v-text-anchor:top;visibility:visible;width:201.6pt;z-index:251658240" fillcolor="white" stroked="f">
            <v:textbox style="mso-fit-shape-to-text:t" inset="0,10.8pt,0,0">
              <w:txbxContent>
                <w:p w:rsidR="00C4169C">
                  <w:pPr>
                    <w:pStyle w:val="MacPacTrailer"/>
                  </w:pPr>
                  <w:r>
                    <w:t>GP:4834-3114-6143 v</w:t>
                  </w:r>
                  <w:r w:rsidR="00197762">
                    <w:t>3</w:t>
                  </w:r>
                  <w:r>
                    <w:t xml:space="preserve">     </w:t>
                  </w:r>
                </w:p>
              </w:txbxContent>
            </v:textbox>
            <w10:wrap anchorx="margin"/>
          </v:shape>
        </w:pict>
      </w:r>
    </w:p>
    <w:sectPr w:rsidSect="00577CCF">
      <w:headerReference w:type="first" r:id="rId11"/>
      <w:pgSz w:w="12240" w:h="15840"/>
      <w:pgMar w:top="1440" w:right="1440" w:bottom="1440" w:left="1440" w:header="36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62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59993981"/>
      <w:docPartObj>
        <w:docPartGallery w:val="Page Numbers (Bottom of Page)"/>
        <w:docPartUnique/>
      </w:docPartObj>
    </w:sdtPr>
    <w:sdtEndPr>
      <w:rPr>
        <w:noProof/>
      </w:rPr>
    </w:sdtEndPr>
    <w:sdtContent>
      <w:p w:rsidR="00D050C8">
        <w:pPr>
          <w:pStyle w:val="Footer"/>
          <w:jc w:val="center"/>
        </w:pPr>
        <w:r w:rsidRPr="004A449E">
          <w:rPr>
            <w:rFonts w:asciiTheme="minorHAnsi" w:hAnsiTheme="minorHAnsi"/>
            <w:noProof/>
            <w:sz w:val="22"/>
          </w:rPr>
          <mc:AlternateContent>
            <mc:Choice Requires="wps">
              <w:drawing>
                <wp:anchor distT="0" distB="0" distL="114300" distR="114300" simplePos="0" relativeHeight="251658240" behindDoc="0" locked="0" layoutInCell="1" allowOverlap="1">
                  <wp:simplePos x="0" y="0"/>
                  <wp:positionH relativeFrom="column">
                    <wp:posOffset>175895</wp:posOffset>
                  </wp:positionH>
                  <wp:positionV relativeFrom="paragraph">
                    <wp:posOffset>107950</wp:posOffset>
                  </wp:positionV>
                  <wp:extent cx="5939155" cy="278130"/>
                  <wp:effectExtent l="0" t="0" r="23495" b="26670"/>
                  <wp:wrapNone/>
                  <wp:docPr id="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5939155" cy="278130"/>
                          </a:xfrm>
                          <a:prstGeom prst="rect">
                            <a:avLst/>
                          </a:prstGeom>
                          <a:solidFill>
                            <a:srgbClr val="4F81BD">
                              <a:lumMod val="60000"/>
                              <a:lumOff val="40000"/>
                            </a:srgbClr>
                          </a:solidFill>
                          <a:ln w="25400">
                            <a:solidFill>
                              <a:sysClr val="window" lastClr="FFFFFF"/>
                            </a:solidFill>
                          </a:ln>
                        </wps:spPr>
                        <wps:txbx>
                          <w:txbxContent>
                            <w:p w:rsidR="00D050C8" w:rsidP="004A449E">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ctangle 5" o:spid="_x0000_s2049" style="height:21.9pt;margin-left:13.85pt;margin-top:8.5pt;mso-width-percent:0;mso-width-relative:margin;mso-wrap-distance-bottom:0;mso-wrap-distance-left:9pt;mso-wrap-distance-right:9pt;mso-wrap-distance-top:0;mso-wrap-style:square;position:absolute;v-text-anchor:middle;visibility:visible;width:467.65pt;z-index:251659264" fillcolor="#95b3d7" strokecolor="window" strokeweight="2pt">
                  <v:textbox>
                    <w:txbxContent>
                      <w:p w:rsidR="00D050C8" w:rsidP="004A449E">
                        <w:pPr>
                          <w:jc w:val="center"/>
                        </w:pPr>
                      </w:p>
                    </w:txbxContent>
                  </v:textbox>
                </v:rect>
              </w:pict>
            </mc:Fallback>
          </mc:AlternateContent>
        </w:r>
      </w:p>
      <w:p w:rsidR="00D050C8">
        <w:pPr>
          <w:pStyle w:val="Footer"/>
          <w:jc w:val="center"/>
        </w:pPr>
      </w:p>
      <w:p w:rsidR="00D050C8">
        <w:pPr>
          <w:pStyle w:val="Footer"/>
          <w:jc w:val="center"/>
        </w:pPr>
      </w:p>
      <w:p w:rsidR="00D050C8" w:rsidP="00CF51E3">
        <w:pPr>
          <w:pStyle w:val="Footer"/>
          <w:jc w:val="center"/>
        </w:pPr>
        <w:r>
          <w:t xml:space="preserve">[___] - </w:t>
        </w:r>
        <w:r>
          <w:fldChar w:fldCharType="begin"/>
        </w:r>
        <w:r>
          <w:instrText xml:space="preserve"> PAGE   \* MERGEFORMAT </w:instrText>
        </w:r>
        <w:r>
          <w:fldChar w:fldCharType="separate"/>
        </w:r>
        <w:r w:rsidR="004C534A">
          <w:rPr>
            <w:noProof/>
          </w:rPr>
          <w:t>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50C8">
    <w:pPr>
      <w:pStyle w:val="Footer"/>
      <w:jc w:val="center"/>
    </w:pPr>
    <w:r w:rsidRPr="004A449E">
      <w:rPr>
        <w:rFonts w:asciiTheme="minorHAnsi" w:hAnsiTheme="minorHAnsi"/>
        <w:noProof/>
        <w:sz w:val="22"/>
      </w:rPr>
      <mc:AlternateContent>
        <mc:Choice Requires="wps">
          <w:drawing>
            <wp:anchor distT="0" distB="0" distL="114300" distR="114300" simplePos="0" relativeHeight="251660288" behindDoc="0" locked="0" layoutInCell="1" allowOverlap="1">
              <wp:simplePos x="0" y="0"/>
              <wp:positionH relativeFrom="column">
                <wp:posOffset>175895</wp:posOffset>
              </wp:positionH>
              <wp:positionV relativeFrom="paragraph">
                <wp:posOffset>81280</wp:posOffset>
              </wp:positionV>
              <wp:extent cx="5939155" cy="278130"/>
              <wp:effectExtent l="0" t="0" r="23495" b="2667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5939155" cy="278130"/>
                      </a:xfrm>
                      <a:prstGeom prst="rect">
                        <a:avLst/>
                      </a:prstGeom>
                      <a:solidFill>
                        <a:srgbClr val="4F81BD">
                          <a:lumMod val="60000"/>
                          <a:lumOff val="40000"/>
                        </a:srgbClr>
                      </a:solidFill>
                      <a:ln w="25400">
                        <a:solidFill>
                          <a:sysClr val="window" lastClr="FFFFFF"/>
                        </a:solidFill>
                      </a:ln>
                    </wps:spPr>
                    <wps:txbx>
                      <w:txbxContent>
                        <w:p w:rsidR="00D050C8" w:rsidP="004A449E">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ctangle 2" o:spid="_x0000_s2050" style="height:21.9pt;margin-left:13.85pt;margin-top:6.4pt;mso-width-percent:0;mso-width-relative:margin;mso-wrap-distance-bottom:0;mso-wrap-distance-left:9pt;mso-wrap-distance-right:9pt;mso-wrap-distance-top:0;mso-wrap-style:square;position:absolute;v-text-anchor:middle;visibility:visible;width:467.65pt;z-index:251661312" fillcolor="#95b3d7" strokecolor="window" strokeweight="2pt">
              <v:textbox>
                <w:txbxContent>
                  <w:p w:rsidR="00D050C8" w:rsidP="004A449E">
                    <w:pPr>
                      <w:jc w:val="center"/>
                    </w:pPr>
                  </w:p>
                </w:txbxContent>
              </v:textbox>
            </v:rect>
          </w:pict>
        </mc:Fallback>
      </mc:AlternateContent>
    </w:r>
  </w:p>
  <w:p w:rsidR="00D050C8">
    <w:pPr>
      <w:pStyle w:val="Footer"/>
      <w:jc w:val="center"/>
    </w:pPr>
  </w:p>
  <w:p w:rsidR="00D050C8">
    <w:pPr>
      <w:pStyle w:val="Footer"/>
      <w:jc w:val="center"/>
    </w:pPr>
  </w:p>
  <w:p w:rsidR="00D050C8">
    <w:pPr>
      <w:pStyle w:val="Footer"/>
      <w:jc w:val="center"/>
    </w:pPr>
    <w:sdt>
      <w:sdtPr>
        <w:id w:val="-149048544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D050C8">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62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62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50C8">
    <w:pPr>
      <w:pStyle w:val="Header"/>
    </w:pPr>
    <w:r>
      <w:rPr>
        <w:noProof/>
      </w:rPr>
      <w:drawing>
        <wp:inline distT="0" distB="0" distL="0" distR="0">
          <wp:extent cx="1041400" cy="1022350"/>
          <wp:effectExtent l="0" t="0" r="6350" b="6350"/>
          <wp:docPr id="1" name="Picture 1" descr="2007 GP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7 GPM Log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41400" cy="102235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50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896B6B"/>
    <w:multiLevelType w:val="hybridMultilevel"/>
    <w:tmpl w:val="46382A62"/>
    <w:lvl w:ilvl="0">
      <w:start w:val="1"/>
      <w:numFmt w:val="upperLetter"/>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C62E4D"/>
    <w:multiLevelType w:val="hybridMultilevel"/>
    <w:tmpl w:val="17989780"/>
    <w:lvl w:ilvl="0">
      <w:start w:val="1"/>
      <w:numFmt w:val="decimal"/>
      <w:lvlText w:val="%1."/>
      <w:lvlJc w:val="left"/>
      <w:pPr>
        <w:ind w:left="144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6958FE"/>
    <w:multiLevelType w:val="hybridMultilevel"/>
    <w:tmpl w:val="042C6B2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42B7397"/>
    <w:multiLevelType w:val="hybridMultilevel"/>
    <w:tmpl w:val="957C5C0E"/>
    <w:lvl w:ilvl="0">
      <w:start w:val="1"/>
      <w:numFmt w:val="decimal"/>
      <w:lvlText w:val="%1."/>
      <w:lvlJc w:val="left"/>
      <w:pPr>
        <w:ind w:left="144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C534EDB"/>
    <w:multiLevelType w:val="hybridMultilevel"/>
    <w:tmpl w:val="81C6EE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E3C717D"/>
    <w:multiLevelType w:val="multilevel"/>
    <w:tmpl w:val="345E6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262A7F"/>
    <w:multiLevelType w:val="hybridMultilevel"/>
    <w:tmpl w:val="2724FF2A"/>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
    <w:nsid w:val="393025FD"/>
    <w:multiLevelType w:val="hybridMultilevel"/>
    <w:tmpl w:val="CB3AF9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C490BD9"/>
    <w:multiLevelType w:val="hybridMultilevel"/>
    <w:tmpl w:val="15D6F7E4"/>
    <w:lvl w:ilvl="0">
      <w:start w:val="1"/>
      <w:numFmt w:val="upperLetter"/>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6253848"/>
    <w:multiLevelType w:val="hybridMultilevel"/>
    <w:tmpl w:val="89145CBA"/>
    <w:lvl w:ilvl="0">
      <w:start w:val="1"/>
      <w:numFmt w:val="upperLetter"/>
      <w:lvlText w:val="%1."/>
      <w:lvlJc w:val="left"/>
      <w:pPr>
        <w:ind w:left="720" w:hanging="360"/>
      </w:pPr>
      <w:rPr>
        <w:rFonts w:ascii="Times New Roman" w:hAnsi="Times New Roman" w:cs="Times New Roman" w:hint="default"/>
        <w:sz w:val="24"/>
        <w:szCs w:val="24"/>
      </w:rPr>
    </w:lvl>
    <w:lvl w:ilvl="1">
      <w:start w:val="1"/>
      <w:numFmt w:val="decimal"/>
      <w:lvlText w:val="%2."/>
      <w:lvlJc w:val="left"/>
      <w:pPr>
        <w:ind w:left="1440" w:hanging="360"/>
      </w:pPr>
      <w:rPr>
        <w:b/>
      </w:rPr>
    </w:lvl>
    <w:lvl w:ilvl="2">
      <w:start w:val="1"/>
      <w:numFmt w:val="lowerLetter"/>
      <w:lvlText w:val="%3."/>
      <w:lvlJc w:val="lef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CEA6A26"/>
    <w:multiLevelType w:val="hybridMultilevel"/>
    <w:tmpl w:val="042C6B2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FA36FB3"/>
    <w:multiLevelType w:val="multilevel"/>
    <w:tmpl w:val="E97A7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97196F"/>
    <w:multiLevelType w:val="hybridMultilevel"/>
    <w:tmpl w:val="1DFE1660"/>
    <w:lvl w:ilvl="0">
      <w:start w:val="1"/>
      <w:numFmt w:val="upp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2FC2AE8"/>
    <w:multiLevelType w:val="hybridMultilevel"/>
    <w:tmpl w:val="07D48F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5C62A80"/>
    <w:multiLevelType w:val="multilevel"/>
    <w:tmpl w:val="67800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031996"/>
    <w:multiLevelType w:val="hybridMultilevel"/>
    <w:tmpl w:val="B33CB6B4"/>
    <w:lvl w:ilvl="0">
      <w:start w:val="1"/>
      <w:numFmt w:val="upperLetter"/>
      <w:lvlText w:val="%1."/>
      <w:lvlJc w:val="left"/>
      <w:pPr>
        <w:ind w:left="1080" w:hanging="360"/>
      </w:pPr>
    </w:lvl>
    <w:lvl w:ilvl="1">
      <w:start w:val="1"/>
      <w:numFmt w:val="decimal"/>
      <w:lvlText w:val="%2."/>
      <w:lvlJc w:val="left"/>
      <w:pPr>
        <w:ind w:left="1800" w:hanging="360"/>
      </w:pPr>
    </w:lvl>
    <w:lvl w:ilvl="2">
      <w:start w:val="1"/>
      <w:numFmt w:val="lowerLetter"/>
      <w:lvlText w:val="%3."/>
      <w:lvlJc w:val="lef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7C146AD2"/>
    <w:multiLevelType w:val="hybridMultilevel"/>
    <w:tmpl w:val="15D6F7E4"/>
    <w:lvl w:ilvl="0">
      <w:start w:val="1"/>
      <w:numFmt w:val="upperLetter"/>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CA34100"/>
    <w:multiLevelType w:val="hybridMultilevel"/>
    <w:tmpl w:val="2626FC3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14"/>
  </w:num>
  <w:num w:numId="3">
    <w:abstractNumId w:val="11"/>
  </w:num>
  <w:num w:numId="4">
    <w:abstractNumId w:val="4"/>
  </w:num>
  <w:num w:numId="5">
    <w:abstractNumId w:val="12"/>
  </w:num>
  <w:num w:numId="6">
    <w:abstractNumId w:val="17"/>
  </w:num>
  <w:num w:numId="7">
    <w:abstractNumId w:val="7"/>
  </w:num>
  <w:num w:numId="8">
    <w:abstractNumId w:val="2"/>
  </w:num>
  <w:num w:numId="9">
    <w:abstractNumId w:val="10"/>
  </w:num>
  <w:num w:numId="10">
    <w:abstractNumId w:val="13"/>
  </w:num>
  <w:num w:numId="11">
    <w:abstractNumId w:val="9"/>
  </w:num>
  <w:num w:numId="12">
    <w:abstractNumId w:val="0"/>
  </w:num>
  <w:num w:numId="13">
    <w:abstractNumId w:val="16"/>
  </w:num>
  <w:num w:numId="14">
    <w:abstractNumId w:val="8"/>
  </w:num>
  <w:num w:numId="15">
    <w:abstractNumId w:val="15"/>
  </w:num>
  <w:num w:numId="16">
    <w:abstractNumId w:val="1"/>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4F48"/>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FA7F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FA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A7FA3"/>
    <w:pPr>
      <w:spacing w:line="276" w:lineRule="auto"/>
      <w:outlineLvl w:val="9"/>
    </w:pPr>
    <w:rPr>
      <w:lang w:eastAsia="ja-JP"/>
    </w:rPr>
  </w:style>
  <w:style w:type="paragraph" w:styleId="TOC2">
    <w:name w:val="toc 2"/>
    <w:basedOn w:val="Normal"/>
    <w:next w:val="Normal"/>
    <w:autoRedefine/>
    <w:uiPriority w:val="39"/>
    <w:semiHidden/>
    <w:unhideWhenUsed/>
    <w:qFormat/>
    <w:rsid w:val="00FA7FA3"/>
    <w:pPr>
      <w:spacing w:after="100" w:line="276" w:lineRule="auto"/>
      <w:ind w:left="220"/>
    </w:pPr>
    <w:rPr>
      <w:rFonts w:asciiTheme="minorHAnsi" w:eastAsiaTheme="minorEastAsia" w:hAnsiTheme="minorHAnsi"/>
      <w:sz w:val="22"/>
      <w:lang w:eastAsia="ja-JP"/>
    </w:rPr>
  </w:style>
  <w:style w:type="paragraph" w:styleId="TOC1">
    <w:name w:val="toc 1"/>
    <w:basedOn w:val="Normal"/>
    <w:next w:val="Normal"/>
    <w:autoRedefine/>
    <w:uiPriority w:val="39"/>
    <w:semiHidden/>
    <w:unhideWhenUsed/>
    <w:qFormat/>
    <w:rsid w:val="00FA7FA3"/>
    <w:pPr>
      <w:spacing w:after="100" w:line="276" w:lineRule="auto"/>
    </w:pPr>
    <w:rPr>
      <w:rFonts w:asciiTheme="minorHAnsi" w:eastAsiaTheme="minorEastAsia" w:hAnsiTheme="minorHAnsi"/>
      <w:sz w:val="22"/>
      <w:lang w:eastAsia="ja-JP"/>
    </w:rPr>
  </w:style>
  <w:style w:type="paragraph" w:styleId="TOC3">
    <w:name w:val="toc 3"/>
    <w:basedOn w:val="Normal"/>
    <w:next w:val="Normal"/>
    <w:autoRedefine/>
    <w:uiPriority w:val="39"/>
    <w:semiHidden/>
    <w:unhideWhenUsed/>
    <w:qFormat/>
    <w:rsid w:val="00FA7FA3"/>
    <w:pPr>
      <w:spacing w:after="100" w:line="276" w:lineRule="auto"/>
      <w:ind w:left="440"/>
    </w:pPr>
    <w:rPr>
      <w:rFonts w:asciiTheme="minorHAnsi" w:eastAsiaTheme="minorEastAsia" w:hAnsiTheme="minorHAnsi"/>
      <w:sz w:val="22"/>
      <w:lang w:eastAsia="ja-JP"/>
    </w:rPr>
  </w:style>
  <w:style w:type="paragraph" w:styleId="BalloonText">
    <w:name w:val="Balloon Text"/>
    <w:basedOn w:val="Normal"/>
    <w:link w:val="BalloonTextChar"/>
    <w:uiPriority w:val="99"/>
    <w:semiHidden/>
    <w:unhideWhenUsed/>
    <w:rsid w:val="00FA7FA3"/>
    <w:rPr>
      <w:rFonts w:ascii="Tahoma" w:hAnsi="Tahoma" w:cs="Tahoma"/>
      <w:sz w:val="16"/>
      <w:szCs w:val="16"/>
    </w:rPr>
  </w:style>
  <w:style w:type="character" w:customStyle="1" w:styleId="BalloonTextChar">
    <w:name w:val="Balloon Text Char"/>
    <w:basedOn w:val="DefaultParagraphFont"/>
    <w:link w:val="BalloonText"/>
    <w:uiPriority w:val="99"/>
    <w:semiHidden/>
    <w:rsid w:val="00FA7FA3"/>
    <w:rPr>
      <w:rFonts w:ascii="Tahoma" w:hAnsi="Tahoma" w:cs="Tahoma"/>
      <w:sz w:val="16"/>
      <w:szCs w:val="16"/>
    </w:rPr>
  </w:style>
  <w:style w:type="paragraph" w:styleId="Header">
    <w:name w:val="header"/>
    <w:basedOn w:val="Normal"/>
    <w:link w:val="HeaderChar"/>
    <w:uiPriority w:val="99"/>
    <w:unhideWhenUsed/>
    <w:rsid w:val="00006AEF"/>
    <w:pPr>
      <w:tabs>
        <w:tab w:val="center" w:pos="4680"/>
        <w:tab w:val="right" w:pos="9360"/>
      </w:tabs>
    </w:pPr>
  </w:style>
  <w:style w:type="character" w:customStyle="1" w:styleId="HeaderChar">
    <w:name w:val="Header Char"/>
    <w:basedOn w:val="DefaultParagraphFont"/>
    <w:link w:val="Header"/>
    <w:uiPriority w:val="99"/>
    <w:rsid w:val="00006AEF"/>
    <w:rPr>
      <w:rFonts w:ascii="Times New Roman" w:hAnsi="Times New Roman"/>
      <w:sz w:val="24"/>
    </w:rPr>
  </w:style>
  <w:style w:type="paragraph" w:styleId="Footer">
    <w:name w:val="footer"/>
    <w:basedOn w:val="Normal"/>
    <w:link w:val="FooterChar"/>
    <w:uiPriority w:val="99"/>
    <w:unhideWhenUsed/>
    <w:rsid w:val="00006AEF"/>
    <w:pPr>
      <w:tabs>
        <w:tab w:val="center" w:pos="4680"/>
        <w:tab w:val="right" w:pos="9360"/>
      </w:tabs>
    </w:pPr>
  </w:style>
  <w:style w:type="character" w:customStyle="1" w:styleId="FooterChar">
    <w:name w:val="Footer Char"/>
    <w:basedOn w:val="DefaultParagraphFont"/>
    <w:link w:val="Footer"/>
    <w:uiPriority w:val="99"/>
    <w:rsid w:val="00006AEF"/>
    <w:rPr>
      <w:rFonts w:ascii="Times New Roman" w:hAnsi="Times New Roman"/>
      <w:sz w:val="24"/>
    </w:rPr>
  </w:style>
  <w:style w:type="character" w:styleId="FootnoteReference">
    <w:name w:val="footnote reference"/>
    <w:semiHidden/>
    <w:rsid w:val="001C25F0"/>
  </w:style>
  <w:style w:type="paragraph" w:styleId="FootnoteText">
    <w:name w:val="footnote text"/>
    <w:basedOn w:val="Normal"/>
    <w:link w:val="FootnoteTextChar"/>
    <w:semiHidden/>
    <w:rsid w:val="001C25F0"/>
    <w:rPr>
      <w:rFonts w:eastAsia="Times New Roman" w:cs="Times New Roman"/>
      <w:sz w:val="20"/>
      <w:szCs w:val="20"/>
    </w:rPr>
  </w:style>
  <w:style w:type="character" w:customStyle="1" w:styleId="FootnoteTextChar">
    <w:name w:val="Footnote Text Char"/>
    <w:basedOn w:val="DefaultParagraphFont"/>
    <w:link w:val="FootnoteText"/>
    <w:semiHidden/>
    <w:rsid w:val="001C25F0"/>
    <w:rPr>
      <w:rFonts w:ascii="Times New Roman" w:eastAsia="Times New Roman" w:hAnsi="Times New Roman" w:cs="Times New Roman"/>
      <w:sz w:val="20"/>
      <w:szCs w:val="20"/>
    </w:rPr>
  </w:style>
  <w:style w:type="character" w:styleId="Emphasis">
    <w:name w:val="Emphasis"/>
    <w:basedOn w:val="DefaultParagraphFont"/>
    <w:uiPriority w:val="20"/>
    <w:qFormat/>
    <w:rsid w:val="001C25F0"/>
    <w:rPr>
      <w:i/>
      <w:iCs/>
    </w:rPr>
  </w:style>
  <w:style w:type="paragraph" w:customStyle="1" w:styleId="MacPacTrailer">
    <w:name w:val="MacPac Trailer"/>
    <w:rsid w:val="00C4169C"/>
    <w:pPr>
      <w:widowControl w:val="0"/>
      <w:spacing w:after="0" w:line="200" w:lineRule="exact"/>
    </w:pPr>
    <w:rPr>
      <w:rFonts w:ascii="Times New Roman" w:eastAsia="Times New Roman" w:hAnsi="Times New Roman" w:cs="Times New Roman"/>
      <w:sz w:val="16"/>
    </w:rPr>
  </w:style>
  <w:style w:type="character" w:styleId="PlaceholderText">
    <w:name w:val="Placeholder Text"/>
    <w:basedOn w:val="DefaultParagraphFont"/>
    <w:uiPriority w:val="99"/>
    <w:semiHidden/>
    <w:rsid w:val="001C25F0"/>
    <w:rPr>
      <w:color w:val="808080"/>
    </w:rPr>
  </w:style>
  <w:style w:type="paragraph" w:styleId="ListParagraph">
    <w:name w:val="List Paragraph"/>
    <w:basedOn w:val="Normal"/>
    <w:uiPriority w:val="34"/>
    <w:qFormat/>
    <w:rsid w:val="001C25F0"/>
    <w:pPr>
      <w:spacing w:after="200" w:line="276" w:lineRule="auto"/>
      <w:ind w:left="720"/>
      <w:contextualSpacing/>
    </w:pPr>
    <w:rPr>
      <w:rFonts w:asciiTheme="minorHAnsi" w:hAnsiTheme="minorHAnsi"/>
      <w:sz w:val="22"/>
    </w:rPr>
  </w:style>
  <w:style w:type="character" w:styleId="CommentReference">
    <w:name w:val="annotation reference"/>
    <w:basedOn w:val="DefaultParagraphFont"/>
    <w:uiPriority w:val="99"/>
    <w:semiHidden/>
    <w:unhideWhenUsed/>
    <w:rsid w:val="001C25F0"/>
    <w:rPr>
      <w:sz w:val="16"/>
      <w:szCs w:val="16"/>
    </w:rPr>
  </w:style>
  <w:style w:type="paragraph" w:styleId="CommentText">
    <w:name w:val="annotation text"/>
    <w:basedOn w:val="Normal"/>
    <w:link w:val="CommentTextChar"/>
    <w:uiPriority w:val="99"/>
    <w:semiHidden/>
    <w:unhideWhenUsed/>
    <w:rsid w:val="001C25F0"/>
    <w:pPr>
      <w:spacing w:after="20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1C25F0"/>
    <w:rPr>
      <w:sz w:val="20"/>
      <w:szCs w:val="20"/>
    </w:rPr>
  </w:style>
  <w:style w:type="paragraph" w:styleId="CommentSubject">
    <w:name w:val="annotation subject"/>
    <w:basedOn w:val="CommentText"/>
    <w:next w:val="CommentText"/>
    <w:link w:val="CommentSubjectChar"/>
    <w:uiPriority w:val="99"/>
    <w:semiHidden/>
    <w:unhideWhenUsed/>
    <w:rsid w:val="001C25F0"/>
    <w:rPr>
      <w:b/>
      <w:bCs/>
    </w:rPr>
  </w:style>
  <w:style w:type="character" w:customStyle="1" w:styleId="CommentSubjectChar">
    <w:name w:val="Comment Subject Char"/>
    <w:basedOn w:val="CommentTextChar"/>
    <w:link w:val="CommentSubject"/>
    <w:uiPriority w:val="99"/>
    <w:semiHidden/>
    <w:rsid w:val="001C25F0"/>
    <w:rPr>
      <w:b/>
      <w:bCs/>
      <w:sz w:val="20"/>
      <w:szCs w:val="20"/>
    </w:rPr>
  </w:style>
  <w:style w:type="character" w:styleId="Hyperlink">
    <w:name w:val="Hyperlink"/>
    <w:basedOn w:val="DefaultParagraphFont"/>
    <w:uiPriority w:val="99"/>
    <w:unhideWhenUsed/>
    <w:rsid w:val="001C25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C6E2C-2538-49EF-B2A0-7B7D02E48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897F121F.dotm</Template>
  <TotalTime>0</TotalTime>
  <Pages>15</Pages>
  <Words>7035</Words>
  <Characters>35752</Characters>
  <Application>Microsoft Office Word</Application>
  <DocSecurity>0</DocSecurity>
  <Lines>306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ABAAMV6B7YzPbaL1fQwAViJKoXh9GjMkjVx6CU7F+cM8AWI+5S0lhYc53CHKEDuZi7WL</vt:lpwstr>
  </property>
  <property fmtid="{D5CDD505-2E9C-101B-9397-08002B2CF9AE}" pid="3" name="MAIL_MSG_ID1">
    <vt:lpwstr>UFAAPw6bUgrQkNEI/uix01DNcO60QcOcmBI+L4i7IJyZn/z3hdAMSYOkbdCs5kF+g2kwBFm/piJP85R9
k8maxWZyvFfFKfQ1FLtwKiFjadghNYxmyUFHyjvjvjqvw6Y1U/AWCx0BFI46+vd9k8maxWZyvFfF
KfQ1FLtwKiFjadghNYxmyUFHyjvjvjqvw6Y1U/AWhe5AjrHhx7Pa95AlqY1169y1+8+QfVUBz4oS
XkQEEmvrTbToQLlUb</vt:lpwstr>
  </property>
  <property fmtid="{D5CDD505-2E9C-101B-9397-08002B2CF9AE}" pid="4" name="MAIL_MSG_ID2">
    <vt:lpwstr>RzOP9vfuuDWsX9kQ6pWpj+XV2e3Q3jk+Zz/E8PESeUpMyeKiXDGY/SlQcZk
sPnzf+VyY5kDHSh0l31YRz+qXP4=</vt:lpwstr>
  </property>
  <property fmtid="{D5CDD505-2E9C-101B-9397-08002B2CF9AE}" pid="5" name="RESPONSE_SENDER_NAME">
    <vt:lpwstr>4AAA9mrMv1QjWAuWK0Nivl23UEGKpx2VjaKvyYsAecAq+uItqgja1LD/Pw==</vt:lpwstr>
  </property>
  <property fmtid="{D5CDD505-2E9C-101B-9397-08002B2CF9AE}" pid="6" name="WS_TRACKING_ID">
    <vt:lpwstr>33d19741-f59c-4e58-9f75-a300a93bb649</vt:lpwstr>
  </property>
</Properties>
</file>